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564" w:rsidRDefault="00711564" w:rsidP="00711564">
      <w:pPr>
        <w:suppressAutoHyphens w:val="0"/>
        <w:textAlignment w:val="auto"/>
        <w:rPr>
          <w:rFonts w:ascii="Times New Roman" w:hAnsi="Times New Roman" w:cs="Times New Roman"/>
          <w:b/>
          <w:sz w:val="36"/>
          <w:szCs w:val="36"/>
          <w:lang w:val="en-GB"/>
        </w:rPr>
      </w:pPr>
      <w:r>
        <w:rPr>
          <w:rFonts w:ascii="Times New Roman" w:hAnsi="Times New Roman" w:cs="Times New Roman"/>
          <w:b/>
          <w:sz w:val="36"/>
          <w:szCs w:val="36"/>
          <w:lang w:val="en-GB"/>
        </w:rPr>
        <w:t>Supporting Information</w:t>
      </w:r>
    </w:p>
    <w:p w:rsidR="00711564" w:rsidRDefault="00711564" w:rsidP="00711564">
      <w:pPr>
        <w:suppressAutoHyphens w:val="0"/>
        <w:textAlignment w:val="auto"/>
        <w:rPr>
          <w:rFonts w:ascii="Times New Roman" w:hAnsi="Times New Roman" w:cs="Times New Roman"/>
          <w:b/>
          <w:sz w:val="36"/>
          <w:szCs w:val="36"/>
          <w:lang w:val="en-GB"/>
        </w:rPr>
      </w:pPr>
    </w:p>
    <w:p w:rsidR="00711564" w:rsidRPr="00A84FB1" w:rsidRDefault="00711564" w:rsidP="00711564">
      <w:pPr>
        <w:suppressAutoHyphens w:val="0"/>
        <w:textAlignment w:val="auto"/>
        <w:rPr>
          <w:rFonts w:ascii="Times New Roman" w:hAnsi="Times New Roman" w:cs="Times New Roman"/>
          <w:b/>
          <w:sz w:val="32"/>
          <w:szCs w:val="32"/>
          <w:lang w:val="en-GB"/>
        </w:rPr>
      </w:pPr>
      <w:r w:rsidRPr="00A84FB1">
        <w:rPr>
          <w:rFonts w:ascii="Times New Roman" w:hAnsi="Times New Roman" w:cs="Times New Roman"/>
          <w:b/>
          <w:sz w:val="32"/>
          <w:szCs w:val="32"/>
          <w:lang w:val="en-GB"/>
        </w:rPr>
        <w:t>Appendix</w:t>
      </w:r>
    </w:p>
    <w:p w:rsidR="00711564" w:rsidRDefault="00711564" w:rsidP="00711564">
      <w:pPr>
        <w:suppressAutoHyphens w:val="0"/>
        <w:spacing w:line="260" w:lineRule="atLeast"/>
        <w:textAlignment w:val="auto"/>
        <w:rPr>
          <w:rFonts w:ascii="Times New Roman" w:hAnsi="Times New Roman" w:cs="Times New Roman"/>
          <w:b/>
          <w:sz w:val="36"/>
          <w:szCs w:val="36"/>
          <w:lang w:val="en-GB"/>
        </w:rPr>
      </w:pPr>
    </w:p>
    <w:p w:rsidR="00711564" w:rsidRPr="0072376C" w:rsidRDefault="00711564" w:rsidP="00A84FB1">
      <w:pPr>
        <w:suppressAutoHyphens w:val="0"/>
        <w:spacing w:line="360" w:lineRule="auto"/>
        <w:textAlignment w:val="auto"/>
        <w:rPr>
          <w:rFonts w:ascii="Times New Roman" w:hAnsi="Times New Roman" w:cs="Times New Roman"/>
          <w:sz w:val="28"/>
          <w:szCs w:val="28"/>
        </w:rPr>
      </w:pPr>
      <w:bookmarkStart w:id="0" w:name="__RefHeading___Toc7673_935629506"/>
      <w:bookmarkEnd w:id="0"/>
      <w:r w:rsidRPr="0072376C">
        <w:rPr>
          <w:rFonts w:ascii="Times New Roman" w:hAnsi="Times New Roman" w:cs="Times New Roman"/>
          <w:b/>
          <w:sz w:val="28"/>
          <w:szCs w:val="28"/>
        </w:rPr>
        <w:t>R factor</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sz w:val="24"/>
          <w:szCs w:val="24"/>
        </w:rPr>
        <w:t xml:space="preserve">R factor represents the energy and ability of the rainfall to erode soil. It is strictly related to the main impulsive rainfall events for a specific region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ISBN":"0070360871","author":[{"dropping-particle":"","family":"Lal","given":"R.","non-dropping-particle":"","parse-names":false,"suffix":""}],"id":"ITEM-1","issued":{"date-parts":[["1990"]]},"number-of-pages":"580","publisher":"McGraw-Hill","title":"Soil erosion in the tropics : principles and management","type":"book"},"uris":["http://www.mendeley.com/documents/?uuid=c5cdffc1-9496-3856-b063-d3984413b4ba"]}],"mendeley":{"formattedCitation":"&lt;span style=\"baseline\"&gt;[1]&lt;/span&gt;","plainTextFormattedCitation":"[1]","previouslyFormattedCitation":"[79]"},"properties":{"noteIndex":0},"schema":"https://github.com/citation-style-language/schema/raw/master/csl-citation.json"}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[1]</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 xml:space="preserve">. According to local climatic trends, the availability and the spatial distribution of meteorological data, different empirical formulas to calculate R factor were developed by several researchers. Climatic data from the Regional Agency for Environmental Protection and Prevention of the Veneto (ARPAV, 2012), shows for the Veneto Region typical rainfall of modest intensity distributed during the year in two main peaks: one during autumn and another one in spring. Hence, according to local climatic conditions we used the formula that represents the best fit for such regime, according to Wishmeier and Smith (1987) and revision by Renard </w:t>
      </w:r>
      <w:r w:rsidRPr="0072376C">
        <w:rPr>
          <w:rFonts w:ascii="Times New Roman" w:hAnsi="Times New Roman" w:cs="Times New Roman"/>
          <w:i/>
          <w:sz w:val="24"/>
          <w:szCs w:val="24"/>
        </w:rPr>
        <w:t xml:space="preserve">et al.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{"citationItems":[{"id":"ITEM-1","itemData":{"author":[{"dropping-particle":"","family":"Renard","given":"Kenneth. G","non-dropping-particle":"","parse-names":false,"suffix":""},{"dropping-particle":"","family":"Foster","given":"George R.","non-dropping-particle":"","parse-names":false,"suffix":""},{"dropping-particle":"","family":"Weesies Gienn A","given":"","non-dropping-particle":"","parse-names":false,"suffix":""},{"dropping-particle":"","family":"Porter Jeffrey p","given":"","non-dropping-particle":"","parse-names":false,"suffix":""}],"container-title":"Journal of Soil and Water Conservation","id":"ITEM-1","issue":"1","issued":{"date-parts":[["1991"]]},"page":"30-33","publisher":"Soil Conservation Society of America]","title":"RUSLE: Revised universal soil loss equation","type":"article-journal","volume":"46"},"uris":["http://www.mendeley.com/documents/?uuid=b4076ef3-88c0-383a-9c8b-47abda256548"]}],"mendeley":{"formattedCitation":"&lt;span style=\"baseline\"&gt;[2]&lt;/span&gt;","plainTextFormattedCitation":"[2]","previouslyFormattedCitation":"[49]"},"properties":{"noteIndex":0},"schema":"https://github.com/citation-style-language/schema/raw/master/csl-citation.json"}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[2]</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w:t>
      </w:r>
    </w:p>
    <w:p w:rsidR="00711564" w:rsidRPr="00E44F95" w:rsidRDefault="00711564" w:rsidP="00711564">
      <w:pPr>
        <w:pStyle w:val="Textbody"/>
        <w:spacing w:line="480" w:lineRule="auto"/>
        <w:jc w:val="both"/>
      </w:pPr>
      <m:oMathPara>
        <m:oMathParaPr>
          <m:jc m:val="left"/>
        </m:oMathParaPr>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j=1</m:t>
              </m:r>
            </m:sub>
            <m:sup>
              <m:r>
                <w:rPr>
                  <w:rFonts w:ascii="Cambria Math" w:eastAsia="Cambria Math" w:hAnsi="Cambria Math" w:cs="Cambria Math"/>
                  <w:sz w:val="24"/>
                  <w:szCs w:val="24"/>
                </w:rPr>
                <m:t>n</m:t>
              </m:r>
            </m:sup>
            <m:e/>
          </m:nary>
          <m:r>
            <w:rPr>
              <w:rFonts w:ascii="Cambria Math" w:hAnsi="Cambria Math" w:cs="Times New Roman"/>
              <w:sz w:val="24"/>
              <w:szCs w:val="24"/>
            </w:rPr>
            <m:t xml:space="preserve"> </m:t>
          </m:r>
          <m:d>
            <m:dPr>
              <m:begChr m:val="["/>
              <m:endChr m:val="]"/>
              <m:ctrlPr>
                <w:rPr>
                  <w:rFonts w:ascii="Cambria Math" w:hAnsi="Cambria Math" w:cs="Times New Roman"/>
                  <w:i/>
                  <w:iCs/>
                  <w:sz w:val="24"/>
                  <w:szCs w:val="24"/>
                </w:rPr>
              </m:ctrlPr>
            </m:dPr>
            <m:e>
              <m:nary>
                <m:naryPr>
                  <m:chr m:val="∑"/>
                  <m:grow m:val="1"/>
                  <m:ctrlPr>
                    <w:rPr>
                      <w:rFonts w:ascii="Cambria Math" w:hAnsi="Cambria Math" w:cs="Times New Roman"/>
                      <w:sz w:val="24"/>
                      <w:szCs w:val="24"/>
                    </w:rPr>
                  </m:ctrlPr>
                </m:naryPr>
                <m:sub>
                  <m:r>
                    <w:rPr>
                      <w:rFonts w:ascii="Cambria Math" w:eastAsia="Cambria Math" w:hAnsi="Cambria Math" w:cs="Cambria Math"/>
                      <w:sz w:val="24"/>
                      <w:szCs w:val="24"/>
                    </w:rPr>
                    <m:t>k=1</m:t>
                  </m:r>
                </m:sub>
                <m:sup>
                  <m:r>
                    <w:rPr>
                      <w:rFonts w:ascii="Cambria Math" w:eastAsia="Cambria Math" w:hAnsi="Cambria Math" w:cs="Cambria Math"/>
                      <w:sz w:val="24"/>
                      <w:szCs w:val="24"/>
                    </w:rPr>
                    <m:t>m</m:t>
                  </m:r>
                </m:sup>
                <m:e/>
              </m:nary>
              <m:d>
                <m:dPr>
                  <m:ctrlPr>
                    <w:rPr>
                      <w:rFonts w:ascii="Cambria Math" w:hAnsi="Cambria Math" w:cs="Times New Roman"/>
                      <w:i/>
                      <w:sz w:val="24"/>
                      <w:szCs w:val="24"/>
                    </w:rPr>
                  </m:ctrlPr>
                </m:dPr>
                <m:e>
                  <m:r>
                    <w:rPr>
                      <w:rFonts w:ascii="Cambria Math" w:hAnsi="Cambria Math" w:cs="Times New Roman"/>
                      <w:sz w:val="24"/>
                      <w:szCs w:val="24"/>
                    </w:rPr>
                    <m:t>E</m:t>
                  </m:r>
                </m:e>
              </m:d>
              <m:r>
                <w:rPr>
                  <w:rFonts w:ascii="Cambria Math" w:hAnsi="Cambria Math" w:cs="Times New Roman"/>
                  <w:sz w:val="24"/>
                  <w:szCs w:val="24"/>
                </w:rPr>
                <m: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eastAsia="Cambria Math" w:hAnsi="Cambria Math" w:cs="Cambria Math"/>
                          <w:sz w:val="24"/>
                          <w:szCs w:val="24"/>
                        </w:rPr>
                        <m:t>I</m:t>
                      </m:r>
                    </m:e>
                    <m:sub>
                      <m:r>
                        <w:rPr>
                          <w:rFonts w:ascii="Cambria Math" w:eastAsia="Cambria Math" w:hAnsi="Cambria Math" w:cs="Cambria Math"/>
                          <w:sz w:val="24"/>
                          <w:szCs w:val="24"/>
                        </w:rPr>
                        <m:t>30</m:t>
                      </m:r>
                    </m:sub>
                  </m:sSub>
                  <m:sSub>
                    <m:sSubPr>
                      <m:ctrlPr>
                        <w:rPr>
                          <w:rFonts w:ascii="Cambria Math" w:hAnsi="Cambria Math" w:cs="Times New Roman"/>
                          <w:sz w:val="24"/>
                          <w:szCs w:val="24"/>
                        </w:rPr>
                      </m:ctrlPr>
                    </m:sSubPr>
                    <m:e>
                      <m:r>
                        <w:rPr>
                          <w:rFonts w:ascii="Cambria Math" w:eastAsia="Cambria Math" w:hAnsi="Cambria Math" w:cs="Cambria Math"/>
                          <w:sz w:val="24"/>
                          <w:szCs w:val="24"/>
                        </w:rPr>
                        <m:t>)</m:t>
                      </m:r>
                    </m:e>
                    <m:sub>
                      <m:r>
                        <w:rPr>
                          <w:rFonts w:ascii="Cambria Math" w:eastAsia="Cambria Math" w:hAnsi="Cambria Math" w:cs="Cambria Math"/>
                          <w:sz w:val="24"/>
                          <w:szCs w:val="24"/>
                        </w:rPr>
                        <m:t>k</m:t>
                      </m:r>
                    </m:sub>
                  </m:sSub>
                </m:e>
              </m:d>
            </m:e>
          </m:d>
        </m:oMath>
      </m:oMathPara>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sz w:val="24"/>
          <w:szCs w:val="24"/>
        </w:rPr>
        <w:t>Where:</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i/>
          <w:iCs/>
          <w:sz w:val="24"/>
          <w:szCs w:val="24"/>
        </w:rPr>
        <w:t xml:space="preserve">n </w:t>
      </w:r>
      <w:r w:rsidRPr="0072376C">
        <w:rPr>
          <w:rFonts w:ascii="Times New Roman" w:hAnsi="Times New Roman" w:cs="Times New Roman"/>
          <w:sz w:val="24"/>
          <w:szCs w:val="24"/>
        </w:rPr>
        <w:t xml:space="preserve">represents the number of years considered, that in this study are from 2006 to 2015; </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i/>
          <w:iCs/>
          <w:sz w:val="24"/>
          <w:szCs w:val="24"/>
        </w:rPr>
        <w:t>k</w:t>
      </w:r>
      <w:r w:rsidRPr="0072376C">
        <w:rPr>
          <w:rFonts w:ascii="Times New Roman" w:hAnsi="Times New Roman" w:cs="Times New Roman"/>
          <w:sz w:val="24"/>
          <w:szCs w:val="24"/>
        </w:rPr>
        <w:t xml:space="preserve"> is the rainfall number of half hour events; </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i/>
          <w:iCs/>
          <w:sz w:val="24"/>
          <w:szCs w:val="24"/>
        </w:rPr>
        <w:t>E</w:t>
      </w:r>
      <w:r w:rsidRPr="0072376C">
        <w:rPr>
          <w:rFonts w:ascii="Times New Roman" w:hAnsi="Times New Roman" w:cs="Times New Roman"/>
          <w:sz w:val="24"/>
          <w:szCs w:val="24"/>
        </w:rPr>
        <w:t xml:space="preserve"> is the rainfall energy event estimation;</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i/>
          <w:iCs/>
          <w:sz w:val="24"/>
          <w:szCs w:val="24"/>
        </w:rPr>
        <w:t>I</w:t>
      </w:r>
      <w:r w:rsidRPr="0072376C">
        <w:rPr>
          <w:rFonts w:ascii="Times New Roman" w:hAnsi="Times New Roman" w:cs="Times New Roman"/>
          <w:i/>
          <w:iCs/>
          <w:sz w:val="24"/>
          <w:szCs w:val="24"/>
          <w:vertAlign w:val="subscript"/>
        </w:rPr>
        <w:t>30</w:t>
      </w:r>
      <w:r w:rsidRPr="0072376C">
        <w:rPr>
          <w:rFonts w:ascii="Times New Roman" w:hAnsi="Times New Roman" w:cs="Times New Roman"/>
          <w:sz w:val="24"/>
          <w:szCs w:val="24"/>
        </w:rPr>
        <w:t xml:space="preserve"> is the amount of rain in 30 minutes; </w:t>
      </w:r>
    </w:p>
    <w:p w:rsidR="00711564" w:rsidRPr="0072376C" w:rsidRDefault="00711564" w:rsidP="00711564">
      <w:pPr>
        <w:pStyle w:val="Textbody"/>
        <w:spacing w:line="480" w:lineRule="auto"/>
        <w:jc w:val="both"/>
        <w:rPr>
          <w:rFonts w:ascii="Times New Roman" w:hAnsi="Times New Roman" w:cs="Times New Roman"/>
          <w:i/>
          <w:iCs/>
          <w:sz w:val="24"/>
          <w:szCs w:val="24"/>
        </w:rPr>
      </w:pPr>
      <w:r w:rsidRPr="0072376C">
        <w:rPr>
          <w:rFonts w:ascii="Times New Roman" w:hAnsi="Times New Roman" w:cs="Times New Roman"/>
          <w:i/>
          <w:iCs/>
          <w:sz w:val="24"/>
          <w:szCs w:val="24"/>
        </w:rPr>
        <w:t xml:space="preserve">m </w:t>
      </w:r>
      <w:r w:rsidRPr="0072376C">
        <w:rPr>
          <w:rFonts w:ascii="Times New Roman" w:hAnsi="Times New Roman" w:cs="Times New Roman"/>
          <w:iCs/>
          <w:sz w:val="24"/>
          <w:szCs w:val="24"/>
        </w:rPr>
        <w:t>is the summarize of every rainfall events for all considered years</w:t>
      </w:r>
      <w:r w:rsidRPr="0072376C">
        <w:rPr>
          <w:rFonts w:ascii="Times New Roman" w:hAnsi="Times New Roman" w:cs="Times New Roman"/>
          <w:i/>
          <w:iCs/>
          <w:sz w:val="24"/>
          <w:szCs w:val="24"/>
        </w:rPr>
        <w:t>.</w:t>
      </w:r>
    </w:p>
    <w:p w:rsidR="00711564"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i/>
          <w:iCs/>
          <w:sz w:val="24"/>
          <w:szCs w:val="24"/>
        </w:rPr>
        <w:t>E</w:t>
      </w:r>
      <w:r w:rsidRPr="0072376C">
        <w:rPr>
          <w:rFonts w:ascii="Times New Roman" w:hAnsi="Times New Roman" w:cs="Times New Roman"/>
          <w:sz w:val="24"/>
          <w:szCs w:val="24"/>
        </w:rPr>
        <w:t xml:space="preserve"> is calculated using the following expression:</w:t>
      </w:r>
    </w:p>
    <w:p w:rsidR="00711564" w:rsidRPr="0072376C" w:rsidRDefault="00711564" w:rsidP="00711564">
      <w:pPr>
        <w:pStyle w:val="Textbody"/>
        <w:spacing w:line="480" w:lineRule="auto"/>
        <w:jc w:val="both"/>
        <w:rPr>
          <w:rFonts w:ascii="Times New Roman" w:hAnsi="Times New Roman" w:cs="Times New Roman"/>
          <w:sz w:val="24"/>
          <w:szCs w:val="24"/>
        </w:rPr>
      </w:pPr>
      <w:r>
        <w:rPr>
          <w:rFonts w:ascii="Times New Roman" w:hAnsi="Times New Roman" w:cs="Times New Roman"/>
          <w:sz w:val="24"/>
          <w:szCs w:val="24"/>
        </w:rPr>
        <w:t>E = 0.29 * [1-0.72</w:t>
      </w:r>
      <w:r w:rsidRPr="00477CBA">
        <w:rPr>
          <w:rFonts w:ascii="Times New Roman" w:hAnsi="Times New Roman" w:cs="Times New Roman"/>
          <w:sz w:val="24"/>
          <w:szCs w:val="24"/>
          <w:vertAlign w:val="superscript"/>
        </w:rPr>
        <w:t>(-0.05*Im</w:t>
      </w:r>
      <w:r>
        <w:rPr>
          <w:rFonts w:ascii="Times New Roman" w:hAnsi="Times New Roman" w:cs="Times New Roman"/>
          <w:sz w:val="24"/>
          <w:szCs w:val="24"/>
        </w:rPr>
        <w:t>]</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sz w:val="24"/>
          <w:szCs w:val="24"/>
        </w:rPr>
        <w:t xml:space="preserve">where </w:t>
      </w:r>
      <w:r w:rsidRPr="0072376C">
        <w:rPr>
          <w:rFonts w:ascii="Times New Roman" w:hAnsi="Times New Roman" w:cs="Times New Roman"/>
          <w:i/>
          <w:iCs/>
          <w:sz w:val="24"/>
          <w:szCs w:val="24"/>
        </w:rPr>
        <w:t>Im</w:t>
      </w:r>
      <w:r w:rsidRPr="0072376C">
        <w:rPr>
          <w:rFonts w:ascii="Times New Roman" w:hAnsi="Times New Roman" w:cs="Times New Roman"/>
          <w:sz w:val="24"/>
          <w:szCs w:val="24"/>
        </w:rPr>
        <w:t xml:space="preserve"> is the intensity for 5 minutes of rainfall recorded by 20 local weather stations of ARPAV, distributed on all Region.</w:t>
      </w:r>
    </w:p>
    <w:p w:rsidR="00711564"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sz w:val="24"/>
          <w:szCs w:val="24"/>
        </w:rPr>
        <w:t>To calculate R values for each of the 20 weather stations we wrote a specific algorithm and performed it by using R software (R Core Team, 2016) performing a rainfall analysis on 10 years of time-series. The mean R values for each weather stations were, therefore, spatially interpolated using the Inverse Distance Weighted (IDW) algorithm in GIS environment</w:t>
      </w:r>
      <w:r w:rsidR="00EF1093">
        <w:rPr>
          <w:rFonts w:ascii="Times New Roman" w:hAnsi="Times New Roman" w:cs="Times New Roman"/>
          <w:sz w:val="24"/>
          <w:szCs w:val="24"/>
        </w:rPr>
        <w:t xml:space="preserve"> (</w:t>
      </w:r>
      <w:r w:rsidRPr="0072376C">
        <w:rPr>
          <w:rFonts w:ascii="Times New Roman" w:hAnsi="Times New Roman" w:cs="Times New Roman"/>
          <w:sz w:val="24"/>
          <w:szCs w:val="24"/>
        </w:rPr>
        <w:t>.</w:t>
      </w:r>
    </w:p>
    <w:p w:rsidR="00711564" w:rsidRDefault="00711564" w:rsidP="00711564">
      <w:pPr>
        <w:pStyle w:val="Textbody"/>
        <w:spacing w:line="480" w:lineRule="auto"/>
        <w:jc w:val="both"/>
        <w:rPr>
          <w:rFonts w:ascii="Times New Roman" w:hAnsi="Times New Roman" w:cs="Times New Roman"/>
          <w:b/>
          <w:sz w:val="24"/>
          <w:szCs w:val="24"/>
        </w:rPr>
      </w:pPr>
    </w:p>
    <w:p w:rsidR="005B5DC6" w:rsidRPr="00477CBA" w:rsidRDefault="005B5DC6" w:rsidP="005B5DC6">
      <w:pPr>
        <w:suppressAutoHyphens w:val="0"/>
        <w:spacing w:line="360" w:lineRule="auto"/>
        <w:textAlignment w:val="auto"/>
        <w:rPr>
          <w:rFonts w:ascii="Times New Roman" w:hAnsi="Times New Roman" w:cs="Times New Roman"/>
          <w:b/>
          <w:sz w:val="24"/>
          <w:szCs w:val="24"/>
          <w:lang w:val="en-GB"/>
        </w:rPr>
      </w:pPr>
      <w:r w:rsidRPr="00477CBA">
        <w:rPr>
          <w:rFonts w:ascii="Times New Roman" w:hAnsi="Times New Roman" w:cs="Times New Roman"/>
          <w:b/>
          <w:sz w:val="24"/>
          <w:szCs w:val="24"/>
          <w:lang w:val="en-GB"/>
        </w:rPr>
        <w:t xml:space="preserve">S1 </w:t>
      </w:r>
      <w:bookmarkStart w:id="1" w:name="_GoBack"/>
      <w:r w:rsidRPr="00477CBA">
        <w:rPr>
          <w:rFonts w:ascii="Times New Roman" w:hAnsi="Times New Roman" w:cs="Times New Roman"/>
          <w:b/>
          <w:sz w:val="24"/>
          <w:szCs w:val="24"/>
          <w:lang w:val="en-GB"/>
        </w:rPr>
        <w:t>Fig</w:t>
      </w:r>
      <w:bookmarkEnd w:id="1"/>
      <w:r w:rsidRPr="00477CBA">
        <w:rPr>
          <w:rFonts w:ascii="Times New Roman" w:hAnsi="Times New Roman" w:cs="Times New Roman"/>
          <w:b/>
          <w:sz w:val="24"/>
          <w:szCs w:val="24"/>
          <w:lang w:val="en-GB"/>
        </w:rPr>
        <w:t xml:space="preserve">. R factor map. </w:t>
      </w:r>
      <w:r w:rsidRPr="00477CBA">
        <w:rPr>
          <w:rFonts w:ascii="Times New Roman" w:hAnsi="Times New Roman" w:cs="Times New Roman"/>
          <w:sz w:val="24"/>
          <w:szCs w:val="24"/>
          <w:lang w:val="en-GB"/>
        </w:rPr>
        <w:t>Map showing R factor values and weather stations in the Prosecco DOCG.</w:t>
      </w:r>
    </w:p>
    <w:p w:rsidR="00711564" w:rsidRPr="005B5DC6" w:rsidRDefault="00711564" w:rsidP="00711564">
      <w:pPr>
        <w:pStyle w:val="Textbody"/>
        <w:spacing w:line="480" w:lineRule="auto"/>
        <w:rPr>
          <w:lang w:val="en-GB"/>
        </w:rPr>
      </w:pPr>
    </w:p>
    <w:p w:rsidR="00711564" w:rsidRPr="0072376C" w:rsidRDefault="00711564" w:rsidP="00711564">
      <w:pPr>
        <w:pStyle w:val="Textbody"/>
        <w:spacing w:line="480" w:lineRule="auto"/>
        <w:jc w:val="both"/>
        <w:outlineLvl w:val="0"/>
        <w:rPr>
          <w:rFonts w:ascii="Times New Roman" w:hAnsi="Times New Roman" w:cs="Times New Roman"/>
          <w:sz w:val="28"/>
          <w:szCs w:val="28"/>
        </w:rPr>
      </w:pPr>
      <w:r w:rsidRPr="0072376C">
        <w:rPr>
          <w:rFonts w:ascii="Times New Roman" w:hAnsi="Times New Roman" w:cs="Times New Roman"/>
          <w:b/>
          <w:bCs/>
          <w:sz w:val="28"/>
          <w:szCs w:val="28"/>
        </w:rPr>
        <w:t>C factor</w:t>
      </w:r>
    </w:p>
    <w:p w:rsidR="00711564" w:rsidRPr="0072376C"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sz w:val="24"/>
          <w:szCs w:val="24"/>
        </w:rPr>
        <w:t>C factor defines the type of soil cover that influences soil erodibility. Vegetation or artificial cover reduce the erosion effect. The anthropic pavements are impermeable and immobilize the soil. Vegetation has a double effect: leaves partly intercept rain drops, lowering the rainfall kinetic energy at impact with ground (“spalsh erosion”), roots promote water infiltration in the topsoil, lowering surface runoff.</w:t>
      </w:r>
    </w:p>
    <w:p w:rsidR="00711564" w:rsidRDefault="00711564" w:rsidP="00711564">
      <w:pPr>
        <w:pStyle w:val="Textbody"/>
        <w:spacing w:line="480" w:lineRule="auto"/>
        <w:jc w:val="both"/>
        <w:rPr>
          <w:rFonts w:ascii="Times New Roman" w:hAnsi="Times New Roman" w:cs="Times New Roman"/>
          <w:color w:val="000000"/>
          <w:sz w:val="24"/>
          <w:szCs w:val="24"/>
        </w:rPr>
      </w:pPr>
      <w:r w:rsidRPr="0072376C">
        <w:rPr>
          <w:rFonts w:ascii="Times New Roman" w:hAnsi="Times New Roman" w:cs="Times New Roman"/>
          <w:sz w:val="24"/>
          <w:szCs w:val="24"/>
        </w:rPr>
        <w:t xml:space="preserve">To calculate the C factor, we used the IV Level of CORINE-based dataset at regional scale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{"citationItems":[{"id":"ITEM-1","itemData":{"author":[{"dropping-particle":"","family":"Regione Veneto","given":"","non-dropping-particle":"","parse-names":false,"suffix":""}],"id":"ITEM-1","issued":{"date-parts":[["2012"]]},"publisher":"Regione del Veneto","title":"Carta di Copertura del Suolo della Regione del Veneto. GSE Land–Urban Atlas","type":"book"},"uris":["http://www.mendeley.com/documents/?uuid=44536149-33fe-3faa-8007-d9807fab11b9"]},{"id":"ITEM-2","itemData":{"abstract":"During more than 10 years of inventory of the CORINE land cover (CLC)\\nclasses an enormous experience has been built up with regard to the\\nvisual interpretation of the Landsat and SPOT satellite images. It\\nhas been found out that for most classes the initial definition could\\nbe refined, in order to exclude potential confusions, however without\\nchanging the core content of the class definition. \\n\\nIn the sense of the Technical Guide (Heymann et al. 1994) the CLC\\nclasses are defined in such a way as to comprise land cover of Europe\\nat scale 1:100 000 with all its particularities. Perfect knowledge\\nof the CLC database requires inclusion of all particularities - features\\nof land cover of individual countries generalised in the uniform\\nEuropean CLC nomenclature.\\n\\nParticularities for our purposes mean specific physiognomic and morphostructural\\nfeatures of landscape objects which can change and do change in various\\ngeographic settings (conditions) and with use of characteristics\\nof the CLC classes allow for inclusion of the objects in question\\ninto one of 44 classes of uniform European CLC nomenclature. \\n\\nTherefore, in this addendum, the CLC classes are reviewed and whenever\\nrelevant following clarifications were added: \\n\\n• refinement – extension of the definitions, \\n\\n• characteristics of the class contents \\n\\n• generalised patterns \\n\\n• representative – typical of class photographs, \\n\\n• characteristics of class particularities (occurring in the Phare\\ncountries)","author":[{"dropping-particle":"","family":"EEA","given":"","non-dropping-particle":"","parse-names":false,"suffix":""}],"container-title":"EEA Technical report No 40","id":"ITEM-2","issue":"38","issued":{"date-parts":[["2000"]]},"page":"110","title":"The revised and supplemented Corine land cover nomenclature","type":"article-journal"},"uris":["http://www.mendeley.com/documents/?uuid=2bfcb98f-341d-46e0-8ba9-f00b158ead8d"]}],"mendeley":{"formattedCitation":"&lt;span style=\"baseline\"&gt;[3,4]&lt;/span&gt;","plainTextFormattedCitation":"[3,4]","previouslyFormattedCitation":"[80,81]"},"properties":{"noteIndex":0},"schema":"https://github.com/citation-style-language/schema/raw/master/csl-citation.json"}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[3,4]</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 xml:space="preserve">. There are many studies that use several methods to determinate a suitable C value for different type of land use in different morphoclimatic conditions.  We therefore selected C values found in literature that best fit the regional environmental conditions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{"citationItems":[{"id":"ITEM-1","itemData":{"author":[{"dropping-particle":"","family":"Agenzia Regionale per la Prevenzione e protezione ambientale del Veneto. ARPAV.","given":"","non-dropping-particle":"","parse-names":false,"suffix":""}],"id":"ITEM-1","issued":{"date-parts":[["2008"]]},"number-of-pages":"49","title":"Valutazione del rischio di erosione per la regione Veneto","type":"book"},"uris":["http://www.mendeley.com/documents/?uuid=1b4cee1c-3a64-4811-a2a3-7a6865d3fbf4"]},{"id":"ITEM-2","itemData":{"ISBN":"8850652283","author":[{"dropping-particle":"","family":"Bazzoffi","given":"Paolo.","non-dropping-particle":"","parse-names":false,"suffix":""}],"id":"ITEM-2","issued":{"date-parts":[["2007"]]},"publisher":"Edagricole","title":"Erosione del suolo e sviluppo rurale : fondamenti e manualistica per la valutazione agroambientale","type":"book"},"uris":["http://www.mendeley.com/documents/?uuid=7f16e207-b2e6-38c1-842c-d9d5308c80d8"]}],"mendeley":{"formattedCitation":"&lt;span style=\"baseline\"&gt;[5,6]&lt;/span&gt;","plainTextFormattedCitation":"[5,6]","previouslyFormattedCitation":"[57,82]"},"properties":{"noteIndex":0},"schema":"https://github.com/citation-style-language/schema/raw/master/csl-citation.json"}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[5,6]</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 xml:space="preserve">. The C factor value for each type of land use is traditionally defined by numerous empirical equations and sample points that consider vegetation characteristics and morphological conditions, as surface roughness and surface cover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{"citationItems":[{"id":"ITEM-1","itemData":{"author":[{"dropping-particle":"","family":"Renard","given":"Kenneth. G","non-dropping-particle":"","parse-names":false,"suffix":""},{"dropping-particle":"","family":"Foster","given":"George R.","non-dropping-particle":"","parse-names":false,"suffix":""},{"dropping-particle":"","family":"Weesies Gienn A","given":"","non-dropping-particle":"","parse-names":false,"suffix":""},{"dropping-particle":"","family":"Porter Jeffrey p","given":"","non-dropping-particle":"","parse-names":false,"suffix":""}],"container-title":"Journal of Soil and Water Conservation","id":"ITEM-1","issue":"1","issued":{"date-parts":[["1991"]]},"page":"30-33","publisher":"Soil Conservation Society of America]","title":"RUSLE: Revised universal soil loss equation","type":"article-journal","volume":"46"},"uris":["http://www.mendeley.com/documents/?uuid=b4076ef3-88c0-383a-9c8b-47abda256548"]}],"mendeley":{"formattedCitation":"&lt;span style=\"baseline\"&gt;[2]&lt;/span&gt;","plainTextFormattedCitation":"[2]","previouslyFormattedCitation":"[49]"},"properties":{"noteIndex":0},"schema":"https://github.com/citation-style-language/schema/raw/master/csl-citation.json"}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[2]</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 Concerning</w:t>
      </w:r>
      <w:r w:rsidRPr="0072376C">
        <w:rPr>
          <w:rFonts w:ascii="Times New Roman" w:hAnsi="Times New Roman" w:cs="Times New Roman"/>
          <w:color w:val="000000"/>
          <w:sz w:val="24"/>
          <w:szCs w:val="24"/>
        </w:rPr>
        <w:t xml:space="preserve"> vineyards there are different values for C factor in literature (from 1 for arable land, to 0.02 of olive groves), according to the hydraulic-agrarian layouts, percentage of grass cover between rows, and the different techniques and crop practices adopted </w:t>
      </w:r>
      <w:r w:rsidRPr="0072376C">
        <w:rPr>
          <w:rFonts w:ascii="Times New Roman" w:hAnsi="Times New Roman" w:cs="Times New Roman"/>
          <w:color w:val="000000"/>
          <w:sz w:val="24"/>
          <w:szCs w:val="24"/>
        </w:rPr>
        <w:fldChar w:fldCharType="begin" w:fldLock="1"/>
      </w:r>
      <w:r w:rsidR="004D5659">
        <w:rPr>
          <w:rFonts w:ascii="Times New Roman" w:hAnsi="Times New Roman" w:cs="Times New Roman"/>
          <w:color w:val="000000"/>
          <w:sz w:val="24"/>
          <w:szCs w:val="24"/>
        </w:rPr>
        <w:instrText>ADDIN CSL_CITATION {"citationItems":[{"id":"ITEM-1","itemData":{"DOI":"10.1007/s10113-008-0046-8","ISBN":"1436-3798","ISSN":"14363798","abstract":"Council Regulations (EC) No 1257/1999 and the EU Soil Thematic Strategy give great importance to soil and land conservation to develop knowledge driven governance for rural development. In the hilly areas of Italy cultivated intensively, and especially in the ones devoted to viticulture, agricultural practices determine high loss of soil with consequent degradation of the soil resource. In addition to it, offsite effects of soil erosion can be unsustainable, due to sediment transfer to the channel network and infrastructures. In order to achieve a sustainable rural development there is a need for tools and instruments to allow European regional administrations, to develop, implement, manage and monitor rural development plans. To counteract the environmental threats intensified by agricultural activity, the environmental functions \"soil erosion control\" and \"water runoff control\" were investigated in the Chianti area by using GIS. To determine the EMR (Environmental Minimum Requirements) values for soil erosion the \"regeneration\" capability of soils was considered, and the value of estimated soil loss was compared with the value of soil reformation. A scenario analysis was also performed to evaluate the effectiveness of the agroenvironmental measure \"grass cover\" in reducing erosion. The concept of tolerable erosion based on soil productivity and soil reformation rate only is reductive and off-site effects of soil erosion should be also taken into account. For this reason, it was proposed to extend the concept of hydrogeological risk to soil erosion by implementing the notion of soil erosion tolerance (T) with the new concept of environmental risk of soil erosion (ERSE). The new ERSE index takes into account all the in- and off-farm externalities of soil erosion. For this reason, it can be considered an aggregated environmental indicator that enables policy makers to evaluate the impacts of soil erosion by following an holistic approach.","author":[{"dropping-particle":"","family":"Bazzoffi","given":"Paolo","non-dropping-particle":"","parse-names":false,"suffix":""}],"container-title":"Regional Environmental Change","id":"ITEM-1","issue":"3","issued":{"date-parts":[["2009"]]},"page":"169-179","title":"Soil erosion tolerance and water runoff control: Minimum environmental standards","type":"article-journal","volume":"9"},"uris":["http://www.mendeley.com/documents/?uuid=58125f91-31b0-4ab4-af3c-3fa0d1890f91"]}],"mendeley":{"formattedCitation":"&lt;span style=\"baseline\"&gt;[7]&lt;/span&gt;","plainTextFormattedCitation":"[7]","previouslyFormattedCitation":"[83]"},"properties":{"noteIndex":0},"schema":"https://github.com/citation-style-language/schema/raw/master/csl-citation.json"}</w:instrText>
      </w:r>
      <w:r w:rsidRPr="0072376C">
        <w:rPr>
          <w:rFonts w:ascii="Times New Roman" w:hAnsi="Times New Roman" w:cs="Times New Roman"/>
          <w:color w:val="000000"/>
          <w:sz w:val="24"/>
          <w:szCs w:val="24"/>
        </w:rPr>
        <w:fldChar w:fldCharType="separate"/>
      </w:r>
      <w:r w:rsidR="004D5659" w:rsidRPr="004D5659">
        <w:rPr>
          <w:rFonts w:ascii="Times New Roman" w:hAnsi="Times New Roman" w:cs="Times New Roman"/>
          <w:noProof/>
          <w:color w:val="000000"/>
          <w:sz w:val="24"/>
          <w:szCs w:val="24"/>
        </w:rPr>
        <w:t>[7]</w:t>
      </w:r>
      <w:r w:rsidRPr="0072376C">
        <w:rPr>
          <w:rFonts w:ascii="Times New Roman" w:hAnsi="Times New Roman" w:cs="Times New Roman"/>
          <w:color w:val="000000"/>
          <w:sz w:val="24"/>
          <w:szCs w:val="24"/>
        </w:rPr>
        <w:fldChar w:fldCharType="end"/>
      </w:r>
      <w:r w:rsidRPr="0072376C">
        <w:rPr>
          <w:rFonts w:ascii="Times New Roman" w:hAnsi="Times New Roman" w:cs="Times New Roman"/>
          <w:color w:val="000000"/>
          <w:sz w:val="24"/>
          <w:szCs w:val="24"/>
        </w:rPr>
        <w:t xml:space="preserve">. This happens because the viticulture is distributed in different climatic zones, from </w:t>
      </w:r>
      <w:r w:rsidRPr="0072376C">
        <w:rPr>
          <w:rFonts w:ascii="Times New Roman" w:hAnsi="Times New Roman" w:cs="Times New Roman"/>
          <w:sz w:val="24"/>
          <w:szCs w:val="24"/>
        </w:rPr>
        <w:t>rainy</w:t>
      </w:r>
      <w:r w:rsidRPr="0072376C">
        <w:rPr>
          <w:rFonts w:ascii="Times New Roman" w:hAnsi="Times New Roman" w:cs="Times New Roman"/>
          <w:color w:val="000000"/>
          <w:sz w:val="24"/>
          <w:szCs w:val="24"/>
        </w:rPr>
        <w:t xml:space="preserve"> alpine valleys to semi-desert regions in Mediterranean country. In our study, to calculate RUSLE index we adopted a conservative value of </w:t>
      </w:r>
      <w:r w:rsidRPr="00F26ED9">
        <w:rPr>
          <w:rFonts w:ascii="Times New Roman" w:hAnsi="Times New Roman" w:cs="Times New Roman"/>
          <w:color w:val="000000"/>
          <w:sz w:val="24"/>
          <w:szCs w:val="24"/>
        </w:rPr>
        <w:t>0.</w:t>
      </w:r>
      <w:r w:rsidRPr="00CC0B26">
        <w:rPr>
          <w:rFonts w:ascii="Times New Roman" w:hAnsi="Times New Roman" w:cs="Times New Roman"/>
          <w:color w:val="000000"/>
          <w:sz w:val="24"/>
          <w:szCs w:val="24"/>
        </w:rPr>
        <w:t>12</w:t>
      </w:r>
      <w:r w:rsidRPr="00F26ED9">
        <w:rPr>
          <w:rFonts w:ascii="Times New Roman" w:hAnsi="Times New Roman" w:cs="Times New Roman"/>
          <w:color w:val="000000"/>
          <w:sz w:val="24"/>
          <w:szCs w:val="24"/>
        </w:rPr>
        <w:t xml:space="preserve"> for</w:t>
      </w:r>
      <w:r w:rsidRPr="0072376C">
        <w:rPr>
          <w:rFonts w:ascii="Times New Roman" w:hAnsi="Times New Roman" w:cs="Times New Roman"/>
          <w:color w:val="000000"/>
          <w:sz w:val="24"/>
          <w:szCs w:val="24"/>
        </w:rPr>
        <w:t xml:space="preserve"> vineyards land use as suggested by </w:t>
      </w:r>
      <w:r w:rsidRPr="0072376C">
        <w:rPr>
          <w:rFonts w:ascii="Times New Roman" w:hAnsi="Times New Roman" w:cs="Times New Roman"/>
          <w:iCs/>
          <w:color w:val="000000"/>
          <w:sz w:val="24"/>
          <w:szCs w:val="24"/>
        </w:rPr>
        <w:t>ARPAV</w:t>
      </w:r>
      <w:r w:rsidRPr="0072376C">
        <w:rPr>
          <w:rFonts w:ascii="Times New Roman" w:hAnsi="Times New Roman" w:cs="Times New Roman"/>
          <w:i/>
          <w:iCs/>
          <w:color w:val="000000"/>
          <w:sz w:val="24"/>
          <w:szCs w:val="24"/>
        </w:rPr>
        <w:t xml:space="preserve"> </w:t>
      </w:r>
      <w:r w:rsidRPr="0072376C">
        <w:rPr>
          <w:rFonts w:ascii="Times New Roman" w:hAnsi="Times New Roman" w:cs="Times New Roman"/>
          <w:color w:val="000000"/>
          <w:sz w:val="24"/>
          <w:szCs w:val="24"/>
        </w:rPr>
        <w:t xml:space="preserve">(2008) </w:t>
      </w:r>
      <w:r w:rsidRPr="0072376C">
        <w:rPr>
          <w:rFonts w:ascii="Times New Roman" w:hAnsi="Times New Roman" w:cs="Times New Roman"/>
          <w:color w:val="000000"/>
          <w:sz w:val="24"/>
          <w:szCs w:val="24"/>
        </w:rPr>
        <w:fldChar w:fldCharType="begin" w:fldLock="1"/>
      </w:r>
      <w:r w:rsidR="004D5659">
        <w:rPr>
          <w:rFonts w:ascii="Times New Roman" w:hAnsi="Times New Roman" w:cs="Times New Roman"/>
          <w:color w:val="000000"/>
          <w:sz w:val="24"/>
          <w:szCs w:val="24"/>
        </w:rPr>
        <w:instrText>ADDIN CSL_CITATION {"citationItems":[{"id":"ITEM-1","itemData":{"author":[{"dropping-particle":"","family":"Agenzia Regionale per la Prevenzione e protezione ambientale del Veneto. ARPAV.","given":"","non-dropping-particle":"","parse-names":false,"suffix":""}],"id":"ITEM-1","issued":{"date-parts":[["2008"]]},"number-of-pages":"49","title":"Valutazione del rischio di erosione per la regione Veneto","type":"book"},"uris":["http://www.mendeley.com/documents/?uuid=1b4cee1c-3a64-4811-a2a3-7a6865d3fbf4"]}],"mendeley":{"formattedCitation":"&lt;span style=\"baseline\"&gt;[5]&lt;/span&gt;","plainTextFormattedCitation":"[5]","previouslyFormattedCitation":"[82]"},"properties":{"noteIndex":0},"schema":"https://github.com/citation-style-language/schema/raw/master/csl-citation.json"}</w:instrText>
      </w:r>
      <w:r w:rsidRPr="0072376C">
        <w:rPr>
          <w:rFonts w:ascii="Times New Roman" w:hAnsi="Times New Roman" w:cs="Times New Roman"/>
          <w:color w:val="000000"/>
          <w:sz w:val="24"/>
          <w:szCs w:val="24"/>
        </w:rPr>
        <w:fldChar w:fldCharType="separate"/>
      </w:r>
      <w:r w:rsidR="004D5659" w:rsidRPr="004D5659">
        <w:rPr>
          <w:rFonts w:ascii="Times New Roman" w:hAnsi="Times New Roman" w:cs="Times New Roman"/>
          <w:noProof/>
          <w:color w:val="000000"/>
          <w:sz w:val="24"/>
          <w:szCs w:val="24"/>
        </w:rPr>
        <w:t>[5]</w:t>
      </w:r>
      <w:r w:rsidRPr="0072376C">
        <w:rPr>
          <w:rFonts w:ascii="Times New Roman" w:hAnsi="Times New Roman" w:cs="Times New Roman"/>
          <w:color w:val="000000"/>
          <w:sz w:val="24"/>
          <w:szCs w:val="24"/>
        </w:rPr>
        <w:fldChar w:fldCharType="end"/>
      </w:r>
      <w:r w:rsidRPr="0072376C">
        <w:rPr>
          <w:rFonts w:ascii="Times New Roman" w:hAnsi="Times New Roman" w:cs="Times New Roman"/>
          <w:color w:val="000000"/>
          <w:sz w:val="24"/>
          <w:szCs w:val="24"/>
        </w:rPr>
        <w:t>.</w:t>
      </w:r>
    </w:p>
    <w:p w:rsidR="00711564" w:rsidRPr="0072376C" w:rsidRDefault="00711564" w:rsidP="00711564">
      <w:pPr>
        <w:pStyle w:val="Textbody"/>
        <w:spacing w:line="480" w:lineRule="auto"/>
        <w:jc w:val="both"/>
        <w:rPr>
          <w:rFonts w:ascii="Times New Roman" w:hAnsi="Times New Roman" w:cs="Times New Roman"/>
          <w:sz w:val="24"/>
          <w:szCs w:val="24"/>
        </w:rPr>
      </w:pPr>
    </w:p>
    <w:p w:rsidR="00711564" w:rsidRPr="0072376C" w:rsidRDefault="00711564" w:rsidP="00711564">
      <w:pPr>
        <w:pStyle w:val="Titolo2"/>
        <w:spacing w:line="480" w:lineRule="auto"/>
        <w:ind w:left="0"/>
        <w:jc w:val="both"/>
        <w:rPr>
          <w:rFonts w:ascii="Times New Roman" w:hAnsi="Times New Roman" w:cs="Times New Roman"/>
          <w:b/>
          <w:szCs w:val="24"/>
        </w:rPr>
      </w:pPr>
      <w:r w:rsidRPr="0072376C">
        <w:rPr>
          <w:rFonts w:ascii="Times New Roman" w:hAnsi="Times New Roman" w:cs="Times New Roman"/>
          <w:b/>
          <w:sz w:val="28"/>
          <w:szCs w:val="28"/>
        </w:rPr>
        <w:t>LS factor</w:t>
      </w:r>
    </w:p>
    <w:p w:rsidR="00711564" w:rsidRDefault="00711564" w:rsidP="00711564">
      <w:pPr>
        <w:pStyle w:val="Textbody"/>
        <w:spacing w:line="480" w:lineRule="auto"/>
        <w:jc w:val="both"/>
        <w:rPr>
          <w:rFonts w:ascii="Times New Roman" w:hAnsi="Times New Roman" w:cs="Times New Roman"/>
          <w:sz w:val="24"/>
          <w:szCs w:val="24"/>
        </w:rPr>
      </w:pPr>
      <w:r w:rsidRPr="0072376C">
        <w:rPr>
          <w:rFonts w:ascii="Times New Roman" w:hAnsi="Times New Roman" w:cs="Times New Roman"/>
          <w:sz w:val="24"/>
          <w:szCs w:val="24"/>
        </w:rPr>
        <w:t xml:space="preserve">LS factor represents the topography (length and slope) that influences soil erosion effectiveness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{"citationItems":[{"id":"ITEM-1","itemData":{"DOI":"10.13031/2013.30576","ISSN":"2151-0059","abstract":"&lt;p&gt;\nABSTRACT Areanalysis of historical and recent data from both natural and simulated rainfall soil erosion plots has resulted in new slope steepness relationships for the Universal Soil Loss Equation. For long slopes on which both interrill and rill erosion occur, the relationships consist of two linear segments with a breakpoint at 9% slope. These relationships predict less erosion than current relationships on slopes steeper than 9% and slopes flatter than about 1%. A separate equation is proposed for the slope effect on short slopes where only interrill erosion is present. For conditions where surface flow over thaw-weakened soil dominates the erosion process, two relationships with a breakpoint at 9% slope are presented.\n&lt;/p&gt;\n\n\n&lt;/abstract&gt;","author":[{"dropping-particle":"","family":"D. K. McCool","given":"D. K.","non-dropping-particle":"","parse-names":false,"suffix":""},{"dropping-particle":"","family":"L. C. Brown","given":"L. C.","non-dropping-particle":"","parse-names":false,"suffix":""},{"dropping-particle":"","family":"G. R. Foster","given":"G. R.","non-dropping-particle":"","parse-names":false,"suffix":""},{"dropping-particle":"","family":"C. K. Mutchler","given":"C. K.","non-dropping-particle":"","parse-names":false,"suffix":""},{"dropping-particle":"","family":"L. D. Meyer","given":"L. D.","non-dropping-particle":"","parse-names":false,"suffix":""}],"container-title":"Transactions of the ASAE","id":"ITEM-1","issue":"5","issued":{"date-parts":[["1987"]]},"page":"1387-1396","publisher":"American Society of Agricultural and Biological Engineers","title":"Revised Slope Steepness Factor for the Universal Soil Loss Equation","type":"article-journal","volume":"30"},"uris":["http://www.mendeley.com/documents/?uuid=2e30743e-430a-3015-8882-065062799fb2"]}],"mendeley":{"formattedCitation":"&lt;span style=\"baseline\"&gt;[8]&lt;/span&gt;","plainTextFormattedCitation":"[8]","previouslyFormattedCitation":"[84]"},"properties":{"noteIndex":0},"schema":"https://github.com/citation-style-language/schema/raw/master/csl-citation.json"}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[8]</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 xml:space="preserve">. This factor indicates where erosion may act more aggressively and it includes only topographic variables. Depending on these morphological conditions, especially after intense rainfall events, water can acquire high velocity and energy in order to form streams or erosional channels. In order to calculate LS factor, we performed a DTM analysis over 1 m geometric resolution </w:t>
      </w:r>
      <w:r>
        <w:rPr>
          <w:rFonts w:ascii="Times New Roman" w:hAnsi="Times New Roman" w:cs="Times New Roman"/>
          <w:sz w:val="24"/>
          <w:szCs w:val="24"/>
        </w:rPr>
        <w:t>of</w:t>
      </w:r>
      <w:r w:rsidRPr="0072376C">
        <w:rPr>
          <w:rFonts w:ascii="Times New Roman" w:hAnsi="Times New Roman" w:cs="Times New Roman"/>
          <w:sz w:val="24"/>
          <w:szCs w:val="24"/>
        </w:rPr>
        <w:t xml:space="preserve"> Laser Imaging Detection and Ranging data</w:t>
      </w:r>
      <w:r>
        <w:rPr>
          <w:rFonts w:ascii="Times New Roman" w:hAnsi="Times New Roman" w:cs="Times New Roman"/>
          <w:sz w:val="24"/>
          <w:szCs w:val="24"/>
        </w:rPr>
        <w:t xml:space="preserve"> (LiDAR)</w:t>
      </w:r>
      <w:r w:rsidRPr="0072376C">
        <w:rPr>
          <w:rFonts w:ascii="Times New Roman" w:hAnsi="Times New Roman" w:cs="Times New Roman"/>
          <w:sz w:val="24"/>
          <w:szCs w:val="24"/>
        </w:rPr>
        <w:t xml:space="preserve"> </w:t>
      </w:r>
      <w:r w:rsidRPr="0072376C">
        <w:rPr>
          <w:rFonts w:ascii="Times New Roman" w:hAnsi="Times New Roman" w:cs="Times New Roman"/>
          <w:sz w:val="24"/>
          <w:szCs w:val="24"/>
        </w:rPr>
        <w:fldChar w:fldCharType="begin" w:fldLock="1"/>
      </w:r>
      <w:r w:rsidR="004D5659">
        <w:rPr>
          <w:rFonts w:ascii="Times New Roman" w:hAnsi="Times New Roman" w:cs="Times New Roman"/>
          <w:sz w:val="24"/>
          <w:szCs w:val="24"/>
        </w:rPr>
        <w:instrText>ADDIN CSL_CITATION {"citationItems":[{"id":"ITEM-1","itemData":{"author":[{"dropping-particle":"","family":"Blanos","given":"R.","non-dropping-particle":"","parse-names":false,"suffix":""},{"dropping-particle":"","family":"cillia","given":"C.","non-dropping-particle":"De","parse-names":false,"suffix":""},{"dropping-particle":"","family":"Paganini","given":"P0.","non-dropping-particle":"","parse-names":false,"suffix":""},{"dropping-particle":"","family":"Pavan","given":"A.","non-dropping-particle":"","parse-names":false,"suffix":""},{"dropping-particle":"","family":"Sterzai","given":"P.","non-dropping-particle":"","parse-names":false,"suffix":""},{"dropping-particle":"","family":"Pietrapertosa","given":"C.","non-dropping-particle":"","parse-names":false,"suffix":""},{"dropping-particle":"","family":"Vidmar","given":"R","non-dropping-particle":"","parse-names":false,"suffix":""},{"dropping-particle":"","family":"Creati","given":"N","non-dropping-particle":"","parse-names":false,"suffix":""},{"dropping-particle":"","family":"Martini","given":"G","non-dropping-particle":"","parse-names":false,"suffix":""}],"id":"ITEM-1","issued":{"date-parts":[["2009"]]},"number-of-pages":"62","title":"Rilievo lidar ed iperspettrale della provincia di Treviso","type":"report"},"uris":["http://www.mendeley.com/documents/?uuid=298df055-0e2f-4bf5-a304-cd5c3ecf2e8e"]}],"mendeley":{"formattedCitation":"&lt;span style=\"baseline\"&gt;[9]&lt;/span&gt;","plainTextFormattedCitation":"[9]","previouslyFormattedCitation":"[85]"},"properties":{"noteIndex":0},"schema":"https://github.com/citation-style-language/schema/raw/master/csl-citation.json"}</w:instrText>
      </w:r>
      <w:r w:rsidRPr="0072376C">
        <w:rPr>
          <w:rFonts w:ascii="Times New Roman" w:hAnsi="Times New Roman" w:cs="Times New Roman"/>
          <w:sz w:val="24"/>
          <w:szCs w:val="24"/>
        </w:rPr>
        <w:fldChar w:fldCharType="separate"/>
      </w:r>
      <w:r w:rsidR="004D5659" w:rsidRPr="004D5659">
        <w:rPr>
          <w:rFonts w:ascii="Times New Roman" w:hAnsi="Times New Roman" w:cs="Times New Roman"/>
          <w:noProof/>
          <w:sz w:val="24"/>
          <w:szCs w:val="24"/>
        </w:rPr>
        <w:t>[9]</w:t>
      </w:r>
      <w:r w:rsidRPr="0072376C">
        <w:rPr>
          <w:rFonts w:ascii="Times New Roman" w:hAnsi="Times New Roman" w:cs="Times New Roman"/>
          <w:sz w:val="24"/>
          <w:szCs w:val="24"/>
        </w:rPr>
        <w:fldChar w:fldCharType="end"/>
      </w:r>
      <w:r w:rsidRPr="0072376C">
        <w:rPr>
          <w:rFonts w:ascii="Times New Roman" w:hAnsi="Times New Roman" w:cs="Times New Roman"/>
          <w:sz w:val="24"/>
          <w:szCs w:val="24"/>
        </w:rPr>
        <w:t>. The formula used for LS factor estimation is after Moore and Burch (1986):</w:t>
      </w:r>
    </w:p>
    <w:p w:rsidR="00711564" w:rsidRPr="00371A65" w:rsidRDefault="00711564" w:rsidP="00711564">
      <w:pPr>
        <w:pStyle w:val="Textbody"/>
        <w:spacing w:line="480" w:lineRule="auto"/>
        <w:jc w:val="both"/>
        <w:rPr>
          <w:noProof/>
          <w:sz w:val="24"/>
          <w:szCs w:val="24"/>
        </w:rPr>
      </w:pPr>
      <m:oMathPara>
        <m:oMath>
          <m:r>
            <w:rPr>
              <w:rFonts w:ascii="Cambria Math" w:hAnsi="Cambria Math" w:cs="Times New Roman"/>
              <w:sz w:val="24"/>
              <w:szCs w:val="24"/>
            </w:rPr>
            <m:t xml:space="preserve">LS=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Flow accumulation*</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cell size</m:t>
                          </m:r>
                        </m:num>
                        <m:den>
                          <m:r>
                            <w:rPr>
                              <w:rFonts w:ascii="Cambria Math" w:hAnsi="Cambria Math" w:cs="Times New Roman"/>
                              <w:sz w:val="24"/>
                              <w:szCs w:val="24"/>
                            </w:rPr>
                            <m:t>22.13</m:t>
                          </m:r>
                        </m:den>
                      </m:f>
                    </m:e>
                  </m:d>
                </m:e>
              </m:d>
            </m:e>
            <m:sup>
              <m:r>
                <w:rPr>
                  <w:rFonts w:ascii="Cambria Math" w:hAnsi="Cambria Math" w:cs="Times New Roman"/>
                  <w:sz w:val="24"/>
                  <w:szCs w:val="24"/>
                </w:rPr>
                <m:t>0.4</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m:rPr>
                              <m:sty m:val="p"/>
                            </m:rPr>
                            <w:rPr>
                              <w:rFonts w:ascii="Cambria Math" w:hAnsi="Cambria Math" w:cs="Times New Roman"/>
                              <w:sz w:val="24"/>
                              <w:szCs w:val="24"/>
                            </w:rPr>
                            <m:t>sin⁡</m:t>
                          </m:r>
                          <m:r>
                            <w:rPr>
                              <w:rFonts w:ascii="Cambria Math" w:hAnsi="Cambria Math" w:cs="Times New Roman"/>
                              <w:sz w:val="24"/>
                              <w:szCs w:val="24"/>
                            </w:rPr>
                            <m:t>(slope)</m:t>
                          </m:r>
                        </m:e>
                      </m:d>
                    </m:num>
                    <m:den>
                      <m:r>
                        <w:rPr>
                          <w:rFonts w:ascii="Cambria Math" w:hAnsi="Cambria Math" w:cs="Times New Roman"/>
                          <w:sz w:val="24"/>
                          <w:szCs w:val="24"/>
                        </w:rPr>
                        <m:t>0.0896</m:t>
                      </m:r>
                    </m:den>
                  </m:f>
                </m:e>
              </m:d>
            </m:e>
            <m:sup>
              <m:r>
                <w:rPr>
                  <w:rFonts w:ascii="Cambria Math" w:hAnsi="Cambria Math" w:cs="Times New Roman"/>
                  <w:sz w:val="24"/>
                  <w:szCs w:val="24"/>
                </w:rPr>
                <m:t>1.3</m:t>
              </m:r>
            </m:sup>
          </m:sSup>
        </m:oMath>
      </m:oMathPara>
    </w:p>
    <w:p w:rsidR="00711564" w:rsidRPr="0072376C" w:rsidRDefault="00711564" w:rsidP="00711564">
      <w:pPr>
        <w:pStyle w:val="Textbody"/>
        <w:spacing w:line="480" w:lineRule="auto"/>
        <w:jc w:val="both"/>
        <w:rPr>
          <w:rFonts w:ascii="Times New Roman" w:hAnsi="Times New Roman" w:cs="Times New Roman"/>
          <w:iCs/>
          <w:color w:val="000000"/>
          <w:sz w:val="24"/>
          <w:szCs w:val="24"/>
        </w:rPr>
      </w:pPr>
      <w:r w:rsidRPr="0072376C">
        <w:rPr>
          <w:rFonts w:ascii="Times New Roman" w:hAnsi="Times New Roman" w:cs="Times New Roman"/>
          <w:sz w:val="24"/>
          <w:szCs w:val="24"/>
        </w:rPr>
        <w:t xml:space="preserve">where </w:t>
      </w:r>
      <w:r w:rsidRPr="0072376C">
        <w:rPr>
          <w:rFonts w:ascii="Times New Roman" w:hAnsi="Times New Roman" w:cs="Times New Roman"/>
          <w:i/>
          <w:iCs/>
          <w:sz w:val="24"/>
          <w:szCs w:val="24"/>
        </w:rPr>
        <w:t>Flow accumulation</w:t>
      </w:r>
      <w:r w:rsidRPr="0072376C">
        <w:rPr>
          <w:rFonts w:ascii="Times New Roman" w:hAnsi="Times New Roman" w:cs="Times New Roman"/>
          <w:sz w:val="24"/>
          <w:szCs w:val="24"/>
        </w:rPr>
        <w:t xml:space="preserve"> is calculated for each pixel, as the sum of area that lies upstream of the respective basin.</w:t>
      </w:r>
      <w:r w:rsidRPr="0072376C">
        <w:rPr>
          <w:rFonts w:ascii="Times New Roman" w:hAnsi="Times New Roman" w:cs="Times New Roman"/>
          <w:color w:val="FF6600"/>
          <w:sz w:val="24"/>
          <w:szCs w:val="24"/>
        </w:rPr>
        <w:t xml:space="preserve"> </w:t>
      </w:r>
      <w:r w:rsidRPr="0072376C">
        <w:rPr>
          <w:rFonts w:ascii="Times New Roman" w:hAnsi="Times New Roman" w:cs="Times New Roman"/>
          <w:color w:val="000000"/>
          <w:sz w:val="24"/>
          <w:szCs w:val="24"/>
        </w:rPr>
        <w:t xml:space="preserve">In this work the </w:t>
      </w:r>
      <w:r w:rsidRPr="0072376C">
        <w:rPr>
          <w:rFonts w:ascii="Times New Roman" w:hAnsi="Times New Roman" w:cs="Times New Roman"/>
          <w:iCs/>
          <w:color w:val="000000"/>
          <w:sz w:val="24"/>
          <w:szCs w:val="24"/>
        </w:rPr>
        <w:t xml:space="preserve">cell size </w:t>
      </w:r>
      <w:r w:rsidRPr="0072376C">
        <w:rPr>
          <w:rFonts w:ascii="Times New Roman" w:hAnsi="Times New Roman" w:cs="Times New Roman"/>
          <w:color w:val="000000"/>
          <w:sz w:val="24"/>
          <w:szCs w:val="24"/>
        </w:rPr>
        <w:t>adopted</w:t>
      </w:r>
      <w:r w:rsidRPr="0072376C">
        <w:rPr>
          <w:rFonts w:ascii="Times New Roman" w:hAnsi="Times New Roman" w:cs="Times New Roman"/>
          <w:iCs/>
          <w:color w:val="000000"/>
          <w:sz w:val="24"/>
          <w:szCs w:val="24"/>
        </w:rPr>
        <w:t xml:space="preserve"> </w:t>
      </w:r>
      <w:r w:rsidRPr="0072376C">
        <w:rPr>
          <w:rFonts w:ascii="Times New Roman" w:hAnsi="Times New Roman" w:cs="Times New Roman"/>
          <w:color w:val="000000"/>
          <w:sz w:val="24"/>
          <w:szCs w:val="24"/>
        </w:rPr>
        <w:t xml:space="preserve">is 1 m. </w:t>
      </w:r>
      <w:r w:rsidRPr="0072376C">
        <w:rPr>
          <w:rFonts w:ascii="Times New Roman" w:hAnsi="Times New Roman" w:cs="Times New Roman"/>
          <w:iCs/>
          <w:color w:val="000000"/>
          <w:sz w:val="24"/>
          <w:szCs w:val="24"/>
        </w:rPr>
        <w:t>Slope</w:t>
      </w:r>
      <w:r w:rsidRPr="0072376C">
        <w:rPr>
          <w:rFonts w:ascii="Times New Roman" w:hAnsi="Times New Roman" w:cs="Times New Roman"/>
          <w:i/>
          <w:iCs/>
          <w:color w:val="000000"/>
          <w:sz w:val="24"/>
          <w:szCs w:val="24"/>
        </w:rPr>
        <w:t xml:space="preserve"> </w:t>
      </w:r>
      <w:r w:rsidRPr="0072376C">
        <w:rPr>
          <w:rFonts w:ascii="Times New Roman" w:hAnsi="Times New Roman" w:cs="Times New Roman"/>
          <w:color w:val="000000"/>
          <w:sz w:val="24"/>
          <w:szCs w:val="24"/>
        </w:rPr>
        <w:t>raster was built by function “terrain” in R raster library (R Core Team, 2016) and represents the slope in degrees.</w:t>
      </w:r>
    </w:p>
    <w:p w:rsidR="00711564" w:rsidRPr="00DB0D83" w:rsidRDefault="00711564" w:rsidP="00711564">
      <w:pPr>
        <w:pStyle w:val="Textbody"/>
        <w:spacing w:line="480" w:lineRule="auto"/>
        <w:jc w:val="both"/>
        <w:rPr>
          <w:rFonts w:ascii="Times New Roman" w:hAnsi="Times New Roman" w:cs="Times New Roman"/>
          <w:color w:val="000000"/>
          <w:sz w:val="24"/>
          <w:szCs w:val="24"/>
          <w:highlight w:val="yellow"/>
          <w:lang w:val="en-GB"/>
        </w:rPr>
      </w:pPr>
      <w:r w:rsidRPr="0072376C">
        <w:rPr>
          <w:rFonts w:ascii="Times New Roman" w:hAnsi="Times New Roman" w:cs="Times New Roman"/>
          <w:i/>
          <w:iCs/>
          <w:color w:val="000000"/>
          <w:sz w:val="24"/>
          <w:szCs w:val="24"/>
        </w:rPr>
        <w:t xml:space="preserve">Flow accumulation </w:t>
      </w:r>
      <w:r w:rsidRPr="0072376C">
        <w:rPr>
          <w:rFonts w:ascii="Times New Roman" w:hAnsi="Times New Roman" w:cs="Times New Roman"/>
          <w:iCs/>
          <w:color w:val="000000"/>
          <w:sz w:val="24"/>
          <w:szCs w:val="24"/>
        </w:rPr>
        <w:t xml:space="preserve">is obviously </w:t>
      </w:r>
      <w:r w:rsidRPr="0072376C">
        <w:rPr>
          <w:rFonts w:ascii="Times New Roman" w:hAnsi="Times New Roman" w:cs="Times New Roman"/>
          <w:color w:val="000000"/>
          <w:sz w:val="24"/>
          <w:szCs w:val="24"/>
        </w:rPr>
        <w:t xml:space="preserve">very high in correspondence of rivers and streams, which results in high LS values that have an important impact on RUSLE final calculation. As our study focuses on areal soil erosion related to surface runoff and incipient rills and gullies, rather than linear erosion along the river network, we chose </w:t>
      </w:r>
      <w:r>
        <w:rPr>
          <w:rFonts w:ascii="Times New Roman" w:hAnsi="Times New Roman" w:cs="Times New Roman"/>
          <w:color w:val="000000"/>
          <w:sz w:val="24"/>
          <w:szCs w:val="24"/>
        </w:rPr>
        <w:t>t</w:t>
      </w:r>
      <w:r>
        <w:rPr>
          <w:rFonts w:ascii="Times New Roman" w:hAnsi="Times New Roman" w:cs="Times New Roman"/>
          <w:sz w:val="24"/>
          <w:szCs w:val="24"/>
        </w:rPr>
        <w:t xml:space="preserve">o </w:t>
      </w:r>
      <w:r w:rsidRPr="000447A9">
        <w:rPr>
          <w:rFonts w:ascii="Times New Roman" w:hAnsi="Times New Roman" w:cs="Times New Roman"/>
          <w:sz w:val="24"/>
          <w:szCs w:val="24"/>
        </w:rPr>
        <w:t xml:space="preserve">compensate </w:t>
      </w:r>
      <w:r>
        <w:rPr>
          <w:rFonts w:ascii="Times New Roman" w:hAnsi="Times New Roman" w:cs="Times New Roman"/>
          <w:sz w:val="24"/>
          <w:szCs w:val="24"/>
        </w:rPr>
        <w:t xml:space="preserve">possible </w:t>
      </w:r>
      <w:r w:rsidRPr="000447A9">
        <w:rPr>
          <w:rFonts w:ascii="Times New Roman" w:hAnsi="Times New Roman" w:cs="Times New Roman"/>
          <w:sz w:val="24"/>
          <w:szCs w:val="24"/>
        </w:rPr>
        <w:t xml:space="preserve">overestimation </w:t>
      </w:r>
      <w:r>
        <w:rPr>
          <w:rFonts w:ascii="Times New Roman" w:hAnsi="Times New Roman" w:cs="Times New Roman"/>
          <w:sz w:val="24"/>
          <w:szCs w:val="24"/>
        </w:rPr>
        <w:t xml:space="preserve">for estimating LS factor </w:t>
      </w:r>
      <w:r w:rsidRPr="000447A9">
        <w:rPr>
          <w:rFonts w:ascii="Times New Roman" w:hAnsi="Times New Roman" w:cs="Times New Roman"/>
          <w:sz w:val="24"/>
          <w:szCs w:val="24"/>
        </w:rPr>
        <w:t>we adjusted the slope length (λ setting the unit contributing area (UCA) on a threshold of 5 ha basin. Therefore, all stream networks greater than 5 ha were automatically excluded for LS calculation, limiting possible overestimations. Moreover, LiDAR DTM at 1-m cell size shows the morphology of all anthropic feature</w:t>
      </w:r>
      <w:r>
        <w:rPr>
          <w:rFonts w:ascii="Times New Roman" w:hAnsi="Times New Roman" w:cs="Times New Roman"/>
          <w:sz w:val="24"/>
          <w:szCs w:val="24"/>
        </w:rPr>
        <w:t>s,</w:t>
      </w:r>
      <w:r w:rsidRPr="000447A9">
        <w:rPr>
          <w:rFonts w:ascii="Times New Roman" w:hAnsi="Times New Roman" w:cs="Times New Roman"/>
          <w:sz w:val="24"/>
          <w:szCs w:val="24"/>
        </w:rPr>
        <w:t xml:space="preserve"> as i.e. terraced landforms and little narrow streets: the flow accumulation tool reflects this kind of terrain morphology, reducing all the values along the hillside length by every of each break-slope</w:t>
      </w:r>
      <w:r>
        <w:rPr>
          <w:rFonts w:ascii="Times New Roman" w:hAnsi="Times New Roman" w:cs="Times New Roman"/>
          <w:sz w:val="24"/>
          <w:szCs w:val="24"/>
        </w:rPr>
        <w:t xml:space="preserve"> </w:t>
      </w:r>
    </w:p>
    <w:p w:rsidR="00711564" w:rsidRDefault="00711564" w:rsidP="00711564">
      <w:pPr>
        <w:pStyle w:val="Textbody"/>
        <w:spacing w:line="480" w:lineRule="auto"/>
        <w:jc w:val="both"/>
        <w:rPr>
          <w:rFonts w:ascii="Times New Roman" w:hAnsi="Times New Roman" w:cs="Times New Roman"/>
          <w:sz w:val="24"/>
          <w:szCs w:val="24"/>
        </w:rPr>
      </w:pPr>
    </w:p>
    <w:p w:rsidR="005B5DC6" w:rsidRPr="00477CBA" w:rsidRDefault="005B5DC6" w:rsidP="005B5DC6">
      <w:pPr>
        <w:suppressAutoHyphens w:val="0"/>
        <w:spacing w:line="360" w:lineRule="auto"/>
        <w:textAlignment w:val="auto"/>
        <w:rPr>
          <w:rFonts w:ascii="Times New Roman" w:hAnsi="Times New Roman" w:cs="Times New Roman"/>
          <w:b/>
          <w:sz w:val="24"/>
          <w:szCs w:val="24"/>
          <w:lang w:val="en-GB"/>
        </w:rPr>
      </w:pPr>
      <w:r w:rsidRPr="00477CBA">
        <w:rPr>
          <w:rFonts w:ascii="Times New Roman" w:hAnsi="Times New Roman" w:cs="Times New Roman"/>
          <w:b/>
          <w:sz w:val="24"/>
          <w:szCs w:val="24"/>
          <w:lang w:val="en-GB"/>
        </w:rPr>
        <w:t>S2 Fig.</w:t>
      </w:r>
      <w:r>
        <w:rPr>
          <w:rFonts w:ascii="Times New Roman" w:hAnsi="Times New Roman" w:cs="Times New Roman"/>
          <w:b/>
          <w:sz w:val="24"/>
          <w:szCs w:val="24"/>
          <w:lang w:val="en-GB"/>
        </w:rPr>
        <w:t xml:space="preserve"> LS factor map. </w:t>
      </w:r>
      <w:r w:rsidRPr="00477CBA">
        <w:rPr>
          <w:rFonts w:ascii="Times New Roman" w:hAnsi="Times New Roman" w:cs="Times New Roman"/>
          <w:sz w:val="24"/>
          <w:szCs w:val="24"/>
          <w:lang w:val="en-GB"/>
        </w:rPr>
        <w:t xml:space="preserve">Map showing LS factor values in the Prosecco DOCG: reduction of LS values </w:t>
      </w:r>
      <w:r>
        <w:rPr>
          <w:rFonts w:ascii="Times New Roman" w:hAnsi="Times New Roman" w:cs="Times New Roman"/>
          <w:sz w:val="24"/>
          <w:szCs w:val="24"/>
          <w:lang w:val="en-GB"/>
        </w:rPr>
        <w:t xml:space="preserve">is visible </w:t>
      </w:r>
      <w:r w:rsidRPr="00477CBA">
        <w:rPr>
          <w:rFonts w:ascii="Times New Roman" w:hAnsi="Times New Roman" w:cs="Times New Roman"/>
          <w:sz w:val="24"/>
          <w:szCs w:val="24"/>
          <w:lang w:val="en-GB"/>
        </w:rPr>
        <w:t>along terraced landforms, and 0 values along the main stream networks.</w:t>
      </w:r>
    </w:p>
    <w:p w:rsidR="00711564" w:rsidRPr="005B5DC6" w:rsidRDefault="00711564" w:rsidP="00711564">
      <w:pPr>
        <w:pStyle w:val="Textbody"/>
        <w:spacing w:line="480" w:lineRule="auto"/>
        <w:rPr>
          <w:rFonts w:ascii="Times New Roman" w:hAnsi="Times New Roman" w:cs="Times New Roman"/>
          <w:color w:val="000000"/>
          <w:sz w:val="24"/>
          <w:szCs w:val="24"/>
          <w:lang w:val="en-GB"/>
        </w:rPr>
      </w:pPr>
    </w:p>
    <w:p w:rsidR="00711564" w:rsidRPr="0072376C" w:rsidRDefault="00711564" w:rsidP="00711564">
      <w:pPr>
        <w:pStyle w:val="Titolo2"/>
        <w:spacing w:line="480" w:lineRule="auto"/>
        <w:ind w:left="0"/>
        <w:rPr>
          <w:rFonts w:ascii="Times New Roman" w:hAnsi="Times New Roman" w:cs="Times New Roman"/>
          <w:b/>
          <w:sz w:val="28"/>
          <w:szCs w:val="24"/>
        </w:rPr>
      </w:pPr>
      <w:r w:rsidRPr="0072376C">
        <w:rPr>
          <w:rFonts w:ascii="Times New Roman" w:hAnsi="Times New Roman" w:cs="Times New Roman"/>
          <w:b/>
          <w:sz w:val="28"/>
          <w:szCs w:val="24"/>
        </w:rPr>
        <w:t>K factor</w:t>
      </w:r>
    </w:p>
    <w:p w:rsidR="00711564" w:rsidRPr="0072376C" w:rsidRDefault="00711564" w:rsidP="00711564">
      <w:pPr>
        <w:pStyle w:val="Standard"/>
        <w:spacing w:line="480" w:lineRule="auto"/>
        <w:jc w:val="both"/>
        <w:rPr>
          <w:color w:val="000000"/>
          <w:sz w:val="24"/>
          <w:szCs w:val="24"/>
        </w:rPr>
      </w:pPr>
      <w:r w:rsidRPr="0072376C">
        <w:rPr>
          <w:color w:val="000000"/>
          <w:sz w:val="24"/>
          <w:szCs w:val="24"/>
        </w:rPr>
        <w:t xml:space="preserve">K factor represents the erodibility of soils and its susceptibility to erosion. The method used for calculation is the original equation of Wischmeier, described in 1978, as reported in Handbook 703 "Predicting soil erosion by water: a guide to conservation planning with the Revised Universal Soil Loss Equation" </w:t>
      </w:r>
      <w:r w:rsidRPr="0072376C">
        <w:rPr>
          <w:color w:val="000000"/>
          <w:sz w:val="24"/>
          <w:szCs w:val="24"/>
        </w:rPr>
        <w:fldChar w:fldCharType="begin" w:fldLock="1"/>
      </w:r>
      <w:r w:rsidR="004D5659">
        <w:rPr>
          <w:color w:val="000000"/>
          <w:sz w:val="24"/>
          <w:szCs w:val="24"/>
        </w:rPr>
        <w:instrText>ADDIN CSL_CITATION {"citationItems":[{"id":"ITEM-1","itemData":{"author":[{"dropping-particle":"","family":"Renard","given":"Kenneth. G","non-dropping-particle":"","parse-names":false,"suffix":""},{"dropping-particle":"","family":"Foster","given":"George R.","non-dropping-particle":"","parse-names":false,"suffix":""},{"dropping-particle":"","family":"Weesies Gienn A","given":"","non-dropping-particle":"","parse-names":false,"suffix":""},{"dropping-particle":"","family":"Porter Jeffrey p","given":"","non-dropping-particle":"","parse-names":false,"suffix":""}],"container-title":"Journal of Soil and Water Conservation","id":"ITEM-1","issue":"1","issued":{"date-parts":[["1991"]]},"page":"30-33","publisher":"Soil Conservation Society of America]","title":"RUSLE: Revised universal soil loss equation","type":"article-journal","volume":"46"},"uris":["http://www.mendeley.com/documents/?uuid=b4076ef3-88c0-383a-9c8b-47abda256548"]}],"mendeley":{"formattedCitation":"&lt;span style=\"baseline\"&gt;[2]&lt;/span&gt;","plainTextFormattedCitation":"[2]","previouslyFormattedCitation":"[49]"},"properties":{"noteIndex":0},"schema":"https://github.com/citation-style-language/schema/raw/master/csl-citation.json"}</w:instrText>
      </w:r>
      <w:r w:rsidRPr="0072376C">
        <w:rPr>
          <w:color w:val="000000"/>
          <w:sz w:val="24"/>
          <w:szCs w:val="24"/>
        </w:rPr>
        <w:fldChar w:fldCharType="separate"/>
      </w:r>
      <w:r w:rsidR="004D5659" w:rsidRPr="004D5659">
        <w:rPr>
          <w:noProof/>
          <w:color w:val="000000"/>
          <w:sz w:val="24"/>
          <w:szCs w:val="24"/>
        </w:rPr>
        <w:t>[2]</w:t>
      </w:r>
      <w:r w:rsidRPr="0072376C">
        <w:rPr>
          <w:color w:val="000000"/>
          <w:sz w:val="24"/>
          <w:szCs w:val="24"/>
        </w:rPr>
        <w:fldChar w:fldCharType="end"/>
      </w:r>
      <w:r w:rsidRPr="0072376C">
        <w:rPr>
          <w:color w:val="000000"/>
          <w:sz w:val="24"/>
          <w:szCs w:val="24"/>
        </w:rPr>
        <w:t>.</w:t>
      </w:r>
    </w:p>
    <w:p w:rsidR="00711564" w:rsidRDefault="00711564" w:rsidP="00711564">
      <w:pPr>
        <w:pStyle w:val="Standard"/>
        <w:spacing w:line="480" w:lineRule="auto"/>
        <w:jc w:val="both"/>
        <w:rPr>
          <w:color w:val="000000"/>
          <w:sz w:val="24"/>
          <w:szCs w:val="24"/>
        </w:rPr>
      </w:pPr>
      <w:r w:rsidRPr="0072376C">
        <w:rPr>
          <w:color w:val="000000"/>
          <w:sz w:val="24"/>
          <w:szCs w:val="24"/>
        </w:rPr>
        <w:t xml:space="preserve">In literature, due to the difficulty in recovering soil data required by the original equation, simplified pedofunctions are available for calculating the K factor. At regional level the K factor was calculated using Renard and Torri simplified function (1997) </w:t>
      </w:r>
      <w:r w:rsidRPr="0072376C">
        <w:rPr>
          <w:color w:val="000000"/>
          <w:sz w:val="24"/>
          <w:szCs w:val="24"/>
        </w:rPr>
        <w:fldChar w:fldCharType="begin" w:fldLock="1"/>
      </w:r>
      <w:r w:rsidR="004D5659">
        <w:rPr>
          <w:color w:val="000000"/>
          <w:sz w:val="24"/>
          <w:szCs w:val="24"/>
        </w:rPr>
        <w:instrText>ADDIN CSL_CITATION {"citationItems":[{"id":"ITEM-1","itemData":{"author":[{"dropping-particle":"","family":"Renard","given":"Kenneth. G","non-dropping-particle":"","parse-names":false,"suffix":""},{"dropping-particle":"","family":"Foster","given":"George R.","non-dropping-particle":"","parse-names":false,"suffix":""},{"dropping-particle":"","family":"Weesies Gienn A","given":"","non-dropping-particle":"","parse-names":false,"suffix":""},{"dropping-particle":"","family":"Porter Jeffrey p","given":"","non-dropping-particle":"","parse-names":false,"suffix":""}],"container-title":"Journal of Soil and Water Conservation","id":"ITEM-1","issue":"1","issued":{"date-parts":[["1991"]]},"page":"30-33","publisher":"Soil Conservation Society of America]","title":"RUSLE: Revised universal soil loss equation","type":"article-journal","volume":"46"},"uris":["http://www.mendeley.com/documents/?uuid=b4076ef3-88c0-383a-9c8b-47abda256548"]},{"id":"ITEM-2","itemData":{"DOI":"10.1016/S0341-8162(97)00036-2","ISSN":"03418162","author":[{"dropping-particle":"","family":"Torri","given":"Dino","non-dropping-particle":"","parse-names":false,"suffix":""},{"dropping-particle":"","family":"Poesen","given":"Jean","non-dropping-particle":"","parse-names":false,"suffix":""},{"dropping-particle":"","family":"Borselli","given":"Lorenzo","non-dropping-particle":"","parse-names":false,"suffix":""}],"container-title":"CATENA","id":"ITEM-2","issue":"1-2","issued":{"date-parts":[["1997","11"]]},"page":"1-22","title":"Predictability and uncertainty of the soil erodibility factor using a global dataset","type":"article-journal","volume":"31"},"uris":["http://www.mendeley.com/documents/?uuid=e119ff0f-9a49-3d97-9a12-b4059f1c73c4"]}],"mendeley":{"formattedCitation":"&lt;span style=\"baseline\"&gt;[2,10]&lt;/span&gt;","plainTextFormattedCitation":"[2,10]","previouslyFormattedCitation":"[49,86]"},"properties":{"noteIndex":0},"schema":"https://github.com/citation-style-language/schema/raw/master/csl-citation.json"}</w:instrText>
      </w:r>
      <w:r w:rsidRPr="0072376C">
        <w:rPr>
          <w:color w:val="000000"/>
          <w:sz w:val="24"/>
          <w:szCs w:val="24"/>
        </w:rPr>
        <w:fldChar w:fldCharType="separate"/>
      </w:r>
      <w:r w:rsidR="004D5659" w:rsidRPr="004D5659">
        <w:rPr>
          <w:noProof/>
          <w:color w:val="000000"/>
          <w:sz w:val="24"/>
          <w:szCs w:val="24"/>
        </w:rPr>
        <w:t>[2,10]</w:t>
      </w:r>
      <w:r w:rsidRPr="0072376C">
        <w:rPr>
          <w:color w:val="000000"/>
          <w:sz w:val="24"/>
          <w:szCs w:val="24"/>
        </w:rPr>
        <w:fldChar w:fldCharType="end"/>
      </w:r>
      <w:r w:rsidRPr="0072376C">
        <w:rPr>
          <w:color w:val="000000"/>
          <w:sz w:val="24"/>
          <w:szCs w:val="24"/>
        </w:rPr>
        <w:t xml:space="preserve">: the former requires only values of sand and silt, the latter requires also organic matter. By comparison of results, it was preferred to use data derived from Wischmeier (1978) </w:t>
      </w:r>
      <w:r w:rsidRPr="0072376C">
        <w:rPr>
          <w:color w:val="000000"/>
          <w:sz w:val="24"/>
          <w:szCs w:val="24"/>
        </w:rPr>
        <w:fldChar w:fldCharType="begin" w:fldLock="1"/>
      </w:r>
      <w:r w:rsidR="004D5659">
        <w:rPr>
          <w:color w:val="000000"/>
          <w:sz w:val="24"/>
          <w:szCs w:val="24"/>
        </w:rPr>
        <w:instrText>ADDIN CSL_CITATION {"citationItems":[{"id":"ITEM-1","itemData":{"DOI":"10.1029/TR039i002p00285","ISBN":"Agriculture Handbook 537","ISSN":"0002-8606","PMID":"25246403","abstract":"The Universal Soil Loss Equation (USLE) enables planners to predict the average rate of soil erosion for each feasible alter- native combination of crop system and management practices in association with a specified soil type, rainfall pattern, and topography. When these predicted losses are compared with given soil loss tolerances, they provide specific guidelines for effecting erosion control within specified limits« The equation groups the numerous interrelated physical and management parameters that influence erosion rate under six major factors whose site-specific values can be expressed numerically. A half century of erosion research in many States has supplied infor- mation from which at least approximate values of the USLE factors can be obtained for specified farm fields or other small erosion prone areas throughout the United States. Tables and charts presented in this handbook make this information readily available for field use. Significant limitations in the available data are identified. The USLE is an erosion model designed to compute longtime average soil losses from sheet and rill erosion under specified conditions. It is also useful for construction sites and other non- agricultural conditions, but it does not predict deposition and does not compute sediment yields from gully, streombank, and stream bed erosion.","author":[{"dropping-particle":"","family":"Wischmeier","given":"Wh","non-dropping-particle":"","parse-names":false,"suffix":""},{"dropping-particle":"","family":"Smith","given":"Dd D","non-dropping-particle":"","parse-names":false,"suffix":""},{"dropping-particle":"","family":"Wischmer","given":"W H","non-dropping-particle":"","parse-names":false,"suffix":""},{"dropping-particle":"","family":"Smith","given":"Dd D","non-dropping-particle":"","parse-names":false,"suffix":""}],"container-title":"U.S. Department of Agriculture Handbook No. 537","id":"ITEM-1","issued":{"date-parts":[["1978"]]},"page":"1-69","title":"Predicting rainfall erosion losses: a guide to conservation planning","type":"article-journal"},"uris":["http://www.mendeley.com/documents/?uuid=6a3b4e6d-b53b-4c3f-ba07-e8bb2af2c908"]}],"mendeley":{"formattedCitation":"&lt;span style=\"baseline\"&gt;[11]&lt;/span&gt;","plainTextFormattedCitation":"[11]","previouslyFormattedCitation":"[50]"},"properties":{"noteIndex":0},"schema":"https://github.com/citation-style-language/schema/raw/master/csl-citation.json"}</w:instrText>
      </w:r>
      <w:r w:rsidRPr="0072376C">
        <w:rPr>
          <w:color w:val="000000"/>
          <w:sz w:val="24"/>
          <w:szCs w:val="24"/>
        </w:rPr>
        <w:fldChar w:fldCharType="separate"/>
      </w:r>
      <w:r w:rsidR="004D5659" w:rsidRPr="004D5659">
        <w:rPr>
          <w:noProof/>
          <w:color w:val="000000"/>
          <w:sz w:val="24"/>
          <w:szCs w:val="24"/>
        </w:rPr>
        <w:t>[11]</w:t>
      </w:r>
      <w:r w:rsidRPr="0072376C">
        <w:rPr>
          <w:color w:val="000000"/>
          <w:sz w:val="24"/>
          <w:szCs w:val="24"/>
        </w:rPr>
        <w:fldChar w:fldCharType="end"/>
      </w:r>
      <w:r w:rsidRPr="0072376C">
        <w:rPr>
          <w:color w:val="000000"/>
          <w:sz w:val="24"/>
          <w:szCs w:val="24"/>
        </w:rPr>
        <w:t>, that considers various soil characteristics, as shown below:</w:t>
      </w:r>
    </w:p>
    <w:p w:rsidR="00711564" w:rsidRPr="0072376C" w:rsidRDefault="00711564" w:rsidP="00711564">
      <w:pPr>
        <w:pStyle w:val="Standard"/>
        <w:spacing w:line="480" w:lineRule="auto"/>
        <w:jc w:val="both"/>
        <w:rPr>
          <w:color w:val="000000"/>
          <w:sz w:val="24"/>
          <w:szCs w:val="24"/>
        </w:rPr>
      </w:pPr>
      <m:oMathPara>
        <m:oMath>
          <m:r>
            <w:rPr>
              <w:rFonts w:ascii="Cambria Math" w:hAnsi="Cambria Math"/>
              <w:color w:val="000000"/>
              <w:sz w:val="24"/>
              <w:szCs w:val="24"/>
            </w:rPr>
            <m:t>K=</m:t>
          </m:r>
          <m:f>
            <m:fPr>
              <m:ctrlPr>
                <w:rPr>
                  <w:rFonts w:ascii="Cambria Math" w:hAnsi="Cambria Math"/>
                  <w:i/>
                  <w:color w:val="000000"/>
                  <w:sz w:val="24"/>
                  <w:szCs w:val="24"/>
                </w:rPr>
              </m:ctrlPr>
            </m:fPr>
            <m:num>
              <m:d>
                <m:dPr>
                  <m:begChr m:val="["/>
                  <m:endChr m:val="]"/>
                  <m:ctrlPr>
                    <w:rPr>
                      <w:rFonts w:ascii="Cambria Math" w:hAnsi="Cambria Math"/>
                      <w:i/>
                      <w:color w:val="000000"/>
                      <w:sz w:val="24"/>
                      <w:szCs w:val="24"/>
                    </w:rPr>
                  </m:ctrlPr>
                </m:dPr>
                <m:e>
                  <m:r>
                    <w:rPr>
                      <w:rFonts w:ascii="Cambria Math" w:hAnsi="Cambria Math"/>
                      <w:color w:val="000000"/>
                      <w:sz w:val="24"/>
                      <w:szCs w:val="24"/>
                    </w:rPr>
                    <m:t>2.1*</m:t>
                  </m:r>
                  <m:sSup>
                    <m:sSupPr>
                      <m:ctrlPr>
                        <w:rPr>
                          <w:rFonts w:ascii="Cambria Math" w:hAnsi="Cambria Math"/>
                          <w:i/>
                          <w:color w:val="000000"/>
                          <w:sz w:val="24"/>
                          <w:szCs w:val="24"/>
                        </w:rPr>
                      </m:ctrlPr>
                    </m:sSupPr>
                    <m:e>
                      <m:r>
                        <w:rPr>
                          <w:rFonts w:ascii="Cambria Math" w:hAnsi="Cambria Math"/>
                          <w:color w:val="000000"/>
                          <w:sz w:val="24"/>
                          <w:szCs w:val="24"/>
                        </w:rPr>
                        <m:t>10</m:t>
                      </m:r>
                    </m:e>
                    <m:sup>
                      <m:r>
                        <w:rPr>
                          <w:rFonts w:ascii="Cambria Math" w:hAnsi="Cambria Math"/>
                          <w:color w:val="000000"/>
                          <w:sz w:val="24"/>
                          <w:szCs w:val="24"/>
                        </w:rPr>
                        <m:t>-4</m:t>
                      </m:r>
                    </m:sup>
                  </m:sSup>
                  <m:r>
                    <w:rPr>
                      <w:rFonts w:ascii="Cambria Math" w:hAnsi="Cambria Math"/>
                      <w:color w:val="000000"/>
                      <w:sz w:val="24"/>
                      <w:szCs w:val="24"/>
                    </w:rPr>
                    <m:t>*</m:t>
                  </m:r>
                  <m:d>
                    <m:dPr>
                      <m:ctrlPr>
                        <w:rPr>
                          <w:rFonts w:ascii="Cambria Math" w:hAnsi="Cambria Math"/>
                          <w:i/>
                          <w:color w:val="000000"/>
                          <w:sz w:val="24"/>
                          <w:szCs w:val="24"/>
                        </w:rPr>
                      </m:ctrlPr>
                    </m:dPr>
                    <m:e>
                      <m:r>
                        <w:rPr>
                          <w:rFonts w:ascii="Cambria Math" w:hAnsi="Cambria Math"/>
                          <w:color w:val="000000"/>
                          <w:sz w:val="24"/>
                          <w:szCs w:val="24"/>
                        </w:rPr>
                        <m:t>12-OM</m:t>
                      </m:r>
                    </m:e>
                  </m:d>
                  <m:r>
                    <w:rPr>
                      <w:rFonts w:ascii="Cambria Math" w:hAnsi="Cambria Math"/>
                      <w:color w:val="000000"/>
                      <w:sz w:val="24"/>
                      <w:szCs w:val="24"/>
                    </w:rPr>
                    <m:t>*</m:t>
                  </m:r>
                  <m:sSup>
                    <m:sSupPr>
                      <m:ctrlPr>
                        <w:rPr>
                          <w:rFonts w:ascii="Cambria Math" w:hAnsi="Cambria Math"/>
                          <w:i/>
                          <w:color w:val="000000"/>
                          <w:sz w:val="24"/>
                          <w:szCs w:val="24"/>
                        </w:rPr>
                      </m:ctrlPr>
                    </m:sSupPr>
                    <m:e>
                      <m:r>
                        <w:rPr>
                          <w:rFonts w:ascii="Cambria Math" w:hAnsi="Cambria Math"/>
                          <w:color w:val="000000"/>
                          <w:sz w:val="24"/>
                          <w:szCs w:val="24"/>
                        </w:rPr>
                        <m:t>M</m:t>
                      </m:r>
                    </m:e>
                    <m:sup>
                      <m:r>
                        <w:rPr>
                          <w:rFonts w:ascii="Cambria Math" w:hAnsi="Cambria Math"/>
                          <w:color w:val="000000"/>
                          <w:sz w:val="24"/>
                          <w:szCs w:val="24"/>
                        </w:rPr>
                        <m:t>1.14</m:t>
                      </m:r>
                    </m:sup>
                  </m:sSup>
                  <m:r>
                    <w:rPr>
                      <w:rFonts w:ascii="Cambria Math" w:hAnsi="Cambria Math"/>
                      <w:color w:val="000000"/>
                      <w:sz w:val="24"/>
                      <w:szCs w:val="24"/>
                    </w:rPr>
                    <m:t>+3.25*</m:t>
                  </m:r>
                  <m:d>
                    <m:dPr>
                      <m:ctrlPr>
                        <w:rPr>
                          <w:rFonts w:ascii="Cambria Math" w:hAnsi="Cambria Math"/>
                          <w:i/>
                          <w:color w:val="000000"/>
                          <w:sz w:val="24"/>
                          <w:szCs w:val="24"/>
                        </w:rPr>
                      </m:ctrlPr>
                    </m:dPr>
                    <m:e>
                      <m:r>
                        <w:rPr>
                          <w:rFonts w:ascii="Cambria Math" w:hAnsi="Cambria Math"/>
                          <w:color w:val="000000"/>
                          <w:sz w:val="24"/>
                          <w:szCs w:val="24"/>
                        </w:rPr>
                        <m:t>s-2</m:t>
                      </m:r>
                    </m:e>
                  </m:d>
                  <m:r>
                    <w:rPr>
                      <w:rFonts w:ascii="Cambria Math" w:hAnsi="Cambria Math"/>
                      <w:color w:val="000000"/>
                      <w:sz w:val="24"/>
                      <w:szCs w:val="24"/>
                    </w:rPr>
                    <m:t>+2.5*</m:t>
                  </m:r>
                  <m:d>
                    <m:dPr>
                      <m:ctrlPr>
                        <w:rPr>
                          <w:rFonts w:ascii="Cambria Math" w:hAnsi="Cambria Math"/>
                          <w:i/>
                          <w:color w:val="000000"/>
                          <w:sz w:val="24"/>
                          <w:szCs w:val="24"/>
                        </w:rPr>
                      </m:ctrlPr>
                    </m:dPr>
                    <m:e>
                      <m:r>
                        <w:rPr>
                          <w:rFonts w:ascii="Cambria Math" w:hAnsi="Cambria Math"/>
                          <w:color w:val="000000"/>
                          <w:sz w:val="24"/>
                          <w:szCs w:val="24"/>
                        </w:rPr>
                        <m:t>p-3</m:t>
                      </m:r>
                    </m:e>
                  </m:d>
                </m:e>
              </m:d>
            </m:num>
            <m:den>
              <m:r>
                <w:rPr>
                  <w:rFonts w:ascii="Cambria Math" w:hAnsi="Cambria Math"/>
                  <w:color w:val="000000"/>
                  <w:sz w:val="24"/>
                  <w:szCs w:val="24"/>
                </w:rPr>
                <m:t>759</m:t>
              </m:r>
            </m:den>
          </m:f>
        </m:oMath>
      </m:oMathPara>
    </w:p>
    <w:p w:rsidR="00711564" w:rsidRPr="0072376C" w:rsidRDefault="00711564" w:rsidP="00711564">
      <w:pPr>
        <w:pStyle w:val="Standard"/>
        <w:spacing w:line="480" w:lineRule="auto"/>
      </w:pPr>
      <w:r w:rsidRPr="0072376C">
        <w:rPr>
          <w:color w:val="000000"/>
          <w:sz w:val="24"/>
          <w:szCs w:val="24"/>
        </w:rPr>
        <w:t>where:</w:t>
      </w:r>
    </w:p>
    <w:p w:rsidR="00711564" w:rsidRPr="0072376C" w:rsidRDefault="00711564" w:rsidP="00711564">
      <w:pPr>
        <w:pStyle w:val="Standard"/>
        <w:spacing w:line="480" w:lineRule="auto"/>
        <w:rPr>
          <w:color w:val="000000"/>
          <w:sz w:val="24"/>
          <w:szCs w:val="24"/>
        </w:rPr>
      </w:pPr>
      <w:r w:rsidRPr="0072376C">
        <w:rPr>
          <w:color w:val="000000"/>
          <w:sz w:val="24"/>
          <w:szCs w:val="24"/>
        </w:rPr>
        <w:t>OM: percentage of organic matter in topsoil;</w:t>
      </w:r>
    </w:p>
    <w:p w:rsidR="00711564" w:rsidRPr="0072376C" w:rsidRDefault="00711564" w:rsidP="00711564">
      <w:pPr>
        <w:pStyle w:val="Standard"/>
        <w:spacing w:line="480" w:lineRule="auto"/>
        <w:rPr>
          <w:color w:val="000000"/>
          <w:sz w:val="24"/>
          <w:szCs w:val="24"/>
        </w:rPr>
      </w:pPr>
      <w:r w:rsidRPr="0072376C">
        <w:rPr>
          <w:color w:val="000000"/>
          <w:sz w:val="24"/>
          <w:szCs w:val="24"/>
        </w:rPr>
        <w:t>M: textural parameter (depending on sand, fine sand and silt percentage);</w:t>
      </w:r>
    </w:p>
    <w:p w:rsidR="00711564" w:rsidRPr="0072376C" w:rsidRDefault="00711564" w:rsidP="00711564">
      <w:pPr>
        <w:pStyle w:val="Standard"/>
        <w:spacing w:line="480" w:lineRule="auto"/>
        <w:rPr>
          <w:color w:val="000000"/>
          <w:sz w:val="24"/>
          <w:szCs w:val="24"/>
        </w:rPr>
      </w:pPr>
      <w:r w:rsidRPr="0072376C">
        <w:rPr>
          <w:color w:val="000000"/>
          <w:sz w:val="24"/>
          <w:szCs w:val="24"/>
        </w:rPr>
        <w:t>s: structure class code;</w:t>
      </w:r>
    </w:p>
    <w:p w:rsidR="00711564" w:rsidRPr="0072376C" w:rsidRDefault="00711564" w:rsidP="00711564">
      <w:pPr>
        <w:pStyle w:val="Standard"/>
        <w:spacing w:line="480" w:lineRule="auto"/>
        <w:rPr>
          <w:color w:val="000000"/>
          <w:sz w:val="24"/>
          <w:szCs w:val="24"/>
        </w:rPr>
      </w:pPr>
      <w:r w:rsidRPr="0072376C">
        <w:rPr>
          <w:color w:val="000000"/>
          <w:sz w:val="24"/>
          <w:szCs w:val="24"/>
        </w:rPr>
        <w:t>p: profile permeability class code.</w:t>
      </w:r>
    </w:p>
    <w:p w:rsidR="00711564" w:rsidRPr="0072376C" w:rsidRDefault="00711564" w:rsidP="00711564">
      <w:pPr>
        <w:pStyle w:val="Standard"/>
        <w:spacing w:line="480" w:lineRule="auto"/>
        <w:jc w:val="both"/>
        <w:rPr>
          <w:color w:val="000000"/>
          <w:sz w:val="24"/>
          <w:szCs w:val="24"/>
        </w:rPr>
      </w:pPr>
      <w:r>
        <w:rPr>
          <w:color w:val="000000"/>
          <w:sz w:val="24"/>
          <w:szCs w:val="24"/>
        </w:rPr>
        <w:t>T</w:t>
      </w:r>
      <w:r w:rsidRPr="0072376C">
        <w:rPr>
          <w:color w:val="000000"/>
          <w:sz w:val="24"/>
          <w:szCs w:val="24"/>
        </w:rPr>
        <w:t xml:space="preserve">he K factor was calculated for each type of soil (soil typological unit) and then spatialized relying on the 1:50,000 soil map, available for the whole DOCG area </w:t>
      </w:r>
      <w:r w:rsidRPr="0072376C">
        <w:rPr>
          <w:color w:val="000000"/>
          <w:sz w:val="24"/>
          <w:szCs w:val="24"/>
        </w:rPr>
        <w:fldChar w:fldCharType="begin" w:fldLock="1"/>
      </w:r>
      <w:r w:rsidR="004D5659">
        <w:rPr>
          <w:color w:val="000000"/>
          <w:sz w:val="24"/>
          <w:szCs w:val="24"/>
        </w:rPr>
        <w:instrText>ADDIN CSL_CITATION {"citationItems":[{"id":"ITEM-1","itemData":{"author":[{"dropping-particle":"","family":"Agenzia Regionale per la Prevenzione e protezione ambientale del Veneto. ARPAV.","given":"","non-dropping-particle":"","parse-names":false,"suffix":""}],"id":"ITEM-1","issued":{"date-parts":[["2008"]]},"publisher":"Provincia di Treviso","publisher-place":"Treviso","title":"La Carta dei Suoli della Provincia di Treviso","type":"book"},"uris":["http://www.mendeley.com/documents/?uuid=d111d037-7c6c-3c48-a3a4-69479f0e29ca"]}],"mendeley":{"formattedCitation":"&lt;span style=\"baseline\"&gt;[12]&lt;/span&gt;","plainTextFormattedCitation":"[12]","previouslyFormattedCitation":"[47]"},"properties":{"noteIndex":0},"schema":"https://github.com/citation-style-language/schema/raw/master/csl-citation.json"}</w:instrText>
      </w:r>
      <w:r w:rsidRPr="0072376C">
        <w:rPr>
          <w:color w:val="000000"/>
          <w:sz w:val="24"/>
          <w:szCs w:val="24"/>
        </w:rPr>
        <w:fldChar w:fldCharType="separate"/>
      </w:r>
      <w:r w:rsidR="004D5659" w:rsidRPr="004D5659">
        <w:rPr>
          <w:noProof/>
          <w:color w:val="000000"/>
          <w:sz w:val="24"/>
          <w:szCs w:val="24"/>
        </w:rPr>
        <w:t>[12]</w:t>
      </w:r>
      <w:r w:rsidRPr="0072376C">
        <w:rPr>
          <w:color w:val="000000"/>
          <w:sz w:val="24"/>
          <w:szCs w:val="24"/>
        </w:rPr>
        <w:fldChar w:fldCharType="end"/>
      </w:r>
      <w:r w:rsidRPr="0072376C">
        <w:rPr>
          <w:color w:val="000000"/>
          <w:sz w:val="24"/>
          <w:szCs w:val="24"/>
        </w:rPr>
        <w:t>.</w:t>
      </w:r>
    </w:p>
    <w:p w:rsidR="004D5659" w:rsidRDefault="004D5659">
      <w:pPr>
        <w:suppressAutoHyphens w:val="0"/>
        <w:spacing w:after="160" w:line="259" w:lineRule="auto"/>
        <w:textAlignment w:val="auto"/>
        <w:rPr>
          <w:rFonts w:ascii="Times New Roman" w:hAnsi="Times New Roman" w:cs="Times New Roman"/>
        </w:rPr>
      </w:pPr>
      <w:r>
        <w:rPr>
          <w:rFonts w:ascii="Times New Roman" w:hAnsi="Times New Roman" w:cs="Times New Roman"/>
        </w:rPr>
        <w:br w:type="page"/>
      </w:r>
    </w:p>
    <w:p w:rsidR="00320F24" w:rsidRDefault="004D5659">
      <w:pPr>
        <w:rPr>
          <w:rFonts w:ascii="Times New Roman" w:hAnsi="Times New Roman" w:cs="Times New Roman"/>
          <w:b/>
          <w:sz w:val="36"/>
          <w:szCs w:val="36"/>
          <w:lang w:val="en-GB"/>
        </w:rPr>
      </w:pPr>
      <w:r w:rsidRPr="004D5659">
        <w:rPr>
          <w:rFonts w:ascii="Times New Roman" w:hAnsi="Times New Roman" w:cs="Times New Roman"/>
          <w:b/>
          <w:sz w:val="36"/>
          <w:szCs w:val="36"/>
          <w:lang w:val="en-GB"/>
        </w:rPr>
        <w:t>References</w:t>
      </w:r>
    </w:p>
    <w:p w:rsidR="004D5659" w:rsidRDefault="004D5659">
      <w:pPr>
        <w:rPr>
          <w:rFonts w:ascii="Times New Roman" w:hAnsi="Times New Roman" w:cs="Times New Roman"/>
          <w:b/>
          <w:sz w:val="36"/>
          <w:szCs w:val="36"/>
          <w:lang w:val="en-GB"/>
        </w:rPr>
      </w:pP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Pr>
          <w:rFonts w:ascii="Times New Roman" w:hAnsi="Times New Roman" w:cs="Times New Roman"/>
          <w:sz w:val="24"/>
          <w:szCs w:val="24"/>
          <w:lang w:val="en-GB"/>
        </w:rPr>
        <w:fldChar w:fldCharType="begin" w:fldLock="1"/>
      </w:r>
      <w:r>
        <w:rPr>
          <w:rFonts w:ascii="Times New Roman" w:hAnsi="Times New Roman" w:cs="Times New Roman"/>
          <w:sz w:val="24"/>
          <w:szCs w:val="24"/>
          <w:lang w:val="en-GB"/>
        </w:rPr>
        <w:instrText xml:space="preserve">ADDIN Mendeley Bibliography CSL_BIBLIOGRAPHY </w:instrText>
      </w:r>
      <w:r>
        <w:rPr>
          <w:rFonts w:ascii="Times New Roman" w:hAnsi="Times New Roman" w:cs="Times New Roman"/>
          <w:sz w:val="24"/>
          <w:szCs w:val="24"/>
          <w:lang w:val="en-GB"/>
        </w:rPr>
        <w:fldChar w:fldCharType="separate"/>
      </w:r>
      <w:r w:rsidRPr="004D5659">
        <w:rPr>
          <w:rFonts w:ascii="Times New Roman" w:hAnsi="Times New Roman" w:cs="Times New Roman"/>
          <w:noProof/>
          <w:sz w:val="24"/>
          <w:szCs w:val="24"/>
        </w:rPr>
        <w:t>1.</w:t>
      </w:r>
      <w:r w:rsidRPr="004D5659">
        <w:rPr>
          <w:rFonts w:ascii="Times New Roman" w:hAnsi="Times New Roman" w:cs="Times New Roman"/>
          <w:noProof/>
          <w:sz w:val="24"/>
          <w:szCs w:val="24"/>
        </w:rPr>
        <w:tab/>
        <w:t xml:space="preserve">Lal, R. </w:t>
      </w:r>
      <w:r w:rsidRPr="004D5659">
        <w:rPr>
          <w:rFonts w:ascii="Times New Roman" w:hAnsi="Times New Roman" w:cs="Times New Roman"/>
          <w:i/>
          <w:iCs/>
          <w:noProof/>
          <w:sz w:val="24"/>
          <w:szCs w:val="24"/>
        </w:rPr>
        <w:t>Soil Erosion in the Tropics : Principles and Management</w:t>
      </w:r>
      <w:r w:rsidRPr="004D5659">
        <w:rPr>
          <w:rFonts w:ascii="Times New Roman" w:hAnsi="Times New Roman" w:cs="Times New Roman"/>
          <w:noProof/>
          <w:sz w:val="24"/>
          <w:szCs w:val="24"/>
        </w:rPr>
        <w:t>; McGraw-Hill, 1990.</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2.</w:t>
      </w:r>
      <w:r w:rsidRPr="004D5659">
        <w:rPr>
          <w:rFonts w:ascii="Times New Roman" w:hAnsi="Times New Roman" w:cs="Times New Roman"/>
          <w:noProof/>
          <w:sz w:val="24"/>
          <w:szCs w:val="24"/>
        </w:rPr>
        <w:tab/>
        <w:t xml:space="preserve">Renard, K. G.; Foster, G. R.; Weesies Gienn A; Porter Jeffrey p. RUSLE: Revised Universal Soil Loss Equation. </w:t>
      </w:r>
      <w:r w:rsidRPr="004D5659">
        <w:rPr>
          <w:rFonts w:ascii="Times New Roman" w:hAnsi="Times New Roman" w:cs="Times New Roman"/>
          <w:i/>
          <w:iCs/>
          <w:noProof/>
          <w:sz w:val="24"/>
          <w:szCs w:val="24"/>
        </w:rPr>
        <w:t>J. Soil Water Conserv.</w:t>
      </w:r>
      <w:r w:rsidRPr="004D5659">
        <w:rPr>
          <w:rFonts w:ascii="Times New Roman" w:hAnsi="Times New Roman" w:cs="Times New Roman"/>
          <w:noProof/>
          <w:sz w:val="24"/>
          <w:szCs w:val="24"/>
        </w:rPr>
        <w:t xml:space="preserve"> </w:t>
      </w:r>
      <w:r w:rsidRPr="004D5659">
        <w:rPr>
          <w:rFonts w:ascii="Times New Roman" w:hAnsi="Times New Roman" w:cs="Times New Roman"/>
          <w:b/>
          <w:bCs/>
          <w:noProof/>
          <w:sz w:val="24"/>
          <w:szCs w:val="24"/>
        </w:rPr>
        <w:t>1991</w:t>
      </w:r>
      <w:r w:rsidRPr="004D5659">
        <w:rPr>
          <w:rFonts w:ascii="Times New Roman" w:hAnsi="Times New Roman" w:cs="Times New Roman"/>
          <w:noProof/>
          <w:sz w:val="24"/>
          <w:szCs w:val="24"/>
        </w:rPr>
        <w:t xml:space="preserve">, </w:t>
      </w:r>
      <w:r w:rsidRPr="004D5659">
        <w:rPr>
          <w:rFonts w:ascii="Times New Roman" w:hAnsi="Times New Roman" w:cs="Times New Roman"/>
          <w:i/>
          <w:iCs/>
          <w:noProof/>
          <w:sz w:val="24"/>
          <w:szCs w:val="24"/>
        </w:rPr>
        <w:t>46</w:t>
      </w:r>
      <w:r w:rsidRPr="004D5659">
        <w:rPr>
          <w:rFonts w:ascii="Times New Roman" w:hAnsi="Times New Roman" w:cs="Times New Roman"/>
          <w:noProof/>
          <w:sz w:val="24"/>
          <w:szCs w:val="24"/>
        </w:rPr>
        <w:t xml:space="preserve"> (1), 30–33.</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3.</w:t>
      </w:r>
      <w:r w:rsidRPr="004D5659">
        <w:rPr>
          <w:rFonts w:ascii="Times New Roman" w:hAnsi="Times New Roman" w:cs="Times New Roman"/>
          <w:noProof/>
          <w:sz w:val="24"/>
          <w:szCs w:val="24"/>
        </w:rPr>
        <w:tab/>
        <w:t xml:space="preserve">Regione Veneto. </w:t>
      </w:r>
      <w:r w:rsidRPr="004D5659">
        <w:rPr>
          <w:rFonts w:ascii="Times New Roman" w:hAnsi="Times New Roman" w:cs="Times New Roman"/>
          <w:i/>
          <w:iCs/>
          <w:noProof/>
          <w:sz w:val="24"/>
          <w:szCs w:val="24"/>
        </w:rPr>
        <w:t>Carta Di Copertura Del Suolo Della Regione Del Veneto. GSE Land–Urban Atlas</w:t>
      </w:r>
      <w:r w:rsidRPr="004D5659">
        <w:rPr>
          <w:rFonts w:ascii="Times New Roman" w:hAnsi="Times New Roman" w:cs="Times New Roman"/>
          <w:noProof/>
          <w:sz w:val="24"/>
          <w:szCs w:val="24"/>
        </w:rPr>
        <w:t>; Regione del Veneto, 2012.</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4.</w:t>
      </w:r>
      <w:r w:rsidRPr="004D5659">
        <w:rPr>
          <w:rFonts w:ascii="Times New Roman" w:hAnsi="Times New Roman" w:cs="Times New Roman"/>
          <w:noProof/>
          <w:sz w:val="24"/>
          <w:szCs w:val="24"/>
        </w:rPr>
        <w:tab/>
        <w:t xml:space="preserve">EEA. The Revised and Supplemented Corine Land Cover Nomenclature. </w:t>
      </w:r>
      <w:r w:rsidRPr="004D5659">
        <w:rPr>
          <w:rFonts w:ascii="Times New Roman" w:hAnsi="Times New Roman" w:cs="Times New Roman"/>
          <w:i/>
          <w:iCs/>
          <w:noProof/>
          <w:sz w:val="24"/>
          <w:szCs w:val="24"/>
        </w:rPr>
        <w:t>EEA Tech. Rep. No 40</w:t>
      </w:r>
      <w:r w:rsidRPr="004D5659">
        <w:rPr>
          <w:rFonts w:ascii="Times New Roman" w:hAnsi="Times New Roman" w:cs="Times New Roman"/>
          <w:noProof/>
          <w:sz w:val="24"/>
          <w:szCs w:val="24"/>
        </w:rPr>
        <w:t xml:space="preserve"> </w:t>
      </w:r>
      <w:r w:rsidRPr="004D5659">
        <w:rPr>
          <w:rFonts w:ascii="Times New Roman" w:hAnsi="Times New Roman" w:cs="Times New Roman"/>
          <w:b/>
          <w:bCs/>
          <w:noProof/>
          <w:sz w:val="24"/>
          <w:szCs w:val="24"/>
        </w:rPr>
        <w:t>2000</w:t>
      </w:r>
      <w:r w:rsidRPr="004D5659">
        <w:rPr>
          <w:rFonts w:ascii="Times New Roman" w:hAnsi="Times New Roman" w:cs="Times New Roman"/>
          <w:noProof/>
          <w:sz w:val="24"/>
          <w:szCs w:val="24"/>
        </w:rPr>
        <w:t>, No. 38, 110.</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5.</w:t>
      </w:r>
      <w:r w:rsidRPr="004D5659">
        <w:rPr>
          <w:rFonts w:ascii="Times New Roman" w:hAnsi="Times New Roman" w:cs="Times New Roman"/>
          <w:noProof/>
          <w:sz w:val="24"/>
          <w:szCs w:val="24"/>
        </w:rPr>
        <w:tab/>
        <w:t xml:space="preserve">Agenzia Regionale per la Prevenzione e protezione ambientale del Veneto. ARPAV. </w:t>
      </w:r>
      <w:r w:rsidRPr="004D5659">
        <w:rPr>
          <w:rFonts w:ascii="Times New Roman" w:hAnsi="Times New Roman" w:cs="Times New Roman"/>
          <w:i/>
          <w:iCs/>
          <w:noProof/>
          <w:sz w:val="24"/>
          <w:szCs w:val="24"/>
        </w:rPr>
        <w:t>Valutazione Del Rischio Di Erosione per La Regione Veneto</w:t>
      </w:r>
      <w:r w:rsidRPr="004D5659">
        <w:rPr>
          <w:rFonts w:ascii="Times New Roman" w:hAnsi="Times New Roman" w:cs="Times New Roman"/>
          <w:noProof/>
          <w:sz w:val="24"/>
          <w:szCs w:val="24"/>
        </w:rPr>
        <w:t>; 2008.</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6.</w:t>
      </w:r>
      <w:r w:rsidRPr="004D5659">
        <w:rPr>
          <w:rFonts w:ascii="Times New Roman" w:hAnsi="Times New Roman" w:cs="Times New Roman"/>
          <w:noProof/>
          <w:sz w:val="24"/>
          <w:szCs w:val="24"/>
        </w:rPr>
        <w:tab/>
        <w:t xml:space="preserve">Bazzoffi, P. </w:t>
      </w:r>
      <w:r w:rsidRPr="004D5659">
        <w:rPr>
          <w:rFonts w:ascii="Times New Roman" w:hAnsi="Times New Roman" w:cs="Times New Roman"/>
          <w:i/>
          <w:iCs/>
          <w:noProof/>
          <w:sz w:val="24"/>
          <w:szCs w:val="24"/>
        </w:rPr>
        <w:t>Erosione Del Suolo e Sviluppo Rurale : Fondamenti e Manualistica per La Valutazione Agroambientale</w:t>
      </w:r>
      <w:r w:rsidRPr="004D5659">
        <w:rPr>
          <w:rFonts w:ascii="Times New Roman" w:hAnsi="Times New Roman" w:cs="Times New Roman"/>
          <w:noProof/>
          <w:sz w:val="24"/>
          <w:szCs w:val="24"/>
        </w:rPr>
        <w:t>; Edagricole, 2007.</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7.</w:t>
      </w:r>
      <w:r w:rsidRPr="004D5659">
        <w:rPr>
          <w:rFonts w:ascii="Times New Roman" w:hAnsi="Times New Roman" w:cs="Times New Roman"/>
          <w:noProof/>
          <w:sz w:val="24"/>
          <w:szCs w:val="24"/>
        </w:rPr>
        <w:tab/>
        <w:t xml:space="preserve">Bazzoffi, P. Soil Erosion Tolerance and Water Runoff Control: Minimum Environmental Standards. </w:t>
      </w:r>
      <w:r w:rsidRPr="004D5659">
        <w:rPr>
          <w:rFonts w:ascii="Times New Roman" w:hAnsi="Times New Roman" w:cs="Times New Roman"/>
          <w:i/>
          <w:iCs/>
          <w:noProof/>
          <w:sz w:val="24"/>
          <w:szCs w:val="24"/>
        </w:rPr>
        <w:t>Reg. Environ. Chang.</w:t>
      </w:r>
      <w:r w:rsidRPr="004D5659">
        <w:rPr>
          <w:rFonts w:ascii="Times New Roman" w:hAnsi="Times New Roman" w:cs="Times New Roman"/>
          <w:noProof/>
          <w:sz w:val="24"/>
          <w:szCs w:val="24"/>
        </w:rPr>
        <w:t xml:space="preserve"> </w:t>
      </w:r>
      <w:r w:rsidRPr="004D5659">
        <w:rPr>
          <w:rFonts w:ascii="Times New Roman" w:hAnsi="Times New Roman" w:cs="Times New Roman"/>
          <w:b/>
          <w:bCs/>
          <w:noProof/>
          <w:sz w:val="24"/>
          <w:szCs w:val="24"/>
        </w:rPr>
        <w:t>2009</w:t>
      </w:r>
      <w:r w:rsidRPr="004D5659">
        <w:rPr>
          <w:rFonts w:ascii="Times New Roman" w:hAnsi="Times New Roman" w:cs="Times New Roman"/>
          <w:noProof/>
          <w:sz w:val="24"/>
          <w:szCs w:val="24"/>
        </w:rPr>
        <w:t xml:space="preserve">, </w:t>
      </w:r>
      <w:r w:rsidRPr="004D5659">
        <w:rPr>
          <w:rFonts w:ascii="Times New Roman" w:hAnsi="Times New Roman" w:cs="Times New Roman"/>
          <w:i/>
          <w:iCs/>
          <w:noProof/>
          <w:sz w:val="24"/>
          <w:szCs w:val="24"/>
        </w:rPr>
        <w:t>9</w:t>
      </w:r>
      <w:r w:rsidRPr="004D5659">
        <w:rPr>
          <w:rFonts w:ascii="Times New Roman" w:hAnsi="Times New Roman" w:cs="Times New Roman"/>
          <w:noProof/>
          <w:sz w:val="24"/>
          <w:szCs w:val="24"/>
        </w:rPr>
        <w:t xml:space="preserve"> (3), 169–179. https://doi.org/10.1007/s10113-008-0046-8.</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8.</w:t>
      </w:r>
      <w:r w:rsidRPr="004D5659">
        <w:rPr>
          <w:rFonts w:ascii="Times New Roman" w:hAnsi="Times New Roman" w:cs="Times New Roman"/>
          <w:noProof/>
          <w:sz w:val="24"/>
          <w:szCs w:val="24"/>
        </w:rPr>
        <w:tab/>
        <w:t xml:space="preserve">D. K. McCool, D. K.; L. C. Brown, L. C.; G. R. Foster, G. R.; C. K. Mutchler, C. K.; L. D. Meyer, L. D. Revised Slope Steepness Factor for the Universal Soil Loss Equation. </w:t>
      </w:r>
      <w:r w:rsidRPr="004D5659">
        <w:rPr>
          <w:rFonts w:ascii="Times New Roman" w:hAnsi="Times New Roman" w:cs="Times New Roman"/>
          <w:i/>
          <w:iCs/>
          <w:noProof/>
          <w:sz w:val="24"/>
          <w:szCs w:val="24"/>
        </w:rPr>
        <w:t>Trans. ASAE</w:t>
      </w:r>
      <w:r w:rsidRPr="004D5659">
        <w:rPr>
          <w:rFonts w:ascii="Times New Roman" w:hAnsi="Times New Roman" w:cs="Times New Roman"/>
          <w:noProof/>
          <w:sz w:val="24"/>
          <w:szCs w:val="24"/>
        </w:rPr>
        <w:t xml:space="preserve"> </w:t>
      </w:r>
      <w:r w:rsidRPr="004D5659">
        <w:rPr>
          <w:rFonts w:ascii="Times New Roman" w:hAnsi="Times New Roman" w:cs="Times New Roman"/>
          <w:b/>
          <w:bCs/>
          <w:noProof/>
          <w:sz w:val="24"/>
          <w:szCs w:val="24"/>
        </w:rPr>
        <w:t>1987</w:t>
      </w:r>
      <w:r w:rsidRPr="004D5659">
        <w:rPr>
          <w:rFonts w:ascii="Times New Roman" w:hAnsi="Times New Roman" w:cs="Times New Roman"/>
          <w:noProof/>
          <w:sz w:val="24"/>
          <w:szCs w:val="24"/>
        </w:rPr>
        <w:t xml:space="preserve">, </w:t>
      </w:r>
      <w:r w:rsidRPr="004D5659">
        <w:rPr>
          <w:rFonts w:ascii="Times New Roman" w:hAnsi="Times New Roman" w:cs="Times New Roman"/>
          <w:i/>
          <w:iCs/>
          <w:noProof/>
          <w:sz w:val="24"/>
          <w:szCs w:val="24"/>
        </w:rPr>
        <w:t>30</w:t>
      </w:r>
      <w:r w:rsidRPr="004D5659">
        <w:rPr>
          <w:rFonts w:ascii="Times New Roman" w:hAnsi="Times New Roman" w:cs="Times New Roman"/>
          <w:noProof/>
          <w:sz w:val="24"/>
          <w:szCs w:val="24"/>
        </w:rPr>
        <w:t xml:space="preserve"> (5), 1387–1396. https://doi.org/10.13031/2013.30576.</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9.</w:t>
      </w:r>
      <w:r w:rsidRPr="004D5659">
        <w:rPr>
          <w:rFonts w:ascii="Times New Roman" w:hAnsi="Times New Roman" w:cs="Times New Roman"/>
          <w:noProof/>
          <w:sz w:val="24"/>
          <w:szCs w:val="24"/>
        </w:rPr>
        <w:tab/>
        <w:t xml:space="preserve">Blanos, R.; De cillia, C.; Paganini, P.; Pavan, A.; Sterzai, P.; Pietrapertosa, C.; Vidmar, R.; Creati, N.; Martini, G. </w:t>
      </w:r>
      <w:r w:rsidRPr="004D5659">
        <w:rPr>
          <w:rFonts w:ascii="Times New Roman" w:hAnsi="Times New Roman" w:cs="Times New Roman"/>
          <w:i/>
          <w:iCs/>
          <w:noProof/>
          <w:sz w:val="24"/>
          <w:szCs w:val="24"/>
        </w:rPr>
        <w:t>Rilievo Lidar Ed Iperspettrale Della Provincia Di Treviso</w:t>
      </w:r>
      <w:r w:rsidRPr="004D5659">
        <w:rPr>
          <w:rFonts w:ascii="Times New Roman" w:hAnsi="Times New Roman" w:cs="Times New Roman"/>
          <w:noProof/>
          <w:sz w:val="24"/>
          <w:szCs w:val="24"/>
        </w:rPr>
        <w:t>; 2009.</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10.</w:t>
      </w:r>
      <w:r w:rsidRPr="004D5659">
        <w:rPr>
          <w:rFonts w:ascii="Times New Roman" w:hAnsi="Times New Roman" w:cs="Times New Roman"/>
          <w:noProof/>
          <w:sz w:val="24"/>
          <w:szCs w:val="24"/>
        </w:rPr>
        <w:tab/>
        <w:t xml:space="preserve">Torri, D.; Poesen, J.; Borselli, L. Predictability and Uncertainty of the Soil Erodibility Factor Using a Global Dataset. </w:t>
      </w:r>
      <w:r w:rsidRPr="004D5659">
        <w:rPr>
          <w:rFonts w:ascii="Times New Roman" w:hAnsi="Times New Roman" w:cs="Times New Roman"/>
          <w:i/>
          <w:iCs/>
          <w:noProof/>
          <w:sz w:val="24"/>
          <w:szCs w:val="24"/>
        </w:rPr>
        <w:t>CATENA</w:t>
      </w:r>
      <w:r w:rsidRPr="004D5659">
        <w:rPr>
          <w:rFonts w:ascii="Times New Roman" w:hAnsi="Times New Roman" w:cs="Times New Roman"/>
          <w:noProof/>
          <w:sz w:val="24"/>
          <w:szCs w:val="24"/>
        </w:rPr>
        <w:t xml:space="preserve"> </w:t>
      </w:r>
      <w:r w:rsidRPr="004D5659">
        <w:rPr>
          <w:rFonts w:ascii="Times New Roman" w:hAnsi="Times New Roman" w:cs="Times New Roman"/>
          <w:b/>
          <w:bCs/>
          <w:noProof/>
          <w:sz w:val="24"/>
          <w:szCs w:val="24"/>
        </w:rPr>
        <w:t>1997</w:t>
      </w:r>
      <w:r w:rsidRPr="004D5659">
        <w:rPr>
          <w:rFonts w:ascii="Times New Roman" w:hAnsi="Times New Roman" w:cs="Times New Roman"/>
          <w:noProof/>
          <w:sz w:val="24"/>
          <w:szCs w:val="24"/>
        </w:rPr>
        <w:t xml:space="preserve">, </w:t>
      </w:r>
      <w:r w:rsidRPr="004D5659">
        <w:rPr>
          <w:rFonts w:ascii="Times New Roman" w:hAnsi="Times New Roman" w:cs="Times New Roman"/>
          <w:i/>
          <w:iCs/>
          <w:noProof/>
          <w:sz w:val="24"/>
          <w:szCs w:val="24"/>
        </w:rPr>
        <w:t>31</w:t>
      </w:r>
      <w:r w:rsidRPr="004D5659">
        <w:rPr>
          <w:rFonts w:ascii="Times New Roman" w:hAnsi="Times New Roman" w:cs="Times New Roman"/>
          <w:noProof/>
          <w:sz w:val="24"/>
          <w:szCs w:val="24"/>
        </w:rPr>
        <w:t xml:space="preserve"> (1–2), 1–22. https://doi.org/10.1016/S0341-8162(97)00036-2.</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szCs w:val="24"/>
        </w:rPr>
      </w:pPr>
      <w:r w:rsidRPr="004D5659">
        <w:rPr>
          <w:rFonts w:ascii="Times New Roman" w:hAnsi="Times New Roman" w:cs="Times New Roman"/>
          <w:noProof/>
          <w:sz w:val="24"/>
          <w:szCs w:val="24"/>
        </w:rPr>
        <w:t>11.</w:t>
      </w:r>
      <w:r w:rsidRPr="004D5659">
        <w:rPr>
          <w:rFonts w:ascii="Times New Roman" w:hAnsi="Times New Roman" w:cs="Times New Roman"/>
          <w:noProof/>
          <w:sz w:val="24"/>
          <w:szCs w:val="24"/>
        </w:rPr>
        <w:tab/>
        <w:t xml:space="preserve">Wischmeier, W.; Smith, D. D.; Wischmer, W. H.; Smith, D. D. Predicting Rainfall Erosion Losses: A Guide to Conservation Planning. </w:t>
      </w:r>
      <w:r w:rsidRPr="004D5659">
        <w:rPr>
          <w:rFonts w:ascii="Times New Roman" w:hAnsi="Times New Roman" w:cs="Times New Roman"/>
          <w:i/>
          <w:iCs/>
          <w:noProof/>
          <w:sz w:val="24"/>
          <w:szCs w:val="24"/>
        </w:rPr>
        <w:t>U.S. Dep. Agric. Handb. No. 537</w:t>
      </w:r>
      <w:r w:rsidRPr="004D5659">
        <w:rPr>
          <w:rFonts w:ascii="Times New Roman" w:hAnsi="Times New Roman" w:cs="Times New Roman"/>
          <w:noProof/>
          <w:sz w:val="24"/>
          <w:szCs w:val="24"/>
        </w:rPr>
        <w:t xml:space="preserve"> </w:t>
      </w:r>
      <w:r w:rsidRPr="004D5659">
        <w:rPr>
          <w:rFonts w:ascii="Times New Roman" w:hAnsi="Times New Roman" w:cs="Times New Roman"/>
          <w:b/>
          <w:bCs/>
          <w:noProof/>
          <w:sz w:val="24"/>
          <w:szCs w:val="24"/>
        </w:rPr>
        <w:t>1978</w:t>
      </w:r>
      <w:r w:rsidRPr="004D5659">
        <w:rPr>
          <w:rFonts w:ascii="Times New Roman" w:hAnsi="Times New Roman" w:cs="Times New Roman"/>
          <w:noProof/>
          <w:sz w:val="24"/>
          <w:szCs w:val="24"/>
        </w:rPr>
        <w:t>, 1–69. https://doi.org/10.1029/TR039i002p00285.</w:t>
      </w:r>
    </w:p>
    <w:p w:rsidR="004D5659" w:rsidRPr="004D5659" w:rsidRDefault="004D5659" w:rsidP="004D5659">
      <w:pPr>
        <w:widowControl w:val="0"/>
        <w:autoSpaceDE w:val="0"/>
        <w:autoSpaceDN w:val="0"/>
        <w:adjustRightInd w:val="0"/>
        <w:ind w:left="640" w:hanging="640"/>
        <w:rPr>
          <w:rFonts w:ascii="Times New Roman" w:hAnsi="Times New Roman" w:cs="Times New Roman"/>
          <w:noProof/>
          <w:sz w:val="24"/>
        </w:rPr>
      </w:pPr>
      <w:r w:rsidRPr="004D5659">
        <w:rPr>
          <w:rFonts w:ascii="Times New Roman" w:hAnsi="Times New Roman" w:cs="Times New Roman"/>
          <w:noProof/>
          <w:sz w:val="24"/>
          <w:szCs w:val="24"/>
        </w:rPr>
        <w:t>12.</w:t>
      </w:r>
      <w:r w:rsidRPr="004D5659">
        <w:rPr>
          <w:rFonts w:ascii="Times New Roman" w:hAnsi="Times New Roman" w:cs="Times New Roman"/>
          <w:noProof/>
          <w:sz w:val="24"/>
          <w:szCs w:val="24"/>
        </w:rPr>
        <w:tab/>
        <w:t xml:space="preserve">Agenzia Regionale per la Prevenzione e protezione ambientale del Veneto. ARPAV. </w:t>
      </w:r>
      <w:r w:rsidRPr="004D5659">
        <w:rPr>
          <w:rFonts w:ascii="Times New Roman" w:hAnsi="Times New Roman" w:cs="Times New Roman"/>
          <w:i/>
          <w:iCs/>
          <w:noProof/>
          <w:sz w:val="24"/>
          <w:szCs w:val="24"/>
        </w:rPr>
        <w:t>La Carta Dei Suoli Della Provincia Di Treviso</w:t>
      </w:r>
      <w:r w:rsidRPr="004D5659">
        <w:rPr>
          <w:rFonts w:ascii="Times New Roman" w:hAnsi="Times New Roman" w:cs="Times New Roman"/>
          <w:noProof/>
          <w:sz w:val="24"/>
          <w:szCs w:val="24"/>
        </w:rPr>
        <w:t>; Provincia di Treviso: Treviso, 2008.</w:t>
      </w:r>
    </w:p>
    <w:p w:rsidR="004D5659" w:rsidRPr="004D5659" w:rsidRDefault="004D5659">
      <w:pPr>
        <w:rPr>
          <w:rFonts w:ascii="Times New Roman" w:hAnsi="Times New Roman" w:cs="Times New Roman"/>
          <w:sz w:val="24"/>
          <w:szCs w:val="24"/>
          <w:lang w:val="en-GB"/>
        </w:rPr>
      </w:pPr>
      <w:r>
        <w:rPr>
          <w:rFonts w:ascii="Times New Roman" w:hAnsi="Times New Roman" w:cs="Times New Roman"/>
          <w:sz w:val="24"/>
          <w:szCs w:val="24"/>
          <w:lang w:val="en-GB"/>
        </w:rPr>
        <w:fldChar w:fldCharType="end"/>
      </w:r>
    </w:p>
    <w:sectPr w:rsidR="004D5659" w:rsidRPr="004D5659" w:rsidSect="0043499C">
      <w:footerReference w:type="default" r:id="rId5"/>
      <w:pgSz w:w="11906" w:h="16838" w:code="9"/>
      <w:pgMar w:top="1134" w:right="1021" w:bottom="284" w:left="1021" w:header="0" w:footer="0" w:gutter="0"/>
      <w:lnNumType w:countBy="1" w:restart="continuous"/>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panose1 w:val="020B0603030804020204"/>
    <w:charset w:val="00"/>
    <w:family w:val="swiss"/>
    <w:pitch w:val="variable"/>
  </w:font>
  <w:font w:name="Arial">
    <w:panose1 w:val="020B0604020202020204"/>
    <w:charset w:val="00"/>
    <w:family w:val="swiss"/>
    <w:pitch w:val="variable"/>
    <w:sig w:usb0="E0002EFF" w:usb1="C000785B" w:usb2="00000009" w:usb3="00000000" w:csb0="000001FF" w:csb1="00000000"/>
  </w:font>
  <w:font w:name="FreeSans">
    <w:altName w:val="Times New Roman"/>
    <w:charset w:val="00"/>
    <w:family w:val="swiss"/>
    <w:pitch w:val="variable"/>
    <w:sig w:usb0="E45F8EFF" w:usb1="5007F9FB" w:usb2="000000A0" w:usb3="00000000" w:csb0="000200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B1" w:rsidRDefault="00C7016C">
    <w:pPr>
      <w:pStyle w:val="Pidipagina"/>
      <w:jc w:val="center"/>
    </w:pPr>
    <w:r>
      <w:fldChar w:fldCharType="begin"/>
    </w:r>
    <w:r>
      <w:instrText>PAGE   \* MERGEFORMAT</w:instrText>
    </w:r>
    <w:r>
      <w:fldChar w:fldCharType="separate"/>
    </w:r>
    <w:r w:rsidRPr="00C7016C">
      <w:rPr>
        <w:noProof/>
        <w:lang w:val="it-IT"/>
      </w:rPr>
      <w:t>1</w:t>
    </w:r>
    <w:r>
      <w:fldChar w:fldCharType="end"/>
    </w:r>
  </w:p>
  <w:p w:rsidR="00BE5CB1" w:rsidRDefault="00C7016C">
    <w:pPr>
      <w:pStyle w:val="Pidipa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64"/>
    <w:rsid w:val="00242011"/>
    <w:rsid w:val="004D5659"/>
    <w:rsid w:val="005B5DC6"/>
    <w:rsid w:val="00711564"/>
    <w:rsid w:val="007D26EC"/>
    <w:rsid w:val="00A84FB1"/>
    <w:rsid w:val="00C7016C"/>
    <w:rsid w:val="00DB7B8B"/>
    <w:rsid w:val="00EF10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6C09C"/>
  <w15:chartTrackingRefBased/>
  <w15:docId w15:val="{DA8DD1C3-C5CE-4B3F-9EC8-0DD9E65B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1564"/>
    <w:pPr>
      <w:suppressAutoHyphens/>
      <w:spacing w:after="0" w:line="240" w:lineRule="auto"/>
      <w:textAlignment w:val="baseline"/>
    </w:pPr>
    <w:rPr>
      <w:rFonts w:ascii="Calibri" w:eastAsia="Times New Roman" w:hAnsi="Calibri" w:cs="DejaVu Sans"/>
      <w:color w:val="00000A"/>
      <w:lang w:val="en-US"/>
    </w:rPr>
  </w:style>
  <w:style w:type="paragraph" w:styleId="Titolo2">
    <w:name w:val="heading 2"/>
    <w:basedOn w:val="Normale"/>
    <w:link w:val="Titolo2Carattere"/>
    <w:qFormat/>
    <w:rsid w:val="00711564"/>
    <w:pPr>
      <w:keepNext/>
      <w:widowControl w:val="0"/>
      <w:spacing w:before="240" w:after="120"/>
      <w:ind w:left="115"/>
      <w:outlineLvl w:val="1"/>
    </w:pPr>
    <w:rPr>
      <w:rFonts w:cs="Arial"/>
      <w:bCs/>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11564"/>
    <w:rPr>
      <w:rFonts w:ascii="Calibri" w:eastAsia="Times New Roman" w:hAnsi="Calibri" w:cs="Arial"/>
      <w:bCs/>
      <w:color w:val="00000A"/>
      <w:sz w:val="24"/>
      <w:szCs w:val="32"/>
      <w:lang w:val="en-US"/>
    </w:rPr>
  </w:style>
  <w:style w:type="paragraph" w:customStyle="1" w:styleId="Standard">
    <w:name w:val="Standard"/>
    <w:rsid w:val="00711564"/>
    <w:pPr>
      <w:spacing w:after="0" w:line="240" w:lineRule="auto"/>
    </w:pPr>
    <w:rPr>
      <w:rFonts w:ascii="Times New Roman" w:eastAsia="Calibri" w:hAnsi="Times New Roman" w:cs="Times New Roman"/>
      <w:color w:val="00000A"/>
      <w:lang w:val="en-US"/>
    </w:rPr>
  </w:style>
  <w:style w:type="paragraph" w:customStyle="1" w:styleId="Textbody">
    <w:name w:val="Text body"/>
    <w:rsid w:val="00711564"/>
    <w:pPr>
      <w:widowControl w:val="0"/>
      <w:spacing w:after="0" w:line="240" w:lineRule="auto"/>
    </w:pPr>
    <w:rPr>
      <w:rFonts w:ascii="Calibri" w:eastAsia="Times New Roman" w:hAnsi="Calibri" w:cs="FreeSans"/>
      <w:lang w:val="en-US"/>
    </w:rPr>
  </w:style>
  <w:style w:type="paragraph" w:styleId="Pidipagina">
    <w:name w:val="footer"/>
    <w:basedOn w:val="Normale"/>
    <w:link w:val="PidipaginaCarattere"/>
    <w:rsid w:val="00711564"/>
    <w:pPr>
      <w:tabs>
        <w:tab w:val="center" w:pos="4819"/>
        <w:tab w:val="right" w:pos="9638"/>
      </w:tabs>
    </w:pPr>
  </w:style>
  <w:style w:type="character" w:customStyle="1" w:styleId="PidipaginaCarattere">
    <w:name w:val="Piè di pagina Carattere"/>
    <w:basedOn w:val="Carpredefinitoparagrafo"/>
    <w:link w:val="Pidipagina"/>
    <w:rsid w:val="00711564"/>
    <w:rPr>
      <w:rFonts w:ascii="Calibri" w:eastAsia="Times New Roman" w:hAnsi="Calibri" w:cs="DejaVu Sans"/>
      <w:color w:val="00000A"/>
      <w:lang w:val="en-US"/>
    </w:rPr>
  </w:style>
  <w:style w:type="character" w:styleId="Numeroriga">
    <w:name w:val="line number"/>
    <w:basedOn w:val="Carpredefinitoparagrafo"/>
    <w:uiPriority w:val="99"/>
    <w:semiHidden/>
    <w:unhideWhenUsed/>
    <w:rsid w:val="0071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902D-767C-4138-A3CC-7171B308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4370</Words>
  <Characters>25697</Characters>
  <Application>Microsoft Office Word</Application>
  <DocSecurity>0</DocSecurity>
  <Lines>1427</Lines>
  <Paragraphs>639</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C factor</vt:lpstr>
      <vt:lpstr>    LS factor</vt:lpstr>
      <vt:lpstr>    K factor</vt:lpstr>
    </vt:vector>
  </TitlesOfParts>
  <Company/>
  <LinksUpToDate>false</LinksUpToDate>
  <CharactersWithSpaces>29428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5</cp:revision>
  <dcterms:created xsi:type="dcterms:W3CDTF">2019-04-03T19:17:00Z</dcterms:created>
  <dcterms:modified xsi:type="dcterms:W3CDTF">2019-04-03T21:26:00Z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https://csl.mendeley.com/styles/501338161/american-chemical-society-2</vt:lpwstr>
  </property>
  <property fmtid="{D5CDD505-2E9C-101B-9397-08002B2CF9AE}" pid="5" name="Mendeley Recent Style Name 1_1">
    <vt:lpwstr>American Chemical Society - Francesco Facchinelli</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http://www.zotero.org/styles/plos-one</vt:lpwstr>
  </property>
  <property fmtid="{D5CDD505-2E9C-101B-9397-08002B2CF9AE}" pid="21" name="Mendeley Recent Style Name 9_1">
    <vt:lpwstr>PLOS ONE</vt:lpwstr>
  </property>
  <property fmtid="{D5CDD505-2E9C-101B-9397-08002B2CF9AE}" pid="22" name="Mendeley Document_1">
    <vt:lpwstr>True</vt:lpwstr>
  </property>
  <property fmtid="{D5CDD505-2E9C-101B-9397-08002B2CF9AE}" pid="23" name="Mendeley Unique User Id_1">
    <vt:lpwstr>03107dc6-c356-3df0-98b6-5f16406a3614</vt:lpwstr>
  </property>
  <property fmtid="{D5CDD505-2E9C-101B-9397-08002B2CF9AE}" pid="24" name="Mendeley Citation Style_1">
    <vt:lpwstr>https://csl.mendeley.com/styles/501338161/american-chemical-society-2</vt:lpwstr>
  </property>
</Properties>
</file>