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9898A" w14:textId="64BB86FA" w:rsidR="002A36C4" w:rsidRPr="001C179D" w:rsidRDefault="008636F9" w:rsidP="00902F88">
      <w:pPr>
        <w:shd w:val="clear" w:color="auto" w:fill="FFFFFF"/>
        <w:spacing w:after="0" w:line="480" w:lineRule="auto"/>
        <w:rPr>
          <w:rFonts w:ascii="Calibri" w:hAnsi="Calibri" w:cs="Arial"/>
          <w:b/>
          <w:lang w:val="en-GB"/>
        </w:rPr>
      </w:pPr>
      <w:r>
        <w:rPr>
          <w:rFonts w:ascii="Calibri" w:hAnsi="Calibri" w:cs="Arial"/>
          <w:b/>
          <w:lang w:val="en-GB"/>
        </w:rPr>
        <w:t xml:space="preserve">S4 </w:t>
      </w:r>
      <w:r w:rsidR="002A36C4">
        <w:rPr>
          <w:rFonts w:ascii="Calibri" w:hAnsi="Calibri" w:cs="Arial"/>
          <w:b/>
          <w:lang w:val="en-GB"/>
        </w:rPr>
        <w:t>Appendix</w:t>
      </w:r>
      <w:r w:rsidR="002A36C4" w:rsidRPr="00F4470C">
        <w:rPr>
          <w:rFonts w:ascii="Calibri" w:hAnsi="Calibri" w:cs="Arial"/>
          <w:b/>
          <w:lang w:val="en-GB"/>
        </w:rPr>
        <w:t>.</w:t>
      </w:r>
    </w:p>
    <w:p w14:paraId="568CF837" w14:textId="77777777" w:rsidR="002C242C" w:rsidRDefault="005B083F" w:rsidP="00902F88">
      <w:pPr>
        <w:spacing w:line="480" w:lineRule="auto"/>
        <w:rPr>
          <w:b/>
          <w:lang w:val="en-GB"/>
        </w:rPr>
      </w:pPr>
      <w:r>
        <w:rPr>
          <w:b/>
          <w:lang w:val="en-GB"/>
        </w:rPr>
        <w:t>Illustration of the location and impact of point-only PAs in the WDPA version used for this analysis.</w:t>
      </w:r>
    </w:p>
    <w:p w14:paraId="671449B1" w14:textId="63439865" w:rsidR="002C242C" w:rsidRDefault="002C242C" w:rsidP="00902F88">
      <w:pPr>
        <w:spacing w:line="480" w:lineRule="auto"/>
      </w:pPr>
      <w:r>
        <w:t>While most P</w:t>
      </w:r>
      <w:r w:rsidR="001F3B31">
        <w:t>A</w:t>
      </w:r>
      <w:r>
        <w:t>s in the WDPA have delineated polygon boundaries, a subset consist</w:t>
      </w:r>
      <w:r w:rsidR="001F3B31">
        <w:t>s</w:t>
      </w:r>
      <w:r>
        <w:t xml:space="preserve"> of only a geographic point (assusmed usually to be a centroid) and a reported area. In the absence of other data, the recommendation of </w:t>
      </w:r>
      <w:r w:rsidR="00083A8C">
        <w:t xml:space="preserve">the data publishers </w:t>
      </w:r>
      <w:r>
        <w:t>is to buffer these centroids with a geodesic circular buffer whose area corresponds to the reported area</w:t>
      </w:r>
      <w:r w:rsidR="000D5C05">
        <w:t xml:space="preserve"> </w:t>
      </w:r>
      <w:r w:rsidR="006C3E66">
        <w:t>[1]</w:t>
      </w:r>
      <w:r>
        <w:t xml:space="preserve">. This is the method used in </w:t>
      </w:r>
      <w:r w:rsidR="00F9390A">
        <w:t xml:space="preserve">the Protected Planet report </w:t>
      </w:r>
      <w:r w:rsidR="006C3E66">
        <w:t>[2]</w:t>
      </w:r>
      <w:r w:rsidR="000D5C05">
        <w:t xml:space="preserve"> </w:t>
      </w:r>
      <w:r w:rsidR="00F9390A">
        <w:t>and</w:t>
      </w:r>
      <w:r w:rsidR="006C3E66">
        <w:t xml:space="preserve"> in</w:t>
      </w:r>
      <w:r w:rsidR="00F9390A">
        <w:t xml:space="preserve"> </w:t>
      </w:r>
      <w:r w:rsidR="006C3E66">
        <w:t>many other</w:t>
      </w:r>
      <w:r w:rsidR="00F9390A">
        <w:t xml:space="preserve"> publications </w:t>
      </w:r>
      <w:r w:rsidR="006C3E66">
        <w:t>[e.g. 3,4]</w:t>
      </w:r>
      <w:r w:rsidR="00F9390A">
        <w:t xml:space="preserve"> </w:t>
      </w:r>
      <w:r>
        <w:t>to avoid undue bias in countries where fully-mapped boundaries are currently unavailable.</w:t>
      </w:r>
    </w:p>
    <w:p w14:paraId="31477E18" w14:textId="500906F1" w:rsidR="002C242C" w:rsidRDefault="002C242C" w:rsidP="00902F88">
      <w:pPr>
        <w:spacing w:line="480" w:lineRule="auto"/>
      </w:pPr>
      <w:r>
        <w:t xml:space="preserve">The distribution of these point-only PAs is geographically biased and dependent on geopolitical factors. Figure </w:t>
      </w:r>
      <w:r w:rsidR="00B8347B">
        <w:t>4</w:t>
      </w:r>
      <w:r>
        <w:t>.1 shows the distribution and size of these buffer polygons within the April 2016 version of the WDPA used for this analysis.</w:t>
      </w:r>
    </w:p>
    <w:p w14:paraId="62407D2F" w14:textId="67B7E3EE" w:rsidR="002C242C" w:rsidRDefault="002C242C" w:rsidP="00902F88">
      <w:pPr>
        <w:spacing w:line="480" w:lineRule="auto"/>
      </w:pPr>
      <w:r>
        <w:rPr>
          <w:noProof/>
          <w:lang w:val="en-US"/>
        </w:rPr>
        <w:drawing>
          <wp:inline distT="0" distB="0" distL="0" distR="0" wp14:anchorId="14B01E25" wp14:editId="2463A625">
            <wp:extent cx="6188710" cy="40017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3_locations_of_buffer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88710" cy="4001770"/>
                    </a:xfrm>
                    <a:prstGeom prst="rect">
                      <a:avLst/>
                    </a:prstGeom>
                  </pic:spPr>
                </pic:pic>
              </a:graphicData>
            </a:graphic>
          </wp:inline>
        </w:drawing>
      </w:r>
    </w:p>
    <w:p w14:paraId="6127D3E9" w14:textId="63D30122" w:rsidR="002C242C" w:rsidRDefault="002C242C" w:rsidP="00902F88">
      <w:pPr>
        <w:spacing w:line="480" w:lineRule="auto"/>
        <w:rPr>
          <w:b/>
        </w:rPr>
      </w:pPr>
      <w:r w:rsidRPr="002C242C">
        <w:rPr>
          <w:b/>
        </w:rPr>
        <w:t xml:space="preserve">Figure </w:t>
      </w:r>
      <w:r w:rsidR="00B8347B">
        <w:rPr>
          <w:b/>
        </w:rPr>
        <w:t>4</w:t>
      </w:r>
      <w:r w:rsidRPr="002C242C">
        <w:rPr>
          <w:b/>
        </w:rPr>
        <w:t>.1. Location of point buffers in the W</w:t>
      </w:r>
      <w:r w:rsidR="001F3B31">
        <w:rPr>
          <w:b/>
        </w:rPr>
        <w:t xml:space="preserve">orld </w:t>
      </w:r>
      <w:r w:rsidRPr="002C242C">
        <w:rPr>
          <w:b/>
        </w:rPr>
        <w:t>D</w:t>
      </w:r>
      <w:r w:rsidR="001F3B31">
        <w:rPr>
          <w:b/>
        </w:rPr>
        <w:t xml:space="preserve">atabase on </w:t>
      </w:r>
      <w:r w:rsidRPr="002C242C">
        <w:rPr>
          <w:b/>
        </w:rPr>
        <w:t>P</w:t>
      </w:r>
      <w:r w:rsidR="001F3B31">
        <w:rPr>
          <w:b/>
        </w:rPr>
        <w:t xml:space="preserve">rotected </w:t>
      </w:r>
      <w:r w:rsidRPr="002C242C">
        <w:rPr>
          <w:b/>
        </w:rPr>
        <w:t>A</w:t>
      </w:r>
      <w:r w:rsidR="001F3B31">
        <w:rPr>
          <w:b/>
        </w:rPr>
        <w:t>reas</w:t>
      </w:r>
      <w:r w:rsidRPr="002C242C">
        <w:rPr>
          <w:b/>
        </w:rPr>
        <w:t xml:space="preserve"> </w:t>
      </w:r>
      <w:r w:rsidR="001F3B31">
        <w:rPr>
          <w:b/>
        </w:rPr>
        <w:t xml:space="preserve">of </w:t>
      </w:r>
      <w:r w:rsidRPr="002C242C">
        <w:rPr>
          <w:b/>
        </w:rPr>
        <w:t>April 2016</w:t>
      </w:r>
      <w:r w:rsidR="001F3B31">
        <w:rPr>
          <w:b/>
        </w:rPr>
        <w:t>.</w:t>
      </w:r>
    </w:p>
    <w:p w14:paraId="31625A77" w14:textId="08DB4754" w:rsidR="002C242C" w:rsidRDefault="002C242C" w:rsidP="00902F88">
      <w:pPr>
        <w:spacing w:line="480" w:lineRule="auto"/>
      </w:pPr>
      <w:r>
        <w:lastRenderedPageBreak/>
        <w:t xml:space="preserve">For some countries, the major part of their </w:t>
      </w:r>
      <w:r w:rsidR="00BA14DD">
        <w:t>protected area extent</w:t>
      </w:r>
      <w:r>
        <w:t xml:space="preserve"> is recorded in this form, despite constant efforts from the database managers to improve this situation. Figure </w:t>
      </w:r>
      <w:r w:rsidR="00B8347B">
        <w:t>4</w:t>
      </w:r>
      <w:r>
        <w:t>.2 shows the proportion of protection in point-only form for the April 2016 version of the WDPA.</w:t>
      </w:r>
    </w:p>
    <w:p w14:paraId="686F7E7D" w14:textId="41CD56BF" w:rsidR="002C242C" w:rsidRDefault="002C242C" w:rsidP="00902F88">
      <w:pPr>
        <w:spacing w:line="480" w:lineRule="auto"/>
      </w:pPr>
      <w:r>
        <w:rPr>
          <w:noProof/>
          <w:lang w:val="en-US"/>
        </w:rPr>
        <w:drawing>
          <wp:inline distT="0" distB="0" distL="0" distR="0" wp14:anchorId="7D85AE3B" wp14:editId="1C9F1A8E">
            <wp:extent cx="6188710" cy="31667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3_country_buffer_percentage_apr2016.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8710" cy="3166745"/>
                    </a:xfrm>
                    <a:prstGeom prst="rect">
                      <a:avLst/>
                    </a:prstGeom>
                  </pic:spPr>
                </pic:pic>
              </a:graphicData>
            </a:graphic>
          </wp:inline>
        </w:drawing>
      </w:r>
    </w:p>
    <w:p w14:paraId="5A853C93" w14:textId="68DF77E5" w:rsidR="002C242C" w:rsidRPr="002C242C" w:rsidRDefault="002C242C" w:rsidP="00902F88">
      <w:pPr>
        <w:spacing w:line="480" w:lineRule="auto"/>
        <w:rPr>
          <w:b/>
        </w:rPr>
      </w:pPr>
      <w:r w:rsidRPr="002C242C">
        <w:rPr>
          <w:b/>
        </w:rPr>
        <w:t xml:space="preserve">Figure </w:t>
      </w:r>
      <w:r w:rsidR="00B8347B">
        <w:rPr>
          <w:b/>
        </w:rPr>
        <w:t>4</w:t>
      </w:r>
      <w:r w:rsidRPr="002C242C">
        <w:rPr>
          <w:b/>
        </w:rPr>
        <w:t>.2 Point-only protection coverage in the W</w:t>
      </w:r>
      <w:r w:rsidR="001F3B31">
        <w:rPr>
          <w:b/>
        </w:rPr>
        <w:t xml:space="preserve">orld </w:t>
      </w:r>
      <w:r w:rsidRPr="002C242C">
        <w:rPr>
          <w:b/>
        </w:rPr>
        <w:t>D</w:t>
      </w:r>
      <w:r w:rsidR="001F3B31">
        <w:rPr>
          <w:b/>
        </w:rPr>
        <w:t xml:space="preserve">atabase on Protected </w:t>
      </w:r>
      <w:r w:rsidRPr="002C242C">
        <w:rPr>
          <w:b/>
        </w:rPr>
        <w:t>A</w:t>
      </w:r>
      <w:r w:rsidR="001F3B31">
        <w:rPr>
          <w:b/>
        </w:rPr>
        <w:t>reas</w:t>
      </w:r>
      <w:r w:rsidRPr="002C242C">
        <w:rPr>
          <w:b/>
        </w:rPr>
        <w:t xml:space="preserve"> of April 2016.</w:t>
      </w:r>
    </w:p>
    <w:p w14:paraId="665CE34F" w14:textId="20D0C783" w:rsidR="008948CB" w:rsidRDefault="002C242C" w:rsidP="00887F61">
      <w:pPr>
        <w:spacing w:line="480" w:lineRule="auto"/>
      </w:pPr>
      <w:r>
        <w:t xml:space="preserve">It can be seen that this bias in the data will affect assessments of water protection. Figure </w:t>
      </w:r>
      <w:r w:rsidR="00B8347B">
        <w:t>4</w:t>
      </w:r>
      <w:r>
        <w:t>.3 compares the proportion of permanent water protected when point buffers are not considered, compare</w:t>
      </w:r>
      <w:r w:rsidR="001F3B31">
        <w:t>d</w:t>
      </w:r>
      <w:r>
        <w:t xml:space="preserve"> to the case when these geometries are included. </w:t>
      </w:r>
      <w:r w:rsidR="008948CB">
        <w:br w:type="page"/>
      </w:r>
    </w:p>
    <w:p w14:paraId="4A65C398" w14:textId="6202F040" w:rsidR="000572BD" w:rsidRDefault="00C50DCC" w:rsidP="00902F88">
      <w:pPr>
        <w:spacing w:line="480" w:lineRule="auto"/>
      </w:pPr>
      <w:r>
        <w:rPr>
          <w:noProof/>
          <w:lang w:val="en-US"/>
        </w:rPr>
        <w:lastRenderedPageBreak/>
        <w:drawing>
          <wp:inline distT="0" distB="0" distL="0" distR="0" wp14:anchorId="2C505353" wp14:editId="1FA987B9">
            <wp:extent cx="6188710" cy="26365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a33a.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2636520"/>
                    </a:xfrm>
                    <a:prstGeom prst="rect">
                      <a:avLst/>
                    </a:prstGeom>
                  </pic:spPr>
                </pic:pic>
              </a:graphicData>
            </a:graphic>
          </wp:inline>
        </w:drawing>
      </w:r>
    </w:p>
    <w:p w14:paraId="6BE6BC36" w14:textId="3FA8D5CB" w:rsidR="001E026E" w:rsidRDefault="001E026E" w:rsidP="00902F88">
      <w:pPr>
        <w:spacing w:line="480" w:lineRule="auto"/>
      </w:pPr>
      <w:r>
        <w:rPr>
          <w:noProof/>
          <w:lang w:val="en-US"/>
        </w:rPr>
        <w:drawing>
          <wp:inline distT="0" distB="0" distL="0" distR="0" wp14:anchorId="4B1EA2C3" wp14:editId="251B8115">
            <wp:extent cx="6188710" cy="26365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a33b.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2636520"/>
                    </a:xfrm>
                    <a:prstGeom prst="rect">
                      <a:avLst/>
                    </a:prstGeom>
                  </pic:spPr>
                </pic:pic>
              </a:graphicData>
            </a:graphic>
          </wp:inline>
        </w:drawing>
      </w:r>
    </w:p>
    <w:p w14:paraId="3F523109" w14:textId="41D468AD" w:rsidR="001F3B31" w:rsidRDefault="000572BD" w:rsidP="001F3B31">
      <w:pPr>
        <w:spacing w:line="480" w:lineRule="auto"/>
      </w:pPr>
      <w:r w:rsidRPr="002C242C">
        <w:rPr>
          <w:b/>
        </w:rPr>
        <w:t xml:space="preserve">Figure </w:t>
      </w:r>
      <w:r w:rsidR="00B8347B">
        <w:rPr>
          <w:b/>
        </w:rPr>
        <w:t>4</w:t>
      </w:r>
      <w:r w:rsidRPr="002C242C">
        <w:rPr>
          <w:b/>
        </w:rPr>
        <w:t>.</w:t>
      </w:r>
      <w:r>
        <w:rPr>
          <w:b/>
        </w:rPr>
        <w:t>3</w:t>
      </w:r>
      <w:r w:rsidRPr="002C242C">
        <w:rPr>
          <w:b/>
        </w:rPr>
        <w:t xml:space="preserve"> </w:t>
      </w:r>
      <w:r>
        <w:rPr>
          <w:b/>
        </w:rPr>
        <w:t>Effect of including point buffers in estimation of permanent surface water protection.</w:t>
      </w:r>
      <w:r w:rsidR="001F3B31">
        <w:rPr>
          <w:b/>
        </w:rPr>
        <w:t xml:space="preserve"> </w:t>
      </w:r>
      <w:r w:rsidR="001F3B31">
        <w:t>In the lower figure, only those countries where point buffers induce a change</w:t>
      </w:r>
      <w:r w:rsidR="00B54B6F">
        <w:t xml:space="preserve"> above 0.5 %</w:t>
      </w:r>
      <w:r w:rsidR="001F3B31">
        <w:t xml:space="preserve"> in protection percentage are coloured, and the width of the country outline denotes the level of the change.</w:t>
      </w:r>
    </w:p>
    <w:p w14:paraId="7CD01EC3" w14:textId="686D5BE3" w:rsidR="000572BD" w:rsidRDefault="000572BD" w:rsidP="000572BD">
      <w:pPr>
        <w:spacing w:line="480" w:lineRule="auto"/>
        <w:rPr>
          <w:b/>
        </w:rPr>
      </w:pPr>
    </w:p>
    <w:p w14:paraId="71015054" w14:textId="77777777" w:rsidR="000572BD" w:rsidRDefault="000572BD">
      <w:r>
        <w:br w:type="page"/>
      </w:r>
    </w:p>
    <w:p w14:paraId="05A95D8E" w14:textId="68C6D6AA" w:rsidR="000572BD" w:rsidRDefault="000572BD" w:rsidP="000572BD">
      <w:pPr>
        <w:spacing w:line="480" w:lineRule="auto"/>
      </w:pPr>
      <w:r>
        <w:lastRenderedPageBreak/>
        <w:t xml:space="preserve">Figure </w:t>
      </w:r>
      <w:r w:rsidR="00B8347B">
        <w:t>4</w:t>
      </w:r>
      <w:r>
        <w:t>.4 illustrates the same comparison for seasonal surface water.</w:t>
      </w:r>
    </w:p>
    <w:p w14:paraId="54BA51F5" w14:textId="64EFB918" w:rsidR="000572BD" w:rsidRDefault="00152AD6" w:rsidP="000572BD">
      <w:pPr>
        <w:spacing w:line="480" w:lineRule="auto"/>
      </w:pPr>
      <w:r>
        <w:rPr>
          <w:noProof/>
          <w:lang w:val="en-US"/>
        </w:rPr>
        <w:drawing>
          <wp:inline distT="0" distB="0" distL="0" distR="0" wp14:anchorId="242D3268" wp14:editId="441CA36F">
            <wp:extent cx="6188710" cy="26365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a34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2636520"/>
                    </a:xfrm>
                    <a:prstGeom prst="rect">
                      <a:avLst/>
                    </a:prstGeom>
                  </pic:spPr>
                </pic:pic>
              </a:graphicData>
            </a:graphic>
          </wp:inline>
        </w:drawing>
      </w:r>
      <w:r>
        <w:rPr>
          <w:noProof/>
          <w:lang w:val="en-US"/>
        </w:rPr>
        <w:drawing>
          <wp:inline distT="0" distB="0" distL="0" distR="0" wp14:anchorId="5B9CB857" wp14:editId="11B65BEA">
            <wp:extent cx="6188710" cy="26365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a34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2636520"/>
                    </a:xfrm>
                    <a:prstGeom prst="rect">
                      <a:avLst/>
                    </a:prstGeom>
                  </pic:spPr>
                </pic:pic>
              </a:graphicData>
            </a:graphic>
          </wp:inline>
        </w:drawing>
      </w:r>
    </w:p>
    <w:p w14:paraId="4711D475" w14:textId="5F5C0D16" w:rsidR="000572BD" w:rsidRPr="000572BD" w:rsidRDefault="000572BD" w:rsidP="000572BD">
      <w:pPr>
        <w:spacing w:line="480" w:lineRule="auto"/>
      </w:pPr>
    </w:p>
    <w:p w14:paraId="73112435" w14:textId="1418E8E4" w:rsidR="00D64819" w:rsidRDefault="000572BD" w:rsidP="00D64819">
      <w:pPr>
        <w:spacing w:line="480" w:lineRule="auto"/>
      </w:pPr>
      <w:r w:rsidRPr="002C242C">
        <w:rPr>
          <w:b/>
        </w:rPr>
        <w:t xml:space="preserve">Figure </w:t>
      </w:r>
      <w:r w:rsidR="00B8347B">
        <w:rPr>
          <w:b/>
        </w:rPr>
        <w:t>4</w:t>
      </w:r>
      <w:r w:rsidRPr="002C242C">
        <w:rPr>
          <w:b/>
        </w:rPr>
        <w:t>.</w:t>
      </w:r>
      <w:r>
        <w:rPr>
          <w:b/>
        </w:rPr>
        <w:t>4</w:t>
      </w:r>
      <w:r w:rsidRPr="002C242C">
        <w:rPr>
          <w:b/>
        </w:rPr>
        <w:t xml:space="preserve"> </w:t>
      </w:r>
      <w:r>
        <w:rPr>
          <w:b/>
        </w:rPr>
        <w:t>Effect of including point buffers in estimation of seasonal surface water protection.</w:t>
      </w:r>
      <w:r w:rsidR="00D64819">
        <w:rPr>
          <w:b/>
        </w:rPr>
        <w:t xml:space="preserve"> </w:t>
      </w:r>
      <w:r w:rsidR="00D64819">
        <w:t>In the lower figure, only those countries where point buffers induces a change in protection percentage</w:t>
      </w:r>
      <w:r w:rsidR="00B54B6F">
        <w:t xml:space="preserve"> over 0.5 % </w:t>
      </w:r>
      <w:r w:rsidR="00D64819">
        <w:t>are coloured, and the width of the country outline denotes the level of the change.</w:t>
      </w:r>
    </w:p>
    <w:p w14:paraId="00CD0547" w14:textId="16008D5D" w:rsidR="000572BD" w:rsidRPr="002C242C" w:rsidRDefault="000572BD" w:rsidP="000572BD">
      <w:pPr>
        <w:spacing w:line="480" w:lineRule="auto"/>
        <w:rPr>
          <w:b/>
        </w:rPr>
      </w:pPr>
    </w:p>
    <w:p w14:paraId="72B797AA" w14:textId="715CB10D" w:rsidR="000572BD" w:rsidRDefault="000572BD" w:rsidP="000572BD">
      <w:pPr>
        <w:spacing w:line="480" w:lineRule="auto"/>
      </w:pPr>
      <w:r>
        <w:lastRenderedPageBreak/>
        <w:t xml:space="preserve">While these point buffers </w:t>
      </w:r>
      <w:r w:rsidR="00D64819">
        <w:t>d</w:t>
      </w:r>
      <w:r>
        <w:t xml:space="preserve">o not accurately delineate protected area boundaries, they may at least capture some of the habitats at a site, and there is an argument that they should be included rather than excluded from analysis. </w:t>
      </w:r>
    </w:p>
    <w:p w14:paraId="509A16A5" w14:textId="56DE37D4" w:rsidR="006C019C" w:rsidRDefault="002A6AFE" w:rsidP="000572BD">
      <w:pPr>
        <w:spacing w:line="480" w:lineRule="auto"/>
      </w:pPr>
      <w:r>
        <w:t>The contribution of these point buffers to apparent water protection is substantial in some countries. Tables S3</w:t>
      </w:r>
      <w:r w:rsidR="00A72C81">
        <w:t>.</w:t>
      </w:r>
      <w:r>
        <w:t>1 and S3</w:t>
      </w:r>
      <w:r w:rsidR="00A72C81">
        <w:t>.</w:t>
      </w:r>
      <w:r>
        <w:t>2 list countries in order of the extra water protection apparently afforded by these geometries, and show the cases where overall trends inside and outside protected areas (applying the same 5% and 10% thresholds as in the main text) are changed by the inclusion of the point buffers. The results are substantial for some countries, but it is important to remember that the definitions of ‘inside’ and ‘outside’ PAs are strongly limited by the simple geometric representation</w:t>
      </w:r>
      <w:r w:rsidR="00A44C73">
        <w:t>s</w:t>
      </w:r>
      <w:bookmarkStart w:id="0" w:name="_GoBack"/>
      <w:bookmarkEnd w:id="0"/>
      <w:r w:rsidR="00A44C73">
        <w:t xml:space="preserve"> [5]</w:t>
      </w:r>
      <w:r>
        <w:t>. In many cases, water protection may be underestimated by the circular buffers.</w:t>
      </w:r>
      <w:r w:rsidR="00887F61">
        <w:t xml:space="preserve"> An example of this can be clearly seen in Figure 4.5 – an example along the Danube where the circular buffers, because of multiple designations at the same site, often refer to the same protected zones as polygons which also exist in the database. In this case it can be seen that on their own, the point buffers would capture little of the river’s structure and connectivity. However when the polygon PAs are added to the map, it can be seen that the circular areas should in reality be more tightly related to the river’s configuration. In this particular case, little is added by including the point buffers, but if no polygon PA boundaries were available, their inclusion would at l</w:t>
      </w:r>
      <w:r w:rsidR="0071123B">
        <w:t>east mitigate the underestimation</w:t>
      </w:r>
      <w:r w:rsidR="00887F61">
        <w:t xml:space="preserve"> of protected water features.</w:t>
      </w:r>
    </w:p>
    <w:p w14:paraId="1B35DF5A" w14:textId="768B99F9" w:rsidR="00E87801" w:rsidRPr="00E87801" w:rsidRDefault="00887F61" w:rsidP="00E87801">
      <w:pPr>
        <w:spacing w:after="0" w:line="480" w:lineRule="auto"/>
      </w:pPr>
      <w:r>
        <w:rPr>
          <w:noProof/>
          <w:lang w:val="en-US"/>
        </w:rPr>
        <w:lastRenderedPageBreak/>
        <w:drawing>
          <wp:inline distT="0" distB="0" distL="0" distR="0" wp14:anchorId="247FD9AB" wp14:editId="57CE4B5D">
            <wp:extent cx="6188710" cy="243522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ffects4.JPG"/>
                    <pic:cNvPicPr/>
                  </pic:nvPicPr>
                  <pic:blipFill>
                    <a:blip r:embed="rId11">
                      <a:extLst>
                        <a:ext uri="{28A0092B-C50C-407E-A947-70E740481C1C}">
                          <a14:useLocalDpi xmlns:a14="http://schemas.microsoft.com/office/drawing/2010/main" val="0"/>
                        </a:ext>
                      </a:extLst>
                    </a:blip>
                    <a:stretch>
                      <a:fillRect/>
                    </a:stretch>
                  </pic:blipFill>
                  <pic:spPr>
                    <a:xfrm>
                      <a:off x="0" y="0"/>
                      <a:ext cx="6188710" cy="2435225"/>
                    </a:xfrm>
                    <a:prstGeom prst="rect">
                      <a:avLst/>
                    </a:prstGeom>
                  </pic:spPr>
                </pic:pic>
              </a:graphicData>
            </a:graphic>
          </wp:inline>
        </w:drawing>
      </w:r>
      <w:r w:rsidR="00E87801">
        <w:rPr>
          <w:noProof/>
          <w:lang w:val="en-US"/>
        </w:rPr>
        <w:drawing>
          <wp:inline distT="0" distB="0" distL="0" distR="0" wp14:anchorId="64CBF6D6" wp14:editId="28D532EA">
            <wp:extent cx="1296840" cy="269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1324" cy="2704894"/>
                    </a:xfrm>
                    <a:prstGeom prst="rect">
                      <a:avLst/>
                    </a:prstGeom>
                  </pic:spPr>
                </pic:pic>
              </a:graphicData>
            </a:graphic>
          </wp:inline>
        </w:drawing>
      </w:r>
      <w:r w:rsidR="00E87801">
        <w:rPr>
          <w:noProof/>
          <w:lang w:val="en-US"/>
        </w:rPr>
        <w:drawing>
          <wp:inline distT="0" distB="0" distL="0" distR="0" wp14:anchorId="649EDA6B" wp14:editId="4549B692">
            <wp:extent cx="1038225" cy="277456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9380" cy="2804377"/>
                    </a:xfrm>
                    <a:prstGeom prst="rect">
                      <a:avLst/>
                    </a:prstGeom>
                  </pic:spPr>
                </pic:pic>
              </a:graphicData>
            </a:graphic>
          </wp:inline>
        </w:drawing>
      </w:r>
      <w:r>
        <w:rPr>
          <w:noProof/>
          <w:lang w:val="en-US"/>
        </w:rPr>
        <w:drawing>
          <wp:inline distT="0" distB="0" distL="0" distR="0" wp14:anchorId="202E0B40" wp14:editId="21724F46">
            <wp:extent cx="6188710" cy="223901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ffects4b.JPG"/>
                    <pic:cNvPicPr/>
                  </pic:nvPicPr>
                  <pic:blipFill>
                    <a:blip r:embed="rId14">
                      <a:extLst>
                        <a:ext uri="{28A0092B-C50C-407E-A947-70E740481C1C}">
                          <a14:useLocalDpi xmlns:a14="http://schemas.microsoft.com/office/drawing/2010/main" val="0"/>
                        </a:ext>
                      </a:extLst>
                    </a:blip>
                    <a:stretch>
                      <a:fillRect/>
                    </a:stretch>
                  </pic:blipFill>
                  <pic:spPr>
                    <a:xfrm>
                      <a:off x="0" y="0"/>
                      <a:ext cx="6188710" cy="2239010"/>
                    </a:xfrm>
                    <a:prstGeom prst="rect">
                      <a:avLst/>
                    </a:prstGeom>
                  </pic:spPr>
                </pic:pic>
              </a:graphicData>
            </a:graphic>
          </wp:inline>
        </w:drawing>
      </w:r>
    </w:p>
    <w:p w14:paraId="483B42D6" w14:textId="66D9CF7B" w:rsidR="00887F61" w:rsidRPr="002A6AFE" w:rsidRDefault="00887F61" w:rsidP="00887F61">
      <w:pPr>
        <w:spacing w:line="480" w:lineRule="auto"/>
        <w:rPr>
          <w:b/>
        </w:rPr>
      </w:pPr>
      <w:r w:rsidRPr="002A6AFE">
        <w:rPr>
          <w:b/>
        </w:rPr>
        <w:t xml:space="preserve">Figure </w:t>
      </w:r>
      <w:r>
        <w:rPr>
          <w:b/>
        </w:rPr>
        <w:t>4</w:t>
      </w:r>
      <w:r w:rsidRPr="002A6AFE">
        <w:rPr>
          <w:b/>
        </w:rPr>
        <w:t>.</w:t>
      </w:r>
      <w:r>
        <w:rPr>
          <w:b/>
        </w:rPr>
        <w:t>5</w:t>
      </w:r>
      <w:r w:rsidRPr="002A6AFE">
        <w:rPr>
          <w:b/>
        </w:rPr>
        <w:t xml:space="preserve"> Comparison of protected water along the Danube considering point buffers only (top panel) and including all other PA polygons</w:t>
      </w:r>
      <w:r>
        <w:rPr>
          <w:b/>
        </w:rPr>
        <w:t xml:space="preserve"> (bottom panel)</w:t>
      </w:r>
      <w:r w:rsidRPr="002A6AFE">
        <w:rPr>
          <w:b/>
        </w:rPr>
        <w:t>.</w:t>
      </w:r>
      <w:r w:rsidR="009836A6">
        <w:rPr>
          <w:b/>
        </w:rPr>
        <w:t xml:space="preserve"> The key shows water tranistion classes which can be more fully explored at </w:t>
      </w:r>
      <w:r w:rsidR="009836A6" w:rsidRPr="009836A6">
        <w:rPr>
          <w:b/>
        </w:rPr>
        <w:t>https://global-surface-water.appspot.com/</w:t>
      </w:r>
    </w:p>
    <w:p w14:paraId="61781358" w14:textId="77777777" w:rsidR="00887F61" w:rsidRDefault="00887F61" w:rsidP="000572BD">
      <w:pPr>
        <w:spacing w:line="480" w:lineRule="auto"/>
      </w:pPr>
    </w:p>
    <w:p w14:paraId="5118ACF7" w14:textId="77777777" w:rsidR="008636F9" w:rsidRPr="00AC3C91" w:rsidRDefault="008636F9">
      <w:pPr>
        <w:rPr>
          <w:b/>
          <w:sz w:val="24"/>
          <w:szCs w:val="24"/>
        </w:rPr>
      </w:pPr>
      <w:r w:rsidRPr="00AC3C91">
        <w:rPr>
          <w:b/>
          <w:sz w:val="24"/>
          <w:szCs w:val="24"/>
        </w:rPr>
        <w:t>References</w:t>
      </w:r>
    </w:p>
    <w:p w14:paraId="00EAE18F" w14:textId="77777777" w:rsidR="003140FF" w:rsidRDefault="003140FF" w:rsidP="003140FF">
      <w:pPr>
        <w:pStyle w:val="ListParagraph"/>
        <w:numPr>
          <w:ilvl w:val="0"/>
          <w:numId w:val="2"/>
        </w:numPr>
        <w:spacing w:afterLines="160" w:after="384" w:line="360" w:lineRule="auto"/>
      </w:pPr>
      <w:r>
        <w:t>UNEP-WCMC</w:t>
      </w:r>
      <w:r w:rsidRPr="00AC3C91">
        <w:t xml:space="preserve">. World Database on Protected Areas User Manual 1.5. </w:t>
      </w:r>
      <w:r>
        <w:t xml:space="preserve">2017. </w:t>
      </w:r>
      <w:r w:rsidRPr="00AC3C91">
        <w:t>UNEP-WCMC: Cambridge, UK.</w:t>
      </w:r>
    </w:p>
    <w:p w14:paraId="6BF56538" w14:textId="047EFE86" w:rsidR="00E52B02" w:rsidRPr="003140FF" w:rsidRDefault="00267939" w:rsidP="003140FF">
      <w:pPr>
        <w:pStyle w:val="CommentText"/>
        <w:numPr>
          <w:ilvl w:val="0"/>
          <w:numId w:val="2"/>
        </w:numPr>
        <w:spacing w:afterLines="160" w:after="384" w:line="360" w:lineRule="auto"/>
        <w:rPr>
          <w:sz w:val="22"/>
          <w:szCs w:val="22"/>
        </w:rPr>
      </w:pPr>
      <w:r>
        <w:rPr>
          <w:sz w:val="22"/>
          <w:szCs w:val="22"/>
        </w:rPr>
        <w:t>UNEP-WCMC and IUCN</w:t>
      </w:r>
      <w:r w:rsidR="00083A8C" w:rsidRPr="00AC3C91">
        <w:rPr>
          <w:sz w:val="22"/>
          <w:szCs w:val="22"/>
        </w:rPr>
        <w:t>. Protected Planet Report 2016. UNEP-WCMC and IUCN: Camb</w:t>
      </w:r>
      <w:r>
        <w:rPr>
          <w:sz w:val="22"/>
          <w:szCs w:val="22"/>
        </w:rPr>
        <w:t>ridge UK and Gland, Switzerland.</w:t>
      </w:r>
    </w:p>
    <w:p w14:paraId="13854920" w14:textId="4AC4059F" w:rsidR="00267939" w:rsidRDefault="00267939" w:rsidP="00E52B02">
      <w:pPr>
        <w:pStyle w:val="ListParagraph"/>
        <w:widowControl w:val="0"/>
        <w:numPr>
          <w:ilvl w:val="0"/>
          <w:numId w:val="2"/>
        </w:numPr>
        <w:spacing w:afterLines="800" w:after="1920" w:line="360" w:lineRule="auto"/>
        <w:rPr>
          <w:rFonts w:ascii="Calibri" w:hAnsi="Calibri" w:cs="Times New Roman"/>
          <w:szCs w:val="24"/>
          <w:shd w:val="clear" w:color="auto" w:fill="FFFFFF"/>
        </w:rPr>
      </w:pPr>
      <w:r w:rsidRPr="00267939">
        <w:rPr>
          <w:rFonts w:ascii="Calibri" w:hAnsi="Calibri" w:cs="Times New Roman"/>
          <w:szCs w:val="24"/>
          <w:shd w:val="clear" w:color="auto" w:fill="FFFFFF"/>
        </w:rPr>
        <w:t xml:space="preserve">Saura S, Bastin L, Battistella L, Mandrici A, Dubois G. </w:t>
      </w:r>
      <w:r w:rsidRPr="00267939">
        <w:rPr>
          <w:rFonts w:ascii="Calibri" w:hAnsi="Calibri" w:cs="Times New Roman"/>
          <w:szCs w:val="24"/>
          <w:shd w:val="clear" w:color="auto" w:fill="FFFFFF"/>
          <w:lang w:val="en-GB"/>
        </w:rPr>
        <w:t xml:space="preserve">Protected areas in the world’s ecoregions: how well connected are they? </w:t>
      </w:r>
      <w:r w:rsidRPr="00267939">
        <w:rPr>
          <w:rFonts w:ascii="Calibri" w:hAnsi="Calibri" w:cs="Times New Roman"/>
          <w:szCs w:val="24"/>
          <w:shd w:val="clear" w:color="auto" w:fill="FFFFFF"/>
        </w:rPr>
        <w:t>Ecol Indic. 2017; 76: 144-158.</w:t>
      </w:r>
    </w:p>
    <w:p w14:paraId="411E05AB" w14:textId="77777777" w:rsidR="00E52B02" w:rsidRPr="00267939" w:rsidRDefault="00E52B02" w:rsidP="00E52B02">
      <w:pPr>
        <w:pStyle w:val="ListParagraph"/>
        <w:widowControl w:val="0"/>
        <w:spacing w:afterLines="800" w:after="1920" w:line="360" w:lineRule="auto"/>
        <w:rPr>
          <w:rFonts w:ascii="Calibri" w:hAnsi="Calibri" w:cs="Times New Roman"/>
          <w:szCs w:val="24"/>
          <w:shd w:val="clear" w:color="auto" w:fill="FFFFFF"/>
        </w:rPr>
      </w:pPr>
    </w:p>
    <w:p w14:paraId="06AA09DF" w14:textId="137C67C3" w:rsidR="00267939" w:rsidRPr="00A44C73" w:rsidRDefault="00267939" w:rsidP="00887F61">
      <w:pPr>
        <w:pStyle w:val="ListParagraph"/>
        <w:widowControl w:val="0"/>
        <w:numPr>
          <w:ilvl w:val="0"/>
          <w:numId w:val="2"/>
        </w:numPr>
        <w:spacing w:afterLines="800" w:after="1920" w:line="360" w:lineRule="auto"/>
        <w:rPr>
          <w:rFonts w:ascii="Calibri" w:eastAsia="Times New Roman" w:hAnsi="Calibri" w:cs="Times New Roman"/>
          <w:szCs w:val="24"/>
          <w:lang w:val="en-GB"/>
        </w:rPr>
      </w:pPr>
      <w:r w:rsidRPr="00267939">
        <w:rPr>
          <w:rFonts w:ascii="Calibri" w:hAnsi="Calibri" w:cs="Times New Roman"/>
          <w:szCs w:val="24"/>
          <w:shd w:val="clear" w:color="auto" w:fill="FFFFFF"/>
        </w:rPr>
        <w:t xml:space="preserve">Saura S, Bertzky B, Bastin L, Battistella L, Mandrici A, Dubois G. </w:t>
      </w:r>
      <w:r w:rsidRPr="00267939">
        <w:rPr>
          <w:rFonts w:ascii="Calibri" w:hAnsi="Calibri" w:cs="Times New Roman"/>
          <w:szCs w:val="24"/>
          <w:shd w:val="clear" w:color="auto" w:fill="FFFFFF"/>
          <w:lang w:val="en-GB"/>
        </w:rPr>
        <w:t xml:space="preserve">Protected area connectivity: shortfalls in global targets and country-level priorities. Biol Conserv. </w:t>
      </w:r>
      <w:r w:rsidRPr="00267939">
        <w:rPr>
          <w:rFonts w:ascii="Calibri" w:hAnsi="Calibri" w:cs="Times New Roman"/>
          <w:szCs w:val="24"/>
          <w:shd w:val="clear" w:color="auto" w:fill="FFFFFF"/>
        </w:rPr>
        <w:t>2018;</w:t>
      </w:r>
      <w:r w:rsidR="00887F61">
        <w:rPr>
          <w:rFonts w:ascii="Calibri" w:hAnsi="Calibri" w:cs="Times New Roman"/>
          <w:szCs w:val="24"/>
          <w:shd w:val="clear" w:color="auto" w:fill="FFFFFF"/>
          <w:lang w:val="en-GB"/>
        </w:rPr>
        <w:t xml:space="preserve"> 219: 53-67</w:t>
      </w:r>
    </w:p>
    <w:p w14:paraId="4BB811B8" w14:textId="77777777" w:rsidR="00A44C73" w:rsidRPr="00A44C73" w:rsidRDefault="00A44C73" w:rsidP="00A44C73">
      <w:pPr>
        <w:pStyle w:val="ListParagraph"/>
        <w:rPr>
          <w:rFonts w:ascii="Calibri" w:eastAsia="Times New Roman" w:hAnsi="Calibri" w:cs="Times New Roman"/>
          <w:szCs w:val="24"/>
          <w:lang w:val="en-GB"/>
        </w:rPr>
      </w:pPr>
    </w:p>
    <w:p w14:paraId="6BE23E6D" w14:textId="77777777" w:rsidR="00A44C73" w:rsidRPr="00414DB6" w:rsidRDefault="00A44C73" w:rsidP="00A44C73">
      <w:pPr>
        <w:pStyle w:val="ListParagraph"/>
        <w:widowControl w:val="0"/>
        <w:numPr>
          <w:ilvl w:val="0"/>
          <w:numId w:val="2"/>
        </w:numPr>
        <w:spacing w:after="0" w:line="480" w:lineRule="auto"/>
        <w:rPr>
          <w:rFonts w:eastAsia="Times New Roman" w:cs="Times New Roman"/>
          <w:lang w:val="en-US"/>
        </w:rPr>
      </w:pPr>
      <w:r w:rsidRPr="00414DB6">
        <w:rPr>
          <w:rFonts w:ascii="Calibri" w:hAnsi="Calibri" w:cs="Times New Roman"/>
          <w:szCs w:val="24"/>
          <w:lang w:val="en-GB"/>
        </w:rPr>
        <w:t xml:space="preserve">Abell R, Allan JD, Lehner B. </w:t>
      </w:r>
      <w:r w:rsidRPr="00414DB6">
        <w:rPr>
          <w:rFonts w:ascii="Calibri" w:hAnsi="Calibri" w:cs="Times New Roman"/>
          <w:szCs w:val="24"/>
          <w:lang w:val="en-CA"/>
        </w:rPr>
        <w:t xml:space="preserve">Unlocking the potential of protected areas for freshwaters. </w:t>
      </w:r>
      <w:r w:rsidRPr="00414DB6">
        <w:rPr>
          <w:rFonts w:ascii="Calibri" w:hAnsi="Calibri" w:cs="Times New Roman"/>
          <w:iCs/>
          <w:szCs w:val="24"/>
          <w:lang w:val="es-ES"/>
        </w:rPr>
        <w:t xml:space="preserve">Biol Conserv. 2007; </w:t>
      </w:r>
      <w:r w:rsidRPr="00414DB6">
        <w:rPr>
          <w:rFonts w:ascii="Calibri" w:hAnsi="Calibri" w:cs="Times New Roman"/>
          <w:szCs w:val="24"/>
          <w:lang w:val="es-ES"/>
        </w:rPr>
        <w:t>134: 48-63.</w:t>
      </w:r>
    </w:p>
    <w:p w14:paraId="602DC371" w14:textId="77777777" w:rsidR="00A44C73" w:rsidRPr="00887F61" w:rsidRDefault="00A44C73" w:rsidP="00A44C73">
      <w:pPr>
        <w:pStyle w:val="ListParagraph"/>
        <w:widowControl w:val="0"/>
        <w:spacing w:afterLines="800" w:after="1920" w:line="360" w:lineRule="auto"/>
        <w:rPr>
          <w:rFonts w:ascii="Calibri" w:eastAsia="Times New Roman" w:hAnsi="Calibri" w:cs="Times New Roman"/>
          <w:szCs w:val="24"/>
          <w:lang w:val="en-GB"/>
        </w:rPr>
      </w:pPr>
    </w:p>
    <w:sectPr w:rsidR="00A44C73" w:rsidRPr="00887F61" w:rsidSect="00EF1A8D">
      <w:pgSz w:w="11906" w:h="16838"/>
      <w:pgMar w:top="1440" w:right="1080" w:bottom="1440" w:left="108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altName w:val=" 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AE61DD"/>
    <w:multiLevelType w:val="hybridMultilevel"/>
    <w:tmpl w:val="2F6EE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74017E"/>
    <w:multiLevelType w:val="hybridMultilevel"/>
    <w:tmpl w:val="31ECB6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6C4"/>
    <w:rsid w:val="0000792B"/>
    <w:rsid w:val="00056FE0"/>
    <w:rsid w:val="000572BD"/>
    <w:rsid w:val="00066C6B"/>
    <w:rsid w:val="00083A8C"/>
    <w:rsid w:val="000D5C05"/>
    <w:rsid w:val="00152AD6"/>
    <w:rsid w:val="001C179D"/>
    <w:rsid w:val="001E026E"/>
    <w:rsid w:val="001F3B31"/>
    <w:rsid w:val="00267939"/>
    <w:rsid w:val="002A36C4"/>
    <w:rsid w:val="002A6AFE"/>
    <w:rsid w:val="002C17ED"/>
    <w:rsid w:val="002C242C"/>
    <w:rsid w:val="003140FF"/>
    <w:rsid w:val="00357A7C"/>
    <w:rsid w:val="003C64E1"/>
    <w:rsid w:val="00464B69"/>
    <w:rsid w:val="004C008C"/>
    <w:rsid w:val="00502D16"/>
    <w:rsid w:val="00532995"/>
    <w:rsid w:val="00584D8C"/>
    <w:rsid w:val="00595246"/>
    <w:rsid w:val="005B083F"/>
    <w:rsid w:val="005B3475"/>
    <w:rsid w:val="005C0F5F"/>
    <w:rsid w:val="006C019C"/>
    <w:rsid w:val="006C3E66"/>
    <w:rsid w:val="006D7C6C"/>
    <w:rsid w:val="006F5F21"/>
    <w:rsid w:val="0071123B"/>
    <w:rsid w:val="008100F9"/>
    <w:rsid w:val="008636F9"/>
    <w:rsid w:val="00887F61"/>
    <w:rsid w:val="008948CB"/>
    <w:rsid w:val="008A4D3C"/>
    <w:rsid w:val="00902F88"/>
    <w:rsid w:val="00954472"/>
    <w:rsid w:val="009836A6"/>
    <w:rsid w:val="009A6BD3"/>
    <w:rsid w:val="00A44C73"/>
    <w:rsid w:val="00A72C81"/>
    <w:rsid w:val="00AC3C91"/>
    <w:rsid w:val="00B21D22"/>
    <w:rsid w:val="00B467BC"/>
    <w:rsid w:val="00B54B6F"/>
    <w:rsid w:val="00B8347B"/>
    <w:rsid w:val="00BA14DD"/>
    <w:rsid w:val="00BC5242"/>
    <w:rsid w:val="00C173B5"/>
    <w:rsid w:val="00C50DCC"/>
    <w:rsid w:val="00D55938"/>
    <w:rsid w:val="00D62EBB"/>
    <w:rsid w:val="00D64819"/>
    <w:rsid w:val="00E07B51"/>
    <w:rsid w:val="00E52B02"/>
    <w:rsid w:val="00E87801"/>
    <w:rsid w:val="00EB2ACC"/>
    <w:rsid w:val="00EF1A8D"/>
    <w:rsid w:val="00F41963"/>
    <w:rsid w:val="00F93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F580B"/>
  <w15:chartTrackingRefBased/>
  <w15:docId w15:val="{E5A3E706-E895-463D-A165-A113DBD33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6C4"/>
    <w:rPr>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36C4"/>
    <w:rPr>
      <w:color w:val="0563C1" w:themeColor="hyperlink"/>
      <w:u w:val="single"/>
    </w:rPr>
  </w:style>
  <w:style w:type="character" w:styleId="LineNumber">
    <w:name w:val="line number"/>
    <w:basedOn w:val="DefaultParagraphFont"/>
    <w:uiPriority w:val="99"/>
    <w:semiHidden/>
    <w:unhideWhenUsed/>
    <w:rsid w:val="002A36C4"/>
  </w:style>
  <w:style w:type="character" w:styleId="CommentReference">
    <w:name w:val="annotation reference"/>
    <w:basedOn w:val="DefaultParagraphFont"/>
    <w:uiPriority w:val="99"/>
    <w:semiHidden/>
    <w:unhideWhenUsed/>
    <w:rsid w:val="00954472"/>
    <w:rPr>
      <w:sz w:val="16"/>
      <w:szCs w:val="16"/>
    </w:rPr>
  </w:style>
  <w:style w:type="paragraph" w:styleId="CommentText">
    <w:name w:val="annotation text"/>
    <w:basedOn w:val="Normal"/>
    <w:link w:val="CommentTextChar"/>
    <w:uiPriority w:val="99"/>
    <w:unhideWhenUsed/>
    <w:rsid w:val="00954472"/>
    <w:pPr>
      <w:spacing w:line="240" w:lineRule="auto"/>
    </w:pPr>
    <w:rPr>
      <w:sz w:val="20"/>
      <w:szCs w:val="20"/>
    </w:rPr>
  </w:style>
  <w:style w:type="character" w:customStyle="1" w:styleId="CommentTextChar">
    <w:name w:val="Comment Text Char"/>
    <w:basedOn w:val="DefaultParagraphFont"/>
    <w:link w:val="CommentText"/>
    <w:uiPriority w:val="99"/>
    <w:rsid w:val="00954472"/>
    <w:rPr>
      <w:sz w:val="20"/>
      <w:szCs w:val="20"/>
      <w:lang w:val="it-IT"/>
    </w:rPr>
  </w:style>
  <w:style w:type="paragraph" w:styleId="CommentSubject">
    <w:name w:val="annotation subject"/>
    <w:basedOn w:val="CommentText"/>
    <w:next w:val="CommentText"/>
    <w:link w:val="CommentSubjectChar"/>
    <w:uiPriority w:val="99"/>
    <w:semiHidden/>
    <w:unhideWhenUsed/>
    <w:rsid w:val="00954472"/>
    <w:rPr>
      <w:b/>
      <w:bCs/>
    </w:rPr>
  </w:style>
  <w:style w:type="character" w:customStyle="1" w:styleId="CommentSubjectChar">
    <w:name w:val="Comment Subject Char"/>
    <w:basedOn w:val="CommentTextChar"/>
    <w:link w:val="CommentSubject"/>
    <w:uiPriority w:val="99"/>
    <w:semiHidden/>
    <w:rsid w:val="00954472"/>
    <w:rPr>
      <w:b/>
      <w:bCs/>
      <w:sz w:val="20"/>
      <w:szCs w:val="20"/>
      <w:lang w:val="it-IT"/>
    </w:rPr>
  </w:style>
  <w:style w:type="paragraph" w:styleId="Revision">
    <w:name w:val="Revision"/>
    <w:hidden/>
    <w:uiPriority w:val="99"/>
    <w:semiHidden/>
    <w:rsid w:val="00954472"/>
    <w:pPr>
      <w:spacing w:after="0" w:line="240" w:lineRule="auto"/>
    </w:pPr>
    <w:rPr>
      <w:lang w:val="it-IT"/>
    </w:rPr>
  </w:style>
  <w:style w:type="paragraph" w:styleId="BalloonText">
    <w:name w:val="Balloon Text"/>
    <w:basedOn w:val="Normal"/>
    <w:link w:val="BalloonTextChar"/>
    <w:uiPriority w:val="99"/>
    <w:semiHidden/>
    <w:unhideWhenUsed/>
    <w:rsid w:val="009544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472"/>
    <w:rPr>
      <w:rFonts w:ascii="Segoe UI" w:hAnsi="Segoe UI" w:cs="Segoe UI"/>
      <w:sz w:val="18"/>
      <w:szCs w:val="18"/>
      <w:lang w:val="it-IT"/>
    </w:rPr>
  </w:style>
  <w:style w:type="paragraph" w:styleId="ListParagraph">
    <w:name w:val="List Paragraph"/>
    <w:basedOn w:val="Normal"/>
    <w:uiPriority w:val="34"/>
    <w:qFormat/>
    <w:rsid w:val="002679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LRM-IES-JRC-CEC</Company>
  <LinksUpToDate>false</LinksUpToDate>
  <CharactersWithSpaces>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Bastin</dc:creator>
  <cp:keywords/>
  <dc:description/>
  <cp:lastModifiedBy>Lucy Bastin</cp:lastModifiedBy>
  <cp:revision>7</cp:revision>
  <dcterms:created xsi:type="dcterms:W3CDTF">2018-11-25T18:51:00Z</dcterms:created>
  <dcterms:modified xsi:type="dcterms:W3CDTF">2018-11-25T20:10:00Z</dcterms:modified>
</cp:coreProperties>
</file>