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27" w:rsidRDefault="008A3827" w:rsidP="008A3827">
      <w:pPr>
        <w:pStyle w:val="TableTitle"/>
        <w:spacing w:before="0" w:after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452979">
        <w:rPr>
          <w:rFonts w:ascii="Times New Roman" w:hAnsi="Times New Roman" w:cs="Times New Roman"/>
          <w:sz w:val="20"/>
          <w:szCs w:val="20"/>
          <w:lang w:val="en-US"/>
        </w:rPr>
        <w:t>S1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Table</w: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t>. Category Components</w:t>
      </w:r>
    </w:p>
    <w:p w:rsidR="008A3827" w:rsidRPr="00452979" w:rsidRDefault="008A3827" w:rsidP="008A3827">
      <w:pPr>
        <w:pStyle w:val="TableTitle"/>
        <w:spacing w:before="0" w:after="0"/>
        <w:jc w:val="left"/>
        <w:rPr>
          <w:rFonts w:ascii="Times New Roman" w:hAnsi="Times New Roman" w:cs="Times New Roman"/>
          <w:sz w:val="20"/>
          <w:szCs w:val="20"/>
          <w:lang w:val="en-US"/>
        </w:rPr>
      </w:pPr>
      <w:r w:rsidRPr="0045297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instrText xml:space="preserve"> TC \f t \l 2 "</w:instrText>
      </w:r>
      <w:bookmarkStart w:id="0" w:name="_Toc435715281"/>
      <w:r w:rsidRPr="00452979">
        <w:rPr>
          <w:rFonts w:ascii="Times New Roman" w:hAnsi="Times New Roman" w:cs="Times New Roman"/>
          <w:sz w:val="20"/>
          <w:szCs w:val="20"/>
          <w:lang w:val="en-US"/>
        </w:rPr>
        <w:instrText xml:space="preserve">Table </w:instrTex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fldChar w:fldCharType="begin"/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instrText xml:space="preserve"> SEQ  \c table</w:instrTex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fldChar w:fldCharType="separate"/>
      </w:r>
      <w:r w:rsidRPr="00452979">
        <w:rPr>
          <w:rFonts w:ascii="Times New Roman" w:hAnsi="Times New Roman" w:cs="Times New Roman"/>
          <w:noProof/>
          <w:sz w:val="20"/>
          <w:szCs w:val="20"/>
          <w:lang w:val="en-US"/>
        </w:rPr>
        <w:instrText>0</w:instrTex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instrText>.</w:instrTex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tab/>
        <w:instrText>Category Components</w:instrText>
      </w:r>
      <w:bookmarkEnd w:id="0"/>
      <w:r w:rsidRPr="00452979">
        <w:rPr>
          <w:rFonts w:ascii="Times New Roman" w:hAnsi="Times New Roman" w:cs="Times New Roman"/>
          <w:sz w:val="20"/>
          <w:szCs w:val="20"/>
          <w:lang w:val="en-US"/>
        </w:rPr>
        <w:instrText xml:space="preserve">"  </w:instrText>
      </w:r>
      <w:r w:rsidRPr="00452979">
        <w:rPr>
          <w:rFonts w:ascii="Times New Roman" w:hAnsi="Times New Roman" w:cs="Times New Roman"/>
          <w:sz w:val="20"/>
          <w:szCs w:val="20"/>
          <w:lang w:val="en-US"/>
        </w:rPr>
        <w:fldChar w:fldCharType="end"/>
      </w:r>
    </w:p>
    <w:tbl>
      <w:tblPr>
        <w:tblW w:w="91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571"/>
        <w:gridCol w:w="1488"/>
        <w:gridCol w:w="4874"/>
      </w:tblGrid>
      <w:tr w:rsidR="008A3827" w:rsidRPr="00452979" w:rsidTr="009A7FBB">
        <w:trPr>
          <w:trHeight w:val="510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Life Aspects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Category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Cronbach's Alpha</w:t>
            </w:r>
          </w:p>
        </w:tc>
        <w:tc>
          <w:tcPr>
            <w:tcW w:w="48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Component Keywords</w:t>
            </w:r>
          </w:p>
        </w:tc>
      </w:tr>
      <w:tr w:rsidR="008A3827" w:rsidRPr="00452979" w:rsidTr="009A7FBB">
        <w:trPr>
          <w:trHeight w:val="510"/>
          <w:jc w:val="center"/>
        </w:trPr>
        <w:tc>
          <w:tcPr>
            <w:tcW w:w="12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Material Conditions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Job Search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0.8720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part time job, layoffs, job fair, apprenticeships, severance pay, unemployment rate, career fair, jobs, unemployment benefits</w:t>
            </w:r>
          </w:p>
        </w:tc>
      </w:tr>
      <w:tr w:rsidR="008A3827" w:rsidRPr="00452979" w:rsidTr="009A7FBB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Job Market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0.9315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job benefits, employment contract, career center, cover letter, pension, certification program, retirement, work experience, entry level, qualifications, discrimination, employee benefits</w:t>
            </w:r>
          </w:p>
        </w:tc>
      </w:tr>
      <w:tr w:rsidR="008A3827" w:rsidRPr="00452979" w:rsidTr="009A7FBB">
        <w:trPr>
          <w:trHeight w:val="1020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Financial Security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0.9101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401k, banking, family budget, housing authority, section 8, inflation, student loans, school loans, interest rate, fired, financial crisis, loans,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eitc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, social security, coupons,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medicaid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>, file for bankruptcy, shelter, eviction, food bank, homeless</w:t>
            </w:r>
          </w:p>
        </w:tc>
      </w:tr>
      <w:tr w:rsidR="008A3827" w:rsidRPr="00452979" w:rsidTr="009A7FBB">
        <w:trPr>
          <w:trHeight w:val="510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Home Finance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0.9618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mortgage rates, mortgage calculator, mortgage refinancing, house price, home loan, housing crisis, mortgage payment</w:t>
            </w:r>
          </w:p>
        </w:tc>
      </w:tr>
      <w:tr w:rsidR="008A3827" w:rsidRPr="00452979" w:rsidTr="009A7FBB">
        <w:trPr>
          <w:trHeight w:val="255"/>
          <w:jc w:val="center"/>
        </w:trPr>
        <w:tc>
          <w:tcPr>
            <w:tcW w:w="1200" w:type="dxa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8A3827" w:rsidRPr="00452979" w:rsidTr="009A7FBB">
        <w:trPr>
          <w:trHeight w:val="510"/>
          <w:jc w:val="center"/>
        </w:trPr>
        <w:tc>
          <w:tcPr>
            <w:tcW w:w="1200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t>Social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Family Stress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0.8818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domestic abuse, marriage help, marriage problems, custody, marriage counseling, family support,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womens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 shelter </w:t>
            </w:r>
          </w:p>
        </w:tc>
      </w:tr>
      <w:tr w:rsidR="008A3827" w:rsidRPr="00452979" w:rsidTr="009A7FBB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Family Time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0.9140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snacks for kids, weekends,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adhd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, daycare, child care center,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pta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, kids party, volleyball, play football, reading, recipe, housework, laundry, toddler, baby shower, bullying,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kids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 books, ideas for kids, tuition</w:t>
            </w:r>
          </w:p>
        </w:tc>
      </w:tr>
      <w:tr w:rsidR="008A3827" w:rsidRPr="00452979" w:rsidTr="009A7FBB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Civic Engagement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0.9148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volunteering, blood donation, homeowners association, boy scouts,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kiwanis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, city council, freemasons, bingo, tea party, lions club, club, community meeting, civic engagement, rotary club, town council </w:t>
            </w:r>
          </w:p>
        </w:tc>
      </w:tr>
      <w:tr w:rsidR="008A3827" w:rsidRPr="00452979" w:rsidTr="009A7FBB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bottom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Personal Security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 0.8657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firearm, victims, gun, gun safety, violent crime, crime rate, assault, security camera, murder,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self defense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>, aggression,  risks, home alarm, mugging</w:t>
            </w:r>
          </w:p>
        </w:tc>
      </w:tr>
      <w:tr w:rsidR="008A3827" w:rsidRPr="00452979" w:rsidTr="009A7FBB">
        <w:trPr>
          <w:trHeight w:val="80"/>
          <w:jc w:val="center"/>
        </w:trPr>
        <w:tc>
          <w:tcPr>
            <w:tcW w:w="1200" w:type="dxa"/>
            <w:tcBorders>
              <w:top w:val="nil"/>
              <w:right w:val="nil"/>
            </w:tcBorders>
            <w:shd w:val="clear" w:color="auto" w:fill="auto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</w:p>
        </w:tc>
      </w:tr>
      <w:tr w:rsidR="008A3827" w:rsidRPr="00452979" w:rsidTr="009A7FBB">
        <w:trPr>
          <w:trHeight w:val="1275"/>
          <w:jc w:val="center"/>
        </w:trPr>
        <w:tc>
          <w:tcPr>
            <w:tcW w:w="1200" w:type="dxa"/>
            <w:vMerge w:val="restart"/>
            <w:tcBorders>
              <w:top w:val="nil"/>
              <w:right w:val="nil"/>
            </w:tcBorders>
            <w:shd w:val="clear" w:color="auto" w:fill="auto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b/>
                <w:bCs/>
                <w:color w:val="000000"/>
                <w:lang w:eastAsia="fr-FR"/>
              </w:rPr>
              <w:lastRenderedPageBreak/>
              <w:t>Health and Wellness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Health Conditions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 0.9051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stress, hypertension, diabetes, obesity, panic disorder, illness, tobacco use, lung cancer, heart disease, obsessive compulsive, cancer, relaxation techniques, antidepressant, health status, fracture, arthritis, asthma, relaxation,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self care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>, sleep problems, mayo clinic, depression symptoms, symptom checker, suicide rates, drug use, chronic fatigue</w:t>
            </w:r>
          </w:p>
        </w:tc>
      </w:tr>
      <w:tr w:rsidR="008A3827" w:rsidRPr="00452979" w:rsidTr="009A7FBB">
        <w:trPr>
          <w:trHeight w:val="510"/>
          <w:jc w:val="center"/>
        </w:trPr>
        <w:tc>
          <w:tcPr>
            <w:tcW w:w="1200" w:type="dxa"/>
            <w:vMerge/>
            <w:tcBorders>
              <w:top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Healthy Habits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0.8441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exercise, weights, healthy diet, dental care, fruits and vegetables, life expectancy, lose weight, health care,  quit smoking </w:t>
            </w:r>
          </w:p>
        </w:tc>
      </w:tr>
      <w:tr w:rsidR="008A3827" w:rsidRPr="00452979" w:rsidTr="009A7FBB">
        <w:trPr>
          <w:trHeight w:val="765"/>
          <w:jc w:val="center"/>
        </w:trPr>
        <w:tc>
          <w:tcPr>
            <w:tcW w:w="1200" w:type="dxa"/>
            <w:vMerge/>
            <w:tcBorders>
              <w:top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Summer Activities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000000" w:fill="DBE5F1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 0.9417</w:t>
            </w:r>
          </w:p>
        </w:tc>
        <w:tc>
          <w:tcPr>
            <w:tcW w:w="4874" w:type="dxa"/>
            <w:tcBorders>
              <w:top w:val="nil"/>
              <w:left w:val="nil"/>
              <w:bottom w:val="nil"/>
            </w:tcBorders>
            <w:shd w:val="clear" w:color="000000" w:fill="DBE5F1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golf, fishing, motorcycle, ponds, hiking, biking, water sports, boating, tours, beach cottage, sightseeing, bed and breakfast, baseball, softball, play pool </w:t>
            </w:r>
          </w:p>
        </w:tc>
      </w:tr>
      <w:tr w:rsidR="008A3827" w:rsidRPr="00452979" w:rsidTr="009A7FBB">
        <w:trPr>
          <w:trHeight w:val="2295"/>
          <w:jc w:val="center"/>
        </w:trPr>
        <w:tc>
          <w:tcPr>
            <w:tcW w:w="1200" w:type="dxa"/>
            <w:vMerge/>
            <w:tcBorders>
              <w:top w:val="nil"/>
              <w:right w:val="nil"/>
            </w:tcBorders>
            <w:vAlign w:val="center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Education and Ideals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3827" w:rsidRPr="00452979" w:rsidRDefault="008A3827" w:rsidP="009A7FBB">
            <w:pPr>
              <w:jc w:val="center"/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>0.9862</w:t>
            </w:r>
          </w:p>
        </w:tc>
        <w:tc>
          <w:tcPr>
            <w:tcW w:w="487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A3827" w:rsidRPr="00452979" w:rsidRDefault="008A3827" w:rsidP="009A7FBB">
            <w:pPr>
              <w:rPr>
                <w:rFonts w:ascii="Times New Roman" w:hAnsi="Times New Roman"/>
                <w:color w:val="000000"/>
                <w:lang w:eastAsia="fr-FR"/>
              </w:rPr>
            </w:pPr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middle school, junior high, economics, homework, state university, moral, individualism, bill of rights, human capital, constitution, political action, social justice, dropout, reading books, grammar, tutor,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buddhist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 xml:space="preserve">, school, high school, ethics, philosophy, studies, study, mathematics, learning, skills, secondary education, writing, worship, creativity, psychologist, therapy, </w:t>
            </w:r>
            <w:proofErr w:type="spellStart"/>
            <w:r w:rsidRPr="00452979">
              <w:rPr>
                <w:rFonts w:ascii="Times New Roman" w:hAnsi="Times New Roman"/>
                <w:color w:val="000000"/>
                <w:lang w:eastAsia="fr-FR"/>
              </w:rPr>
              <w:t>self esteem</w:t>
            </w:r>
            <w:proofErr w:type="spellEnd"/>
            <w:r w:rsidRPr="00452979">
              <w:rPr>
                <w:rFonts w:ascii="Times New Roman" w:hAnsi="Times New Roman"/>
                <w:color w:val="000000"/>
                <w:lang w:eastAsia="fr-FR"/>
              </w:rPr>
              <w:t>, morality, poverty, online courses, literature, degree, language, science, literacy, feminist, rights, relations, freedom of speech, civil rights, religion, religious, property rights, racism, governments, free speech, rituals, infant mortality, spirituality</w:t>
            </w:r>
          </w:p>
        </w:tc>
      </w:tr>
    </w:tbl>
    <w:p w:rsidR="008A3827" w:rsidRPr="002A0B8D" w:rsidRDefault="008A3827" w:rsidP="008A3827">
      <w:pPr>
        <w:pStyle w:val="SourceDescription"/>
        <w:spacing w:before="0" w:after="0"/>
        <w:rPr>
          <w:rFonts w:ascii="Times New Roman" w:hAnsi="Times New Roman" w:cs="Times New Roman"/>
          <w:color w:val="000000"/>
          <w:sz w:val="20"/>
          <w:szCs w:val="20"/>
          <w:lang w:val="en-US" w:eastAsia="fr-FR"/>
        </w:rPr>
      </w:pPr>
      <w:r w:rsidRPr="002A0B8D">
        <w:rPr>
          <w:rFonts w:ascii="Times New Roman" w:hAnsi="Times New Roman" w:cs="Times New Roman"/>
          <w:color w:val="000000"/>
          <w:sz w:val="20"/>
          <w:szCs w:val="20"/>
          <w:lang w:val="en-US" w:eastAsia="fr-FR"/>
        </w:rPr>
        <w:t xml:space="preserve">The table shows the internet search volumes used to construct the categories, and </w:t>
      </w:r>
      <w:proofErr w:type="spellStart"/>
      <w:r w:rsidRPr="002A0B8D">
        <w:rPr>
          <w:rFonts w:ascii="Times New Roman" w:hAnsi="Times New Roman" w:cs="Times New Roman"/>
          <w:color w:val="000000"/>
          <w:sz w:val="20"/>
          <w:szCs w:val="20"/>
          <w:lang w:val="en-US" w:eastAsia="fr-FR"/>
        </w:rPr>
        <w:t>cronbach’s</w:t>
      </w:r>
      <w:proofErr w:type="spellEnd"/>
      <w:r w:rsidRPr="002A0B8D">
        <w:rPr>
          <w:rFonts w:ascii="Times New Roman" w:hAnsi="Times New Roman" w:cs="Times New Roman"/>
          <w:color w:val="000000"/>
          <w:sz w:val="20"/>
          <w:szCs w:val="20"/>
          <w:lang w:val="en-US" w:eastAsia="fr-FR"/>
        </w:rPr>
        <w:t xml:space="preserve"> alpha calculated using seasonally adjusted search volumes. </w:t>
      </w:r>
    </w:p>
    <w:p w:rsidR="008E1433" w:rsidRDefault="008A3827" w:rsidP="008A3827">
      <w:bookmarkStart w:id="1" w:name="_GoBack"/>
      <w:bookmarkEnd w:id="1"/>
    </w:p>
    <w:sectPr w:rsidR="008E1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827"/>
    <w:rsid w:val="0022454F"/>
    <w:rsid w:val="00420DA8"/>
    <w:rsid w:val="008A3827"/>
    <w:rsid w:val="00AC2CE1"/>
    <w:rsid w:val="00ED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292F2-CF72-4384-BD52-66A400B5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827"/>
    <w:pPr>
      <w:spacing w:before="200"/>
    </w:pPr>
    <w:rPr>
      <w:rFonts w:ascii="Cambria" w:eastAsia="Cambria" w:hAnsi="Cambria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Description">
    <w:name w:val="Source Description"/>
    <w:basedOn w:val="Normal"/>
    <w:next w:val="Normal"/>
    <w:rsid w:val="008A3827"/>
    <w:pPr>
      <w:tabs>
        <w:tab w:val="left" w:pos="850"/>
        <w:tab w:val="left" w:pos="1191"/>
        <w:tab w:val="left" w:pos="1531"/>
      </w:tabs>
      <w:spacing w:before="240" w:after="360" w:line="240" w:lineRule="auto"/>
      <w:jc w:val="both"/>
    </w:pPr>
    <w:rPr>
      <w:rFonts w:ascii="Arial" w:eastAsia="Times New Roman" w:hAnsi="Arial" w:cs="Arial"/>
      <w:sz w:val="16"/>
      <w:szCs w:val="18"/>
      <w:lang w:val="en-GB" w:eastAsia="zh-CN" w:bidi="ar-SA"/>
    </w:rPr>
  </w:style>
  <w:style w:type="paragraph" w:customStyle="1" w:styleId="TableTitle">
    <w:name w:val="Table Title"/>
    <w:basedOn w:val="Normal"/>
    <w:rsid w:val="008A3827"/>
    <w:pPr>
      <w:keepNext/>
      <w:tabs>
        <w:tab w:val="left" w:pos="850"/>
        <w:tab w:val="left" w:pos="1191"/>
        <w:tab w:val="left" w:pos="1531"/>
      </w:tabs>
      <w:spacing w:before="240" w:after="240" w:line="240" w:lineRule="auto"/>
      <w:jc w:val="center"/>
    </w:pPr>
    <w:rPr>
      <w:rFonts w:ascii="Arial" w:eastAsia="Times New Roman" w:hAnsi="Arial" w:cs="Arial"/>
      <w:b/>
      <w:bCs/>
      <w:sz w:val="18"/>
      <w:szCs w:val="22"/>
      <w:lang w:val="en-GB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56FFC9B1.dotm</Template>
  <TotalTime>1</TotalTime>
  <Pages>2</Pages>
  <Words>457</Words>
  <Characters>2844</Characters>
  <Application>Microsoft Office Word</Application>
  <DocSecurity>0</DocSecurity>
  <Lines>158</Lines>
  <Paragraphs>117</Paragraphs>
  <ScaleCrop>false</ScaleCrop>
  <Company>OECD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MURTIN Fabrice, SDD/HSPM</dc:creator>
  <cp:keywords/>
  <dc:description/>
  <cp:lastModifiedBy>MURTIN Fabrice, SDD/HSPM</cp:lastModifiedBy>
  <cp:revision>1</cp:revision>
  <dcterms:created xsi:type="dcterms:W3CDTF">2018-12-21T10:32:00Z</dcterms:created>
  <dcterms:modified xsi:type="dcterms:W3CDTF">2018-12-21T10:33:00Z</dcterms:modified>
</cp:coreProperties>
</file>