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6E" w:rsidRPr="002046C4" w:rsidRDefault="009C4F6E" w:rsidP="009C4F6E">
      <w:pPr>
        <w:pStyle w:val="Titre3"/>
        <w:spacing w:before="0" w:line="240" w:lineRule="auto"/>
        <w:rPr>
          <w:rFonts w:asciiTheme="majorBidi" w:hAnsiTheme="majorBidi"/>
          <w:color w:val="000000" w:themeColor="text1"/>
          <w:sz w:val="20"/>
          <w:szCs w:val="20"/>
          <w:lang w:val="en-GB"/>
        </w:rPr>
      </w:pPr>
      <w:bookmarkStart w:id="0" w:name="_Toc499983117"/>
      <w:r>
        <w:rPr>
          <w:rFonts w:asciiTheme="majorBidi" w:hAnsiTheme="majorBidi"/>
          <w:color w:val="000000" w:themeColor="text1"/>
          <w:sz w:val="20"/>
          <w:szCs w:val="20"/>
          <w:lang w:val="en-GB"/>
        </w:rPr>
        <w:t>Table S2</w:t>
      </w:r>
      <w:r w:rsidRPr="002046C4">
        <w:rPr>
          <w:rFonts w:asciiTheme="majorBidi" w:hAnsiTheme="majorBidi"/>
          <w:color w:val="000000" w:themeColor="text1"/>
          <w:sz w:val="20"/>
          <w:szCs w:val="20"/>
          <w:lang w:val="en-GB"/>
        </w:rPr>
        <w:t xml:space="preserve">. Baseline characteristics of households drinking "safely managed" water satisfying SDG 6.1 standard compared to households drinking water from an improved source that does not satisfy SDG 6.1 standards, </w:t>
      </w:r>
      <w:proofErr w:type="spellStart"/>
      <w:r w:rsidRPr="002046C4">
        <w:rPr>
          <w:rFonts w:asciiTheme="majorBidi" w:hAnsiTheme="majorBidi"/>
          <w:color w:val="000000" w:themeColor="text1"/>
          <w:sz w:val="20"/>
          <w:szCs w:val="20"/>
          <w:lang w:val="en-GB"/>
        </w:rPr>
        <w:t>Hardoi</w:t>
      </w:r>
      <w:proofErr w:type="spellEnd"/>
      <w:r w:rsidRPr="002046C4">
        <w:rPr>
          <w:rFonts w:asciiTheme="majorBidi" w:hAnsiTheme="majorBidi"/>
          <w:color w:val="000000" w:themeColor="text1"/>
          <w:sz w:val="20"/>
          <w:szCs w:val="20"/>
          <w:lang w:val="en-GB"/>
        </w:rPr>
        <w:t xml:space="preserve"> district Uttar Pradesh 2013</w:t>
      </w:r>
      <w:r w:rsidRPr="002046C4">
        <w:rPr>
          <w:rFonts w:asciiTheme="majorBidi" w:hAnsiTheme="majorBidi"/>
          <w:color w:val="000000" w:themeColor="text1"/>
          <w:sz w:val="20"/>
          <w:szCs w:val="20"/>
          <w:vertAlign w:val="superscript"/>
          <w:lang w:val="en-GB"/>
        </w:rPr>
        <w:t>1</w:t>
      </w:r>
      <w:r w:rsidRPr="002046C4">
        <w:rPr>
          <w:rFonts w:asciiTheme="majorBidi" w:hAnsiTheme="majorBidi"/>
          <w:color w:val="000000" w:themeColor="text1"/>
          <w:sz w:val="20"/>
          <w:szCs w:val="20"/>
          <w:lang w:val="en-GB"/>
        </w:rPr>
        <w:t xml:space="preserve">: </w:t>
      </w:r>
      <w:r>
        <w:rPr>
          <w:rFonts w:asciiTheme="majorBidi" w:hAnsiTheme="majorBidi"/>
          <w:color w:val="000000" w:themeColor="text1"/>
          <w:sz w:val="20"/>
          <w:szCs w:val="20"/>
          <w:lang w:val="en-GB"/>
        </w:rPr>
        <w:t>full</w:t>
      </w:r>
      <w:r w:rsidRPr="002046C4">
        <w:rPr>
          <w:rFonts w:asciiTheme="majorBidi" w:hAnsiTheme="majorBidi"/>
          <w:color w:val="000000" w:themeColor="text1"/>
          <w:sz w:val="20"/>
          <w:szCs w:val="20"/>
          <w:lang w:val="en-GB"/>
        </w:rPr>
        <w:t xml:space="preserve"> models</w:t>
      </w:r>
      <w:bookmarkEnd w:id="0"/>
    </w:p>
    <w:p w:rsidR="009C4F6E" w:rsidRPr="002B0DFC" w:rsidRDefault="009C4F6E" w:rsidP="009C4F6E">
      <w:pPr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tbl>
      <w:tblPr>
        <w:tblW w:w="91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4116"/>
        <w:gridCol w:w="6"/>
        <w:gridCol w:w="1324"/>
        <w:gridCol w:w="6"/>
        <w:gridCol w:w="1324"/>
        <w:gridCol w:w="6"/>
        <w:gridCol w:w="1011"/>
        <w:gridCol w:w="1149"/>
        <w:gridCol w:w="6"/>
      </w:tblGrid>
      <w:tr w:rsidR="009C4F6E" w:rsidRPr="002B0DFC" w:rsidTr="00161951">
        <w:trPr>
          <w:trHeight w:val="560"/>
        </w:trPr>
        <w:tc>
          <w:tcPr>
            <w:tcW w:w="434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4F6E" w:rsidRPr="00A76562" w:rsidRDefault="009C4F6E" w:rsidP="0016195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A7656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SDG 6.1 water</w:t>
            </w:r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 xml:space="preserve">NO </w:t>
            </w:r>
          </w:p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(N=646) 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SDG 6.1 water</w:t>
            </w:r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br/>
              <w:t xml:space="preserve">YES </w:t>
            </w:r>
          </w:p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(N=442)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Standardized</w:t>
            </w:r>
            <w:proofErr w:type="spellEnd"/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difference</w:t>
            </w:r>
            <w:proofErr w:type="spellEnd"/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absolute</w:t>
            </w:r>
            <w:proofErr w:type="spellEnd"/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4</w:t>
            </w:r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C4F6E" w:rsidRPr="002B0DFC" w:rsidTr="00161951">
        <w:trPr>
          <w:trHeight w:val="400"/>
        </w:trPr>
        <w:tc>
          <w:tcPr>
            <w:tcW w:w="434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Raw</w:t>
            </w:r>
            <w:proofErr w:type="spellEnd"/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Weighted</w:t>
            </w:r>
            <w:proofErr w:type="spellEnd"/>
          </w:p>
        </w:tc>
      </w:tr>
      <w:tr w:rsidR="009C4F6E" w:rsidRPr="002B0DFC" w:rsidTr="00161951">
        <w:trPr>
          <w:gridAfter w:val="1"/>
          <w:wAfter w:w="6" w:type="dxa"/>
          <w:trHeight w:val="280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Outcomes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,</w:t>
            </w:r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n (%)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9C4F6E" w:rsidRPr="002B0DFC" w:rsidTr="00161951">
        <w:trPr>
          <w:gridAfter w:val="1"/>
          <w:wAfter w:w="6" w:type="dxa"/>
          <w:trHeight w:val="2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Stunting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val="en-GB"/>
              </w:rPr>
              <w:t>6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381 (61.8)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236 (38.3)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--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--</w:t>
            </w:r>
          </w:p>
        </w:tc>
      </w:tr>
      <w:tr w:rsidR="009C4F6E" w:rsidRPr="002B0DFC" w:rsidTr="00161951">
        <w:trPr>
          <w:gridAfter w:val="1"/>
          <w:wAfter w:w="6" w:type="dxa"/>
          <w:trHeight w:val="2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Underweight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val="en-GB"/>
              </w:rPr>
              <w:t>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388 (62.8)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229 (37.1)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--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--</w:t>
            </w:r>
          </w:p>
        </w:tc>
      </w:tr>
      <w:tr w:rsidR="009C4F6E" w:rsidRPr="002B0DFC" w:rsidTr="00161951">
        <w:trPr>
          <w:gridAfter w:val="1"/>
          <w:wAfter w:w="6" w:type="dxa"/>
          <w:trHeight w:val="300"/>
        </w:trPr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Wasting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val="en-GB"/>
              </w:rPr>
              <w:t>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230 (58.8)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161 (41.2)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--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--</w:t>
            </w:r>
          </w:p>
        </w:tc>
      </w:tr>
      <w:tr w:rsidR="009C4F6E" w:rsidRPr="009C4F6E" w:rsidTr="00161951">
        <w:trPr>
          <w:gridAfter w:val="1"/>
          <w:wAfter w:w="6" w:type="dxa"/>
          <w:trHeight w:val="420"/>
        </w:trPr>
        <w:tc>
          <w:tcPr>
            <w:tcW w:w="43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Characteristics of households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,</w:t>
            </w:r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parents and children</w:t>
            </w: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 </w:t>
            </w: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 </w:t>
            </w:r>
          </w:p>
        </w:tc>
        <w:tc>
          <w:tcPr>
            <w:tcW w:w="216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 </w:t>
            </w:r>
          </w:p>
        </w:tc>
      </w:tr>
      <w:tr w:rsidR="009C4F6E" w:rsidRPr="002B0DFC" w:rsidTr="00161951">
        <w:trPr>
          <w:gridAfter w:val="1"/>
          <w:wAfter w:w="6" w:type="dxa"/>
          <w:trHeight w:val="280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Village proportion poorest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,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 xml:space="preserve"> mean (±SD)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0.24 (±0.2)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0.22 (±0.2)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0.089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0.002</w:t>
            </w:r>
          </w:p>
        </w:tc>
      </w:tr>
      <w:tr w:rsidR="009C4F6E" w:rsidRPr="002B0DFC" w:rsidTr="00161951">
        <w:trPr>
          <w:gridAfter w:val="1"/>
          <w:wAfter w:w="6" w:type="dxa"/>
          <w:trHeight w:val="280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Village proportion open defecation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,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 xml:space="preserve"> mean (±SD)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0.86 (±0.2)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0.79 (±0.2)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0.345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0.009</w:t>
            </w:r>
          </w:p>
        </w:tc>
      </w:tr>
      <w:tr w:rsidR="009C4F6E" w:rsidRPr="002B0DFC" w:rsidTr="00161951">
        <w:trPr>
          <w:gridAfter w:val="1"/>
          <w:wAfter w:w="6" w:type="dxa"/>
          <w:trHeight w:val="280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Household wealth quintile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,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 xml:space="preserve"> n (%)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9C4F6E" w:rsidRPr="002B0DFC" w:rsidTr="00161951">
        <w:trPr>
          <w:gridAfter w:val="1"/>
          <w:wAfter w:w="6" w:type="dxa"/>
          <w:trHeight w:val="2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1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val="en-GB"/>
              </w:rPr>
              <w:t>st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 xml:space="preserve"> quintile (Poorest 20%)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160 (62.9)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94 (37.0)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--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--</w:t>
            </w:r>
          </w:p>
        </w:tc>
      </w:tr>
      <w:tr w:rsidR="009C4F6E" w:rsidRPr="002B0DFC" w:rsidTr="00161951">
        <w:trPr>
          <w:gridAfter w:val="1"/>
          <w:wAfter w:w="6" w:type="dxa"/>
          <w:trHeight w:val="2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val="en-GB"/>
              </w:rPr>
              <w:t>nd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 xml:space="preserve"> quintile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106 (55.2)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86 (44.8)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0.081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0.003</w:t>
            </w:r>
          </w:p>
        </w:tc>
      </w:tr>
      <w:tr w:rsidR="009C4F6E" w:rsidRPr="002B0DFC" w:rsidTr="00161951">
        <w:trPr>
          <w:gridAfter w:val="1"/>
          <w:wAfter w:w="6" w:type="dxa"/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3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val="en-GB"/>
              </w:rPr>
              <w:t>rd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 xml:space="preserve"> quintile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131 (63.9)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74 (36.1)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0.095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0.016</w:t>
            </w:r>
          </w:p>
        </w:tc>
      </w:tr>
      <w:tr w:rsidR="009C4F6E" w:rsidRPr="002B0DFC" w:rsidTr="00161951">
        <w:trPr>
          <w:gridAfter w:val="1"/>
          <w:wAfter w:w="6" w:type="dxa"/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4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val="en-GB"/>
              </w:rPr>
              <w:t>th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 xml:space="preserve"> quintile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123 (58.3)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88 (41.7)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0.017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0.012</w:t>
            </w:r>
          </w:p>
        </w:tc>
      </w:tr>
      <w:tr w:rsidR="009C4F6E" w:rsidRPr="002B0DFC" w:rsidTr="00161951">
        <w:trPr>
          <w:gridAfter w:val="1"/>
          <w:wAfter w:w="6" w:type="dxa"/>
          <w:trHeight w:val="2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5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val="en-GB"/>
              </w:rPr>
              <w:t>th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 xml:space="preserve"> quintile (Richest 20%)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126 (55.8)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100 (44.3)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0.082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0.001</w:t>
            </w:r>
          </w:p>
        </w:tc>
      </w:tr>
      <w:tr w:rsidR="009C4F6E" w:rsidRPr="002B0DFC" w:rsidTr="00161951">
        <w:trPr>
          <w:gridAfter w:val="1"/>
          <w:wAfter w:w="6" w:type="dxa"/>
          <w:trHeight w:val="280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Improved sanitation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,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 xml:space="preserve"> n (%)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64 (50.8)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62 (49.2)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0.133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0.004</w:t>
            </w:r>
          </w:p>
        </w:tc>
      </w:tr>
      <w:tr w:rsidR="009C4F6E" w:rsidRPr="002B0DFC" w:rsidTr="00161951">
        <w:trPr>
          <w:gridAfter w:val="1"/>
          <w:wAfter w:w="6" w:type="dxa"/>
          <w:trHeight w:val="280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Muslim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,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 xml:space="preserve"> n (%)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58 (58.6)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41 (41.4)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0.007</w:t>
            </w:r>
          </w:p>
        </w:tc>
      </w:tr>
      <w:tr w:rsidR="009C4F6E" w:rsidRPr="002B0DFC" w:rsidTr="00161951">
        <w:trPr>
          <w:gridAfter w:val="1"/>
          <w:wAfter w:w="6" w:type="dxa"/>
          <w:trHeight w:val="280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Mother's age (in years)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,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 xml:space="preserve"> mean (±SD)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28.0 (±5.6)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27.3 (±5.1)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--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--</w:t>
            </w:r>
          </w:p>
        </w:tc>
      </w:tr>
      <w:tr w:rsidR="009C4F6E" w:rsidRPr="002B0DFC" w:rsidTr="00161951">
        <w:trPr>
          <w:gridAfter w:val="1"/>
          <w:wAfter w:w="6" w:type="dxa"/>
          <w:trHeight w:val="280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Maternal education (years)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,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 xml:space="preserve"> n (%)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9C4F6E" w:rsidRPr="002B0DFC" w:rsidTr="00161951">
        <w:trPr>
          <w:gridAfter w:val="1"/>
          <w:wAfter w:w="6" w:type="dxa"/>
          <w:trHeight w:val="2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None (0)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389 (62.4)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234 (37.6)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--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--</w:t>
            </w:r>
          </w:p>
        </w:tc>
      </w:tr>
      <w:tr w:rsidR="009C4F6E" w:rsidRPr="002B0DFC" w:rsidTr="00161951">
        <w:trPr>
          <w:gridAfter w:val="1"/>
          <w:wAfter w:w="6" w:type="dxa"/>
          <w:trHeight w:val="2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Some primary (1 to 5)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44 (55.7)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35 (44.3)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0.043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0.003</w:t>
            </w:r>
          </w:p>
        </w:tc>
      </w:tr>
      <w:tr w:rsidR="009C4F6E" w:rsidRPr="002B0DFC" w:rsidTr="00161951">
        <w:trPr>
          <w:gridAfter w:val="1"/>
          <w:wAfter w:w="6" w:type="dxa"/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Some upper primary (6 to 8)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122 (59.5)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83 (40.5)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0.000</w:t>
            </w:r>
          </w:p>
        </w:tc>
      </w:tr>
      <w:tr w:rsidR="009C4F6E" w:rsidRPr="002B0DFC" w:rsidTr="00161951">
        <w:trPr>
          <w:gridAfter w:val="1"/>
          <w:wAfter w:w="6" w:type="dxa"/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Some secondary or more (≥9)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91 (50.3)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90 (49.7)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0.167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0.002</w:t>
            </w:r>
          </w:p>
        </w:tc>
      </w:tr>
      <w:tr w:rsidR="009C4F6E" w:rsidRPr="002B0DFC" w:rsidTr="00161951">
        <w:trPr>
          <w:gridAfter w:val="1"/>
          <w:wAfter w:w="6" w:type="dxa"/>
          <w:trHeight w:val="300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Paternal education (years)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,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 xml:space="preserve"> n (%)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9C4F6E" w:rsidRPr="002B0DFC" w:rsidTr="00161951">
        <w:trPr>
          <w:gridAfter w:val="1"/>
          <w:wAfter w:w="6" w:type="dxa"/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None (0)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186 (60.8)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120 (39.3)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--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--</w:t>
            </w:r>
          </w:p>
        </w:tc>
      </w:tr>
      <w:tr w:rsidR="009C4F6E" w:rsidRPr="002B0DFC" w:rsidTr="00161951">
        <w:trPr>
          <w:gridAfter w:val="1"/>
          <w:wAfter w:w="6" w:type="dxa"/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Some primary (1 to 5)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110 (57.0)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83 (43.0)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0.047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0.000</w:t>
            </w:r>
          </w:p>
        </w:tc>
      </w:tr>
      <w:tr w:rsidR="009C4F6E" w:rsidRPr="002B0DFC" w:rsidTr="00161951">
        <w:trPr>
          <w:gridAfter w:val="1"/>
          <w:wAfter w:w="6" w:type="dxa"/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Some upper primary (6 to 8)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117 (62.6)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70 (37.4)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0.062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0.004</w:t>
            </w:r>
          </w:p>
        </w:tc>
      </w:tr>
      <w:tr w:rsidR="009C4F6E" w:rsidRPr="002B0DFC" w:rsidTr="00161951">
        <w:trPr>
          <w:gridAfter w:val="1"/>
          <w:wAfter w:w="6" w:type="dxa"/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Some secondary or more (≥9)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233 (58.0)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169 (42.0)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0.041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0.003</w:t>
            </w:r>
          </w:p>
        </w:tc>
      </w:tr>
      <w:tr w:rsidR="009C4F6E" w:rsidRPr="002B0DFC" w:rsidTr="00161951">
        <w:trPr>
          <w:gridAfter w:val="1"/>
          <w:wAfter w:w="6" w:type="dxa"/>
          <w:trHeight w:val="300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Child birth order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,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 xml:space="preserve"> n (%)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9C4F6E" w:rsidRPr="002B0DFC" w:rsidTr="00161951">
        <w:trPr>
          <w:gridAfter w:val="1"/>
          <w:wAfter w:w="6" w:type="dxa"/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159 (57.4)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118 (42.6)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--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--</w:t>
            </w:r>
          </w:p>
        </w:tc>
      </w:tr>
      <w:tr w:rsidR="009C4F6E" w:rsidRPr="002B0DFC" w:rsidTr="00161951">
        <w:trPr>
          <w:gridAfter w:val="1"/>
          <w:wAfter w:w="6" w:type="dxa"/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147 (60.3)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97 (39.8)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0.018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0.002</w:t>
            </w:r>
          </w:p>
        </w:tc>
      </w:tr>
      <w:tr w:rsidR="009C4F6E" w:rsidRPr="002B0DFC" w:rsidTr="00161951">
        <w:trPr>
          <w:gridAfter w:val="1"/>
          <w:wAfter w:w="6" w:type="dxa"/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122 (57.6)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90 (42.5)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0.038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0.007</w:t>
            </w:r>
          </w:p>
        </w:tc>
      </w:tr>
      <w:tr w:rsidR="009C4F6E" w:rsidRPr="002B0DFC" w:rsidTr="00161951">
        <w:trPr>
          <w:gridAfter w:val="1"/>
          <w:wAfter w:w="6" w:type="dxa"/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101 (63.1)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61 (37.7)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0.064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0.002</w:t>
            </w:r>
          </w:p>
        </w:tc>
      </w:tr>
      <w:tr w:rsidR="009C4F6E" w:rsidRPr="002B0DFC" w:rsidTr="00161951">
        <w:trPr>
          <w:gridAfter w:val="1"/>
          <w:wAfter w:w="6" w:type="dxa"/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≥5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117 (60.6)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76 (39.4)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0.004</w:t>
            </w:r>
          </w:p>
        </w:tc>
      </w:tr>
      <w:tr w:rsidR="009C4F6E" w:rsidRPr="002B0DFC" w:rsidTr="00161951">
        <w:trPr>
          <w:gridAfter w:val="1"/>
          <w:wAfter w:w="6" w:type="dxa"/>
          <w:trHeight w:val="260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Child sex female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,</w:t>
            </w: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 xml:space="preserve"> n (%)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310 (57.9)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225 (42.0)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0.056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0.010</w:t>
            </w:r>
          </w:p>
        </w:tc>
      </w:tr>
      <w:tr w:rsidR="009C4F6E" w:rsidRPr="009C4F6E" w:rsidTr="00161951">
        <w:trPr>
          <w:gridAfter w:val="1"/>
          <w:wAfter w:w="6" w:type="dxa"/>
          <w:trHeight w:val="260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Interaction (female x birth order)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9C4F6E" w:rsidRPr="002B0DFC" w:rsidTr="00161951">
        <w:trPr>
          <w:gridAfter w:val="1"/>
          <w:wAfter w:w="6" w:type="dxa"/>
          <w:trHeight w:val="2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female x 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0.055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0.003</w:t>
            </w:r>
          </w:p>
        </w:tc>
      </w:tr>
      <w:tr w:rsidR="009C4F6E" w:rsidRPr="002B0DFC" w:rsidTr="00161951">
        <w:trPr>
          <w:gridAfter w:val="1"/>
          <w:wAfter w:w="6" w:type="dxa"/>
          <w:trHeight w:val="2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female x 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0.003</w:t>
            </w:r>
          </w:p>
        </w:tc>
      </w:tr>
      <w:tr w:rsidR="009C4F6E" w:rsidRPr="002B0DFC" w:rsidTr="00161951">
        <w:trPr>
          <w:gridAfter w:val="1"/>
          <w:wAfter w:w="6" w:type="dxa"/>
          <w:trHeight w:val="2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female x 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0.062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0.010</w:t>
            </w:r>
          </w:p>
        </w:tc>
      </w:tr>
      <w:tr w:rsidR="009C4F6E" w:rsidRPr="002B0DFC" w:rsidTr="00161951">
        <w:trPr>
          <w:gridAfter w:val="1"/>
          <w:wAfter w:w="6" w:type="dxa"/>
          <w:trHeight w:val="2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female x 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0.021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0.008</w:t>
            </w:r>
          </w:p>
        </w:tc>
      </w:tr>
      <w:tr w:rsidR="009C4F6E" w:rsidRPr="002B0DFC" w:rsidTr="00161951">
        <w:trPr>
          <w:gridAfter w:val="1"/>
          <w:wAfter w:w="6" w:type="dxa"/>
          <w:trHeight w:val="2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female x ≥5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--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--</w:t>
            </w:r>
          </w:p>
        </w:tc>
      </w:tr>
      <w:tr w:rsidR="009C4F6E" w:rsidRPr="002B0DFC" w:rsidTr="00161951">
        <w:trPr>
          <w:gridAfter w:val="1"/>
          <w:wAfter w:w="6" w:type="dxa"/>
          <w:trHeight w:val="260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Child age (in days). mean (±SD)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537.0 (±103.2)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528.0 (±103.4)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9C4F6E" w:rsidRPr="002B0DFC" w:rsidTr="00161951">
        <w:trPr>
          <w:gridAfter w:val="1"/>
          <w:wAfter w:w="6" w:type="dxa"/>
          <w:trHeight w:val="2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Age spline 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0.091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0.004</w:t>
            </w:r>
          </w:p>
        </w:tc>
      </w:tr>
      <w:tr w:rsidR="009C4F6E" w:rsidRPr="002B0DFC" w:rsidTr="00161951">
        <w:trPr>
          <w:gridAfter w:val="1"/>
          <w:wAfter w:w="6" w:type="dxa"/>
          <w:trHeight w:val="2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Age spline 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0.083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0.005</w:t>
            </w:r>
          </w:p>
        </w:tc>
      </w:tr>
      <w:tr w:rsidR="009C4F6E" w:rsidRPr="002B0DFC" w:rsidTr="00161951">
        <w:trPr>
          <w:gridAfter w:val="1"/>
          <w:wAfter w:w="6" w:type="dxa"/>
          <w:trHeight w:val="2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Age spline 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0.077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0.005</w:t>
            </w:r>
          </w:p>
        </w:tc>
      </w:tr>
      <w:tr w:rsidR="009C4F6E" w:rsidRPr="002B0DFC" w:rsidTr="00161951">
        <w:trPr>
          <w:gridAfter w:val="1"/>
          <w:wAfter w:w="6" w:type="dxa"/>
          <w:trHeight w:val="260"/>
        </w:trPr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Age spline 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F6E" w:rsidRPr="002B0DFC" w:rsidRDefault="009C4F6E" w:rsidP="0016195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F6E" w:rsidRPr="002B0DFC" w:rsidRDefault="009C4F6E" w:rsidP="00161951">
            <w:pPr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B0D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>0.004</w:t>
            </w:r>
          </w:p>
        </w:tc>
      </w:tr>
    </w:tbl>
    <w:p w:rsidR="009C4F6E" w:rsidRPr="002046C4" w:rsidRDefault="009C4F6E" w:rsidP="009C4F6E">
      <w:pPr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</w:pPr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  <w:t>Abbreviations: SDG - Sustainable Development Goals; MDG - Millennium Development Goals; SD - standard deviation</w:t>
      </w:r>
    </w:p>
    <w:p w:rsidR="009C4F6E" w:rsidRPr="002046C4" w:rsidRDefault="009C4F6E" w:rsidP="009C4F6E">
      <w:pPr>
        <w:rPr>
          <w:rFonts w:asciiTheme="majorBidi" w:hAnsiTheme="majorBidi"/>
          <w:color w:val="000000" w:themeColor="text1"/>
          <w:lang w:val="en-GB"/>
        </w:rPr>
      </w:pPr>
    </w:p>
    <w:p w:rsidR="009C4F6E" w:rsidRPr="00FF3853" w:rsidRDefault="009C4F6E" w:rsidP="009C4F6E">
      <w:pPr>
        <w:rPr>
          <w:rFonts w:asciiTheme="majorBidi" w:hAnsiTheme="majorBidi" w:cs="Arial"/>
          <w:color w:val="000000" w:themeColor="text1"/>
          <w:sz w:val="20"/>
          <w:szCs w:val="20"/>
          <w:lang w:val="en-GB"/>
        </w:rPr>
      </w:pPr>
      <w:r w:rsidRPr="00FF3853">
        <w:rPr>
          <w:rFonts w:asciiTheme="majorBidi" w:hAnsiTheme="majorBidi" w:cs="Arial"/>
          <w:color w:val="000000" w:themeColor="text1"/>
          <w:sz w:val="20"/>
          <w:szCs w:val="20"/>
          <w:vertAlign w:val="superscript"/>
          <w:lang w:val="en-GB"/>
        </w:rPr>
        <w:t>1</w:t>
      </w:r>
      <w:r w:rsidRPr="00FF3853">
        <w:rPr>
          <w:rFonts w:asciiTheme="majorBidi" w:hAnsiTheme="majorBidi" w:cs="Arial"/>
          <w:color w:val="000000" w:themeColor="text1"/>
          <w:sz w:val="20"/>
          <w:szCs w:val="20"/>
          <w:lang w:val="en-GB"/>
        </w:rPr>
        <w:t xml:space="preserve"> The analysis sample includes 1088 households, mothers, and children.  </w:t>
      </w:r>
    </w:p>
    <w:p w:rsidR="009C4F6E" w:rsidRPr="006228D9" w:rsidRDefault="009C4F6E" w:rsidP="009C4F6E">
      <w:pPr>
        <w:rPr>
          <w:rFonts w:asciiTheme="minorBidi" w:eastAsia="Times New Roman" w:hAnsiTheme="minorBidi" w:cs="Arial"/>
          <w:color w:val="000000" w:themeColor="text1"/>
          <w:sz w:val="20"/>
          <w:szCs w:val="20"/>
          <w:lang w:val="en-GB"/>
        </w:rPr>
      </w:pPr>
      <w:r w:rsidRPr="00FF3853">
        <w:rPr>
          <w:rFonts w:asciiTheme="minorBidi" w:eastAsia="Times New Roman" w:hAnsiTheme="minorBidi" w:cs="Arial"/>
          <w:color w:val="000000" w:themeColor="text1"/>
          <w:sz w:val="20"/>
          <w:szCs w:val="20"/>
          <w:vertAlign w:val="superscript"/>
          <w:lang w:val="en-GB"/>
        </w:rPr>
        <w:t>2</w:t>
      </w:r>
      <w:r w:rsidRPr="00FF3853">
        <w:rPr>
          <w:rFonts w:asciiTheme="minorBidi" w:eastAsia="Times New Roman" w:hAnsiTheme="minorBidi" w:cs="Arial"/>
          <w:color w:val="000000" w:themeColor="text1"/>
          <w:sz w:val="20"/>
          <w:szCs w:val="20"/>
          <w:lang w:val="en-GB"/>
        </w:rPr>
        <w:t xml:space="preserve"> This is drinking water from an ‘improved’ source</w:t>
      </w:r>
      <w:r w:rsidRPr="00FF3853">
        <w:rPr>
          <w:rFonts w:asciiTheme="minorBidi" w:eastAsia="Times New Roman" w:hAnsiTheme="minorBidi" w:cs="Arial"/>
          <w:color w:val="000000" w:themeColor="text1"/>
          <w:sz w:val="20"/>
          <w:szCs w:val="20"/>
          <w:lang w:val="en-US"/>
        </w:rPr>
        <w:t xml:space="preserve"> </w:t>
      </w:r>
      <w:r w:rsidRPr="00FF3853">
        <w:rPr>
          <w:rFonts w:asciiTheme="minorBidi" w:eastAsia="Times New Roman" w:hAnsiTheme="minorBidi" w:cs="Arial"/>
          <w:color w:val="000000" w:themeColor="text1"/>
          <w:sz w:val="20"/>
          <w:szCs w:val="20"/>
          <w:lang w:val="en-GB"/>
        </w:rPr>
        <w:t xml:space="preserve">that </w:t>
      </w:r>
      <w:r w:rsidRPr="00FF3853">
        <w:rPr>
          <w:rFonts w:asciiTheme="minorBidi" w:eastAsia="Times New Roman" w:hAnsiTheme="minorBidi" w:cs="Arial"/>
          <w:color w:val="000000" w:themeColor="text1"/>
          <w:sz w:val="20"/>
          <w:szCs w:val="20"/>
          <w:lang w:val="en-US"/>
        </w:rPr>
        <w:t>fails to meet</w:t>
      </w:r>
      <w:r w:rsidRPr="00FF3853">
        <w:rPr>
          <w:rFonts w:asciiTheme="minorBidi" w:eastAsia="Times New Roman" w:hAnsiTheme="minorBidi" w:cs="Arial"/>
          <w:color w:val="000000" w:themeColor="text1"/>
          <w:sz w:val="20"/>
          <w:szCs w:val="20"/>
          <w:lang w:val="en-GB"/>
        </w:rPr>
        <w:t xml:space="preserve"> safety standards for absence of faecal contamination (identified through microbiological testing</w:t>
      </w:r>
      <w:r w:rsidRPr="006228D9">
        <w:rPr>
          <w:rFonts w:asciiTheme="minorBidi" w:eastAsia="Times New Roman" w:hAnsiTheme="minorBidi" w:cs="Arial"/>
          <w:color w:val="000000" w:themeColor="text1"/>
          <w:sz w:val="20"/>
          <w:szCs w:val="20"/>
          <w:lang w:val="en-GB"/>
        </w:rPr>
        <w:t xml:space="preserve"> for E. coli faecal indicator bacteria</w:t>
      </w:r>
      <w:proofErr w:type="gramStart"/>
      <w:r w:rsidRPr="006228D9">
        <w:rPr>
          <w:rFonts w:asciiTheme="minorBidi" w:eastAsia="Times New Roman" w:hAnsiTheme="minorBidi" w:cs="Arial"/>
          <w:color w:val="000000" w:themeColor="text1"/>
          <w:sz w:val="20"/>
          <w:szCs w:val="20"/>
          <w:lang w:val="en-GB"/>
        </w:rPr>
        <w:t>)..</w:t>
      </w:r>
      <w:proofErr w:type="gramEnd"/>
      <w:r w:rsidRPr="006228D9">
        <w:rPr>
          <w:rFonts w:asciiTheme="minorBidi" w:eastAsia="Times New Roman" w:hAnsiTheme="minorBidi" w:cs="Arial"/>
          <w:color w:val="000000" w:themeColor="text1"/>
          <w:sz w:val="20"/>
          <w:szCs w:val="20"/>
          <w:lang w:val="en-GB"/>
        </w:rPr>
        <w:t xml:space="preserve"> </w:t>
      </w:r>
    </w:p>
    <w:p w:rsidR="009C4F6E" w:rsidRPr="006228D9" w:rsidRDefault="009C4F6E" w:rsidP="009C4F6E">
      <w:pPr>
        <w:rPr>
          <w:rFonts w:asciiTheme="minorBidi" w:eastAsia="Times New Roman" w:hAnsiTheme="minorBidi" w:cs="Arial"/>
          <w:color w:val="000000" w:themeColor="text1"/>
          <w:sz w:val="20"/>
          <w:szCs w:val="20"/>
          <w:lang w:val="en-GB"/>
        </w:rPr>
      </w:pPr>
      <w:r w:rsidRPr="006228D9">
        <w:rPr>
          <w:rFonts w:asciiTheme="minorBidi" w:eastAsia="Times New Roman" w:hAnsiTheme="minorBidi" w:cs="Arial"/>
          <w:color w:val="000000" w:themeColor="text1"/>
          <w:sz w:val="20"/>
          <w:szCs w:val="20"/>
          <w:vertAlign w:val="superscript"/>
          <w:lang w:val="en-GB"/>
        </w:rPr>
        <w:t xml:space="preserve">3 </w:t>
      </w:r>
      <w:r w:rsidRPr="006228D9">
        <w:rPr>
          <w:rFonts w:asciiTheme="minorBidi" w:eastAsia="Times New Roman" w:hAnsiTheme="minorBidi" w:cs="Arial"/>
          <w:color w:val="000000" w:themeColor="text1"/>
          <w:sz w:val="20"/>
          <w:szCs w:val="20"/>
          <w:lang w:val="en-GB"/>
        </w:rPr>
        <w:t>This is drinking water from an ‘improved’ source that meets safety standards for absence of faecal contamination (identified through microbiological testing for E. coli faecal indicator bacteria).</w:t>
      </w:r>
    </w:p>
    <w:p w:rsidR="009C4F6E" w:rsidRPr="002046C4" w:rsidRDefault="009C4F6E" w:rsidP="009C4F6E">
      <w:pPr>
        <w:outlineLvl w:val="0"/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</w:pPr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vertAlign w:val="superscript"/>
          <w:lang w:val="en-GB"/>
        </w:rPr>
        <w:t>4</w:t>
      </w:r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  <w:t xml:space="preserve"> These are absolute standardized differences for the nutritional </w:t>
      </w:r>
      <w:proofErr w:type="gramStart"/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  <w:t>outcomes</w:t>
      </w:r>
      <w:proofErr w:type="gramEnd"/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  <w:t xml:space="preserve"> models</w:t>
      </w:r>
    </w:p>
    <w:p w:rsidR="009C4F6E" w:rsidRPr="002046C4" w:rsidRDefault="009C4F6E" w:rsidP="009C4F6E">
      <w:pPr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</w:pPr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vertAlign w:val="superscript"/>
          <w:lang w:val="en-GB"/>
        </w:rPr>
        <w:t>5</w:t>
      </w:r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  <w:t xml:space="preserve"> Asked of the mother of the youngest child 12-23 months in the household. We asked whether she had a child born alive who later died. </w:t>
      </w:r>
    </w:p>
    <w:p w:rsidR="009C4F6E" w:rsidRPr="002046C4" w:rsidRDefault="009C4F6E" w:rsidP="009C4F6E">
      <w:pPr>
        <w:outlineLvl w:val="0"/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</w:pPr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vertAlign w:val="superscript"/>
          <w:lang w:val="en-GB"/>
        </w:rPr>
        <w:t>6</w:t>
      </w:r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  <w:t xml:space="preserve"> Stunting: length-for-age &lt; –2 standard deviations (SD) of the WHO Child Growth Standards median</w:t>
      </w:r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  <w:fldChar w:fldCharType="begin"/>
      </w:r>
      <w:r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  <w:instrText xml:space="preserve"> ADDIN EN.CITE &lt;EndNote&gt;&lt;Cite&gt;&lt;Author&gt;World Health Organization&lt;/Author&gt;&lt;Year&gt;2006&lt;/Year&gt;&lt;RecNum&gt;4723&lt;/RecNum&gt;&lt;DisplayText&gt;[1]&lt;/DisplayText&gt;&lt;record&gt;&lt;rec-number&gt;4723&lt;/rec-number&gt;&lt;foreign-keys&gt;&lt;key app="EN" db-id="ep9e9dtw7w2a0uev2z0pvdvlprf52xxvwer0" timestamp="1392216942"&gt;4723&lt;/key&gt;&lt;/foreign-keys&gt;&lt;ref-type name="Book"&gt;6&lt;/ref-type&gt;&lt;contributors&gt;&lt;authors&gt;&lt;author&gt;World Health Organization,&lt;/author&gt;&lt;/authors&gt;&lt;/contributors&gt;&lt;titles&gt;&lt;title&gt;WHO child growth standards : length/height-for-age, weight-for-age, weight-for-length, weight-for-height and body mass index-for-age : methods and development.&lt;/title&gt;&lt;/titles&gt;&lt;section&gt;336&lt;/section&gt;&lt;dates&gt;&lt;year&gt;2006&lt;/year&gt;&lt;/dates&gt;&lt;pub-location&gt;France&lt;/pub-location&gt;&lt;publisher&gt;WHO Press&lt;/publisher&gt;&lt;isbn&gt;ISBN 92 4 154693 X&lt;/isbn&gt;&lt;urls&gt;&lt;related-urls&gt;&lt;url&gt;http://www.who.int/childgrowth/publications/technical_report_pub/en/index.html&lt;/url&gt;&lt;/related-urls&gt;&lt;/urls&gt;&lt;/record&gt;&lt;/Cite&gt;&lt;/EndNote&gt;</w:instrText>
      </w:r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  <w:fldChar w:fldCharType="separate"/>
      </w:r>
      <w:r>
        <w:rPr>
          <w:rFonts w:asciiTheme="majorBidi" w:eastAsia="Times New Roman" w:hAnsiTheme="majorBidi" w:cs="Arial"/>
          <w:noProof/>
          <w:color w:val="000000" w:themeColor="text1"/>
          <w:sz w:val="20"/>
          <w:szCs w:val="20"/>
          <w:lang w:val="en-GB"/>
        </w:rPr>
        <w:t>[1]</w:t>
      </w:r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  <w:fldChar w:fldCharType="end"/>
      </w:r>
    </w:p>
    <w:p w:rsidR="009C4F6E" w:rsidRPr="002046C4" w:rsidRDefault="009C4F6E" w:rsidP="009C4F6E">
      <w:pPr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</w:pPr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vertAlign w:val="superscript"/>
          <w:lang w:val="en-GB"/>
        </w:rPr>
        <w:t>7</w:t>
      </w:r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  <w:t xml:space="preserve"> Underweight: weight-for-age &lt; –2 SD of the WHO Child Growth Standards median</w:t>
      </w:r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  <w:fldChar w:fldCharType="begin"/>
      </w:r>
      <w:r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  <w:instrText xml:space="preserve"> ADDIN EN.CITE &lt;EndNote&gt;&lt;Cite&gt;&lt;Author&gt;World Health Organization&lt;/Author&gt;&lt;Year&gt;2006&lt;/Year&gt;&lt;RecNum&gt;4723&lt;/RecNum&gt;&lt;DisplayText&gt;[1]&lt;/DisplayText&gt;&lt;record&gt;&lt;rec-number&gt;4723&lt;/rec-number&gt;&lt;foreign-keys&gt;&lt;key app="EN" db-id="ep9e9dtw7w2a0uev2z0pvdvlprf52xxvwer0" timestamp="1392216942"&gt;4723&lt;/key&gt;&lt;/foreign-keys&gt;&lt;ref-type name="Book"&gt;6&lt;/ref-type&gt;&lt;contributors&gt;&lt;authors&gt;&lt;author&gt;World Health Organization,&lt;/author&gt;&lt;/authors&gt;&lt;/contributors&gt;&lt;titles&gt;&lt;title&gt;WHO child growth standards : length/height-for-age, weight-for-age, weight-for-length, weight-for-height and body mass index-for-age : methods and development.&lt;/title&gt;&lt;/titles&gt;&lt;section&gt;336&lt;/section&gt;&lt;dates&gt;&lt;year&gt;2006&lt;/year&gt;&lt;/dates&gt;&lt;pub-location&gt;France&lt;/pub-location&gt;&lt;publisher&gt;WHO Press&lt;/publisher&gt;&lt;isbn&gt;ISBN 92 4 154693 X&lt;/isbn&gt;&lt;urls&gt;&lt;related-urls&gt;&lt;url&gt;http://www.who.int/childgrowth/publications/technical_report_pub/en/index.html&lt;/url&gt;&lt;/related-urls&gt;&lt;/urls&gt;&lt;/record&gt;&lt;/Cite&gt;&lt;/EndNote&gt;</w:instrText>
      </w:r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  <w:fldChar w:fldCharType="separate"/>
      </w:r>
      <w:r>
        <w:rPr>
          <w:rFonts w:asciiTheme="majorBidi" w:eastAsia="Times New Roman" w:hAnsiTheme="majorBidi" w:cs="Arial"/>
          <w:noProof/>
          <w:color w:val="000000" w:themeColor="text1"/>
          <w:sz w:val="20"/>
          <w:szCs w:val="20"/>
          <w:lang w:val="en-GB"/>
        </w:rPr>
        <w:t>[1]</w:t>
      </w:r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  <w:fldChar w:fldCharType="end"/>
      </w:r>
    </w:p>
    <w:p w:rsidR="009C4F6E" w:rsidRPr="002046C4" w:rsidRDefault="009C4F6E" w:rsidP="009C4F6E">
      <w:pPr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</w:pPr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vertAlign w:val="superscript"/>
          <w:lang w:val="en-GB"/>
        </w:rPr>
        <w:t>8</w:t>
      </w:r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  <w:t xml:space="preserve"> Wasting: weight-for-height &lt; –2 SD of the WHO Child Growth Standards median</w:t>
      </w:r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  <w:fldChar w:fldCharType="begin"/>
      </w:r>
      <w:r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  <w:instrText xml:space="preserve"> ADDIN EN.CITE &lt;EndNote&gt;&lt;Cite&gt;&lt;Author&gt;World Health Organization&lt;/Author&gt;&lt;Year&gt;2006&lt;/Year&gt;&lt;RecNum&gt;4723&lt;/RecNum&gt;&lt;DisplayText&gt;[1]&lt;/DisplayText&gt;&lt;record&gt;&lt;rec-number&gt;4723&lt;/rec-number&gt;&lt;foreign-keys&gt;&lt;key app="EN" db-id="ep9e9dtw7w2a0uev2z0pvdvlprf52xxvwer0" timestamp="1392216942"&gt;4723&lt;/key&gt;&lt;/foreign-keys&gt;&lt;ref-type name="Book"&gt;6&lt;/ref-type&gt;&lt;contributors&gt;&lt;authors&gt;&lt;author&gt;World Health Organization,&lt;/author&gt;&lt;/authors&gt;&lt;/contributors&gt;&lt;titles&gt;&lt;title&gt;WHO child growth standards : length/height-for-age, weight-for-age, weight-for-length, weight-for-height and body mass index-for-age : methods and development.&lt;/title&gt;&lt;/titles&gt;&lt;section&gt;336&lt;/section&gt;&lt;dates&gt;&lt;year&gt;2006&lt;/year&gt;&lt;/dates&gt;&lt;pub-location&gt;France&lt;/pub-location&gt;&lt;publisher&gt;WHO Press&lt;/publisher&gt;&lt;isbn&gt;ISBN 92 4 154693 X&lt;/isbn&gt;&lt;urls&gt;&lt;related-urls&gt;&lt;url&gt;http://www.who.int/childgrowth/publications/technical_report_pub/en/index.html&lt;/url&gt;&lt;/related-urls&gt;&lt;/urls&gt;&lt;/record&gt;&lt;/Cite&gt;&lt;/EndNote&gt;</w:instrText>
      </w:r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  <w:fldChar w:fldCharType="separate"/>
      </w:r>
      <w:r>
        <w:rPr>
          <w:rFonts w:asciiTheme="majorBidi" w:eastAsia="Times New Roman" w:hAnsiTheme="majorBidi" w:cs="Arial"/>
          <w:noProof/>
          <w:color w:val="000000" w:themeColor="text1"/>
          <w:sz w:val="20"/>
          <w:szCs w:val="20"/>
          <w:lang w:val="en-GB"/>
        </w:rPr>
        <w:t>[1]</w:t>
      </w:r>
      <w:r w:rsidRPr="002046C4">
        <w:rPr>
          <w:rFonts w:asciiTheme="majorBidi" w:eastAsia="Times New Roman" w:hAnsiTheme="majorBidi" w:cs="Arial"/>
          <w:color w:val="000000" w:themeColor="text1"/>
          <w:sz w:val="20"/>
          <w:szCs w:val="20"/>
          <w:lang w:val="en-GB"/>
        </w:rPr>
        <w:fldChar w:fldCharType="end"/>
      </w:r>
    </w:p>
    <w:p w:rsidR="009C4F6E" w:rsidRPr="002046C4" w:rsidRDefault="009C4F6E" w:rsidP="009C4F6E">
      <w:pPr>
        <w:rPr>
          <w:rFonts w:asciiTheme="majorBidi" w:hAnsiTheme="majorBidi" w:cs="Arial"/>
          <w:b/>
          <w:color w:val="000000" w:themeColor="text1"/>
          <w:lang w:val="en-GB"/>
        </w:rPr>
      </w:pPr>
    </w:p>
    <w:p w:rsidR="009C4F6E" w:rsidRPr="009C4F6E" w:rsidRDefault="009C4F6E">
      <w:pPr>
        <w:rPr>
          <w:lang w:val="en-GB"/>
        </w:rPr>
      </w:pPr>
    </w:p>
    <w:p w:rsidR="009C4F6E" w:rsidRPr="009C4F6E" w:rsidRDefault="009C4F6E">
      <w:pPr>
        <w:rPr>
          <w:lang w:val="en-US"/>
        </w:rPr>
      </w:pPr>
    </w:p>
    <w:p w:rsidR="009C4F6E" w:rsidRPr="009C4F6E" w:rsidRDefault="009C4F6E" w:rsidP="009C4F6E">
      <w:pPr>
        <w:pStyle w:val="EndNoteBibliographyTitle"/>
        <w:rPr>
          <w:b/>
          <w:noProof/>
          <w:sz w:val="36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9C4F6E">
        <w:rPr>
          <w:b/>
          <w:noProof/>
          <w:sz w:val="36"/>
        </w:rPr>
        <w:t>References</w:t>
      </w:r>
    </w:p>
    <w:p w:rsidR="009C4F6E" w:rsidRPr="009C4F6E" w:rsidRDefault="009C4F6E" w:rsidP="009C4F6E">
      <w:pPr>
        <w:pStyle w:val="EndNoteBibliographyTitle"/>
        <w:rPr>
          <w:b/>
          <w:noProof/>
          <w:sz w:val="36"/>
        </w:rPr>
      </w:pPr>
    </w:p>
    <w:p w:rsidR="009C4F6E" w:rsidRPr="009C4F6E" w:rsidRDefault="009C4F6E" w:rsidP="009C4F6E">
      <w:pPr>
        <w:pStyle w:val="EndNoteBibliography"/>
        <w:ind w:left="700" w:hanging="700"/>
        <w:rPr>
          <w:noProof/>
        </w:rPr>
      </w:pPr>
      <w:r w:rsidRPr="009C4F6E">
        <w:rPr>
          <w:noProof/>
        </w:rPr>
        <w:t>1.</w:t>
      </w:r>
      <w:r w:rsidRPr="009C4F6E">
        <w:rPr>
          <w:noProof/>
        </w:rPr>
        <w:tab/>
        <w:t>World Health Organization. WHO child growth standards : length/height-for-age, weight-for-age, weight-for-length, weight-for-height and body mass index-for-age : methods and development. France: WHO Press; 2006.</w:t>
      </w:r>
    </w:p>
    <w:p w:rsidR="00922B7F" w:rsidRDefault="009C4F6E">
      <w:r>
        <w:fldChar w:fldCharType="end"/>
      </w:r>
      <w:bookmarkStart w:id="1" w:name="_GoBack"/>
      <w:bookmarkEnd w:id="1"/>
    </w:p>
    <w:sectPr w:rsidR="00922B7F" w:rsidSect="008400AA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style face=&quot;bold&quot; size=&quot;18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p9e9dtw7w2a0uev2z0pvdvlprf52xxvwer0&quot;&gt;20160413references&lt;record-ids&gt;&lt;item&gt;4723&lt;/item&gt;&lt;/record-ids&gt;&lt;/item&gt;&lt;/Libraries&gt;"/>
  </w:docVars>
  <w:rsids>
    <w:rsidRoot w:val="009C4F6E"/>
    <w:rsid w:val="00003029"/>
    <w:rsid w:val="00003423"/>
    <w:rsid w:val="00006994"/>
    <w:rsid w:val="00016EA7"/>
    <w:rsid w:val="00036499"/>
    <w:rsid w:val="0004678A"/>
    <w:rsid w:val="00061AA8"/>
    <w:rsid w:val="00073948"/>
    <w:rsid w:val="00077817"/>
    <w:rsid w:val="0008405E"/>
    <w:rsid w:val="00084CDD"/>
    <w:rsid w:val="000901D8"/>
    <w:rsid w:val="00097CD4"/>
    <w:rsid w:val="000A55D3"/>
    <w:rsid w:val="000C3D85"/>
    <w:rsid w:val="000C4E98"/>
    <w:rsid w:val="000E76B3"/>
    <w:rsid w:val="000F7A7E"/>
    <w:rsid w:val="00101C14"/>
    <w:rsid w:val="0011275E"/>
    <w:rsid w:val="00124BE8"/>
    <w:rsid w:val="001312E1"/>
    <w:rsid w:val="0013147F"/>
    <w:rsid w:val="00147B35"/>
    <w:rsid w:val="0015284D"/>
    <w:rsid w:val="001609EF"/>
    <w:rsid w:val="0019483B"/>
    <w:rsid w:val="001C33A4"/>
    <w:rsid w:val="001E3FC4"/>
    <w:rsid w:val="001F6532"/>
    <w:rsid w:val="002301A8"/>
    <w:rsid w:val="00235555"/>
    <w:rsid w:val="0024596D"/>
    <w:rsid w:val="00264328"/>
    <w:rsid w:val="002777F8"/>
    <w:rsid w:val="0029216A"/>
    <w:rsid w:val="002960BC"/>
    <w:rsid w:val="002A6D23"/>
    <w:rsid w:val="002B2A9B"/>
    <w:rsid w:val="002B355A"/>
    <w:rsid w:val="002C1CCD"/>
    <w:rsid w:val="00326B9A"/>
    <w:rsid w:val="003419A6"/>
    <w:rsid w:val="00374627"/>
    <w:rsid w:val="00395724"/>
    <w:rsid w:val="003A5B03"/>
    <w:rsid w:val="003B0C04"/>
    <w:rsid w:val="003E73CA"/>
    <w:rsid w:val="00410130"/>
    <w:rsid w:val="00440E5A"/>
    <w:rsid w:val="004600F0"/>
    <w:rsid w:val="00472DF3"/>
    <w:rsid w:val="004754D9"/>
    <w:rsid w:val="00486C08"/>
    <w:rsid w:val="0049244F"/>
    <w:rsid w:val="004A22F3"/>
    <w:rsid w:val="004B03AA"/>
    <w:rsid w:val="004D159C"/>
    <w:rsid w:val="004E6950"/>
    <w:rsid w:val="004F2C72"/>
    <w:rsid w:val="004F5146"/>
    <w:rsid w:val="004F6992"/>
    <w:rsid w:val="004F73CF"/>
    <w:rsid w:val="004F7C15"/>
    <w:rsid w:val="00517C2F"/>
    <w:rsid w:val="00521450"/>
    <w:rsid w:val="0052389D"/>
    <w:rsid w:val="00562CD4"/>
    <w:rsid w:val="00585117"/>
    <w:rsid w:val="005878EC"/>
    <w:rsid w:val="005904CA"/>
    <w:rsid w:val="005923A0"/>
    <w:rsid w:val="005B2C4B"/>
    <w:rsid w:val="005C2181"/>
    <w:rsid w:val="005F21E7"/>
    <w:rsid w:val="006147EE"/>
    <w:rsid w:val="00627BAA"/>
    <w:rsid w:val="00656B6B"/>
    <w:rsid w:val="00663A09"/>
    <w:rsid w:val="00664F6B"/>
    <w:rsid w:val="006705A0"/>
    <w:rsid w:val="00670B23"/>
    <w:rsid w:val="00671BF1"/>
    <w:rsid w:val="006C07A9"/>
    <w:rsid w:val="006C74E0"/>
    <w:rsid w:val="006E34B5"/>
    <w:rsid w:val="006F3D2E"/>
    <w:rsid w:val="00714DAF"/>
    <w:rsid w:val="00736C32"/>
    <w:rsid w:val="00737182"/>
    <w:rsid w:val="00742353"/>
    <w:rsid w:val="0074377A"/>
    <w:rsid w:val="00743840"/>
    <w:rsid w:val="00751CB1"/>
    <w:rsid w:val="00751D30"/>
    <w:rsid w:val="00763DFF"/>
    <w:rsid w:val="00783F54"/>
    <w:rsid w:val="00791CB8"/>
    <w:rsid w:val="007A59EB"/>
    <w:rsid w:val="007E09BA"/>
    <w:rsid w:val="007F1F05"/>
    <w:rsid w:val="008114F8"/>
    <w:rsid w:val="008363AC"/>
    <w:rsid w:val="008400AA"/>
    <w:rsid w:val="00846CF2"/>
    <w:rsid w:val="00892CA9"/>
    <w:rsid w:val="008A0233"/>
    <w:rsid w:val="008A6D68"/>
    <w:rsid w:val="008B31D6"/>
    <w:rsid w:val="008B7C88"/>
    <w:rsid w:val="008C4C1E"/>
    <w:rsid w:val="008E6A4A"/>
    <w:rsid w:val="008F4AE0"/>
    <w:rsid w:val="008F75D5"/>
    <w:rsid w:val="00907EED"/>
    <w:rsid w:val="00931D6E"/>
    <w:rsid w:val="00933374"/>
    <w:rsid w:val="00952E7B"/>
    <w:rsid w:val="009A125E"/>
    <w:rsid w:val="009A259F"/>
    <w:rsid w:val="009A3514"/>
    <w:rsid w:val="009B2570"/>
    <w:rsid w:val="009B6CB2"/>
    <w:rsid w:val="009C0794"/>
    <w:rsid w:val="009C4F6E"/>
    <w:rsid w:val="009D0AA9"/>
    <w:rsid w:val="009D0DE5"/>
    <w:rsid w:val="009F25F4"/>
    <w:rsid w:val="00A45FE9"/>
    <w:rsid w:val="00A4710A"/>
    <w:rsid w:val="00A50775"/>
    <w:rsid w:val="00A532DF"/>
    <w:rsid w:val="00A75E6E"/>
    <w:rsid w:val="00A84FD4"/>
    <w:rsid w:val="00A8788A"/>
    <w:rsid w:val="00AA3FA9"/>
    <w:rsid w:val="00AB5025"/>
    <w:rsid w:val="00AC41FC"/>
    <w:rsid w:val="00AC744D"/>
    <w:rsid w:val="00B00AFA"/>
    <w:rsid w:val="00B00B3B"/>
    <w:rsid w:val="00B13354"/>
    <w:rsid w:val="00B2625A"/>
    <w:rsid w:val="00B2718F"/>
    <w:rsid w:val="00B35189"/>
    <w:rsid w:val="00B361F3"/>
    <w:rsid w:val="00B37AAA"/>
    <w:rsid w:val="00B47AA7"/>
    <w:rsid w:val="00B55429"/>
    <w:rsid w:val="00B565AF"/>
    <w:rsid w:val="00B57D4D"/>
    <w:rsid w:val="00B63063"/>
    <w:rsid w:val="00B733B2"/>
    <w:rsid w:val="00B74256"/>
    <w:rsid w:val="00B95CE1"/>
    <w:rsid w:val="00BA58AD"/>
    <w:rsid w:val="00BB196D"/>
    <w:rsid w:val="00BB5ECF"/>
    <w:rsid w:val="00BC6C44"/>
    <w:rsid w:val="00C06271"/>
    <w:rsid w:val="00C32679"/>
    <w:rsid w:val="00C34EE8"/>
    <w:rsid w:val="00C3662D"/>
    <w:rsid w:val="00C37B97"/>
    <w:rsid w:val="00C62A32"/>
    <w:rsid w:val="00C67D93"/>
    <w:rsid w:val="00C76518"/>
    <w:rsid w:val="00C77ABF"/>
    <w:rsid w:val="00C86EA0"/>
    <w:rsid w:val="00C876CE"/>
    <w:rsid w:val="00C93C42"/>
    <w:rsid w:val="00CC020A"/>
    <w:rsid w:val="00CC295A"/>
    <w:rsid w:val="00CD2DF6"/>
    <w:rsid w:val="00CD6B3C"/>
    <w:rsid w:val="00D009C9"/>
    <w:rsid w:val="00D107EF"/>
    <w:rsid w:val="00D36478"/>
    <w:rsid w:val="00D85B75"/>
    <w:rsid w:val="00D96EBB"/>
    <w:rsid w:val="00DA03FD"/>
    <w:rsid w:val="00DA5798"/>
    <w:rsid w:val="00DC6301"/>
    <w:rsid w:val="00DE598D"/>
    <w:rsid w:val="00E01AB1"/>
    <w:rsid w:val="00E0382E"/>
    <w:rsid w:val="00E03E36"/>
    <w:rsid w:val="00E07F5A"/>
    <w:rsid w:val="00E1011B"/>
    <w:rsid w:val="00E33277"/>
    <w:rsid w:val="00E922ED"/>
    <w:rsid w:val="00EA0704"/>
    <w:rsid w:val="00EC22A8"/>
    <w:rsid w:val="00ED6078"/>
    <w:rsid w:val="00EF0379"/>
    <w:rsid w:val="00F162BB"/>
    <w:rsid w:val="00F3797E"/>
    <w:rsid w:val="00F47B52"/>
    <w:rsid w:val="00F82FA0"/>
    <w:rsid w:val="00F9573B"/>
    <w:rsid w:val="00FC20E9"/>
    <w:rsid w:val="00FD0101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D0B03C7"/>
  <w14:defaultImageDpi w14:val="32767"/>
  <w15:chartTrackingRefBased/>
  <w15:docId w15:val="{B2A1A599-0F01-B94B-BE11-6DED6921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4F6E"/>
    <w:rPr>
      <w:rFonts w:ascii="Times New Roman" w:eastAsia="MS Mincho" w:hAnsi="Times New Roman" w:cs="Mangal"/>
      <w:lang w:eastAsia="fr-FR" w:bidi="hi-I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C4F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C4F6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ar"/>
    <w:rsid w:val="009C4F6E"/>
    <w:pPr>
      <w:jc w:val="center"/>
    </w:pPr>
    <w:rPr>
      <w:rFonts w:cs="Times New Roman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C4F6E"/>
    <w:rPr>
      <w:rFonts w:ascii="Times New Roman" w:eastAsia="MS Mincho" w:hAnsi="Times New Roman" w:cs="Times New Roman"/>
      <w:lang w:eastAsia="fr-FR" w:bidi="hi-IN"/>
    </w:rPr>
  </w:style>
  <w:style w:type="paragraph" w:customStyle="1" w:styleId="EndNoteBibliography">
    <w:name w:val="EndNote Bibliography"/>
    <w:basedOn w:val="Normal"/>
    <w:link w:val="EndNoteBibliographyCar"/>
    <w:rsid w:val="009C4F6E"/>
    <w:rPr>
      <w:rFonts w:cs="Times New Roman"/>
    </w:rPr>
  </w:style>
  <w:style w:type="character" w:customStyle="1" w:styleId="EndNoteBibliographyCar">
    <w:name w:val="EndNote Bibliography Car"/>
    <w:basedOn w:val="Policepardfaut"/>
    <w:link w:val="EndNoteBibliography"/>
    <w:rsid w:val="009C4F6E"/>
    <w:rPr>
      <w:rFonts w:ascii="Times New Roman" w:eastAsia="MS Mincho" w:hAnsi="Times New Roman" w:cs="Times New Roman"/>
      <w:lang w:eastAsia="fr-F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994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Johri</dc:creator>
  <cp:keywords/>
  <dc:description/>
  <cp:lastModifiedBy>Mira Johri</cp:lastModifiedBy>
  <cp:revision>1</cp:revision>
  <dcterms:created xsi:type="dcterms:W3CDTF">2018-12-24T09:30:00Z</dcterms:created>
  <dcterms:modified xsi:type="dcterms:W3CDTF">2018-12-24T09:31:00Z</dcterms:modified>
</cp:coreProperties>
</file>