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AB" w:rsidRDefault="003D7BAB" w:rsidP="003D7BAB">
      <w:p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S</w:t>
      </w:r>
      <w:r w:rsidR="00BC7D4E">
        <w:rPr>
          <w:rFonts w:cs="Arial"/>
          <w:lang w:val="en-US"/>
        </w:rPr>
        <w:t>3</w:t>
      </w:r>
      <w:r>
        <w:rPr>
          <w:rFonts w:cs="Arial"/>
          <w:lang w:val="en-US"/>
        </w:rPr>
        <w:t xml:space="preserve"> table. Yearly change in absolute and in percentage of estimated baseline for gas exchange, peak minute ventilation and heart rate and ratio between peak minute ventilation and maximal voluntary ventilation.</w:t>
      </w:r>
    </w:p>
    <w:tbl>
      <w:tblPr>
        <w:tblW w:w="14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417"/>
        <w:gridCol w:w="1434"/>
        <w:gridCol w:w="1416"/>
        <w:gridCol w:w="1576"/>
        <w:gridCol w:w="1416"/>
        <w:gridCol w:w="1576"/>
        <w:gridCol w:w="1259"/>
        <w:gridCol w:w="1529"/>
      </w:tblGrid>
      <w:tr w:rsidR="003D7BAB" w:rsidRPr="009048ED" w:rsidTr="00B85E26">
        <w:trPr>
          <w:trHeight w:val="298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B" w:rsidRPr="007841BE" w:rsidRDefault="003D7BAB" w:rsidP="00B85E2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nl-BE"/>
              </w:rPr>
            </w:pPr>
            <w:r w:rsidRPr="007841BE">
              <w:rPr>
                <w:rFonts w:eastAsia="Times New Roman" w:cs="Times New Roman"/>
                <w:color w:val="000000"/>
                <w:lang w:val="en-US" w:eastAsia="nl-BE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B" w:rsidRPr="0068334A" w:rsidRDefault="00D41712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Airflow obstruction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Smoking control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 xml:space="preserve">Never </w:t>
            </w: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smoking control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ANOVA p </w:t>
            </w:r>
          </w:p>
        </w:tc>
      </w:tr>
      <w:tr w:rsidR="003D7BAB" w:rsidRPr="0068334A" w:rsidTr="00B85E26">
        <w:trPr>
          <w:trHeight w:val="29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B" w:rsidRPr="0068334A" w:rsidRDefault="003D7BAB" w:rsidP="00B85E2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nl-BE"/>
              </w:rPr>
            </w:pP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change/year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%change/year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change/year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% change/year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change/ye</w:t>
            </w:r>
            <w:r w:rsidRPr="0068334A">
              <w:rPr>
                <w:rFonts w:eastAsia="Times New Roman" w:cs="Times New Roman"/>
                <w:color w:val="000000"/>
                <w:lang w:eastAsia="nl-BE"/>
              </w:rPr>
              <w:t>ar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% change/year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change/year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% change/year</w:t>
            </w:r>
          </w:p>
        </w:tc>
      </w:tr>
      <w:tr w:rsidR="00DB0BF2" w:rsidRPr="001974D0" w:rsidTr="00DB0BF2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BF2" w:rsidRPr="0068334A" w:rsidRDefault="00DB0BF2" w:rsidP="00DB0B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Cardiovascular fitness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BF2" w:rsidRDefault="00DB0BF2" w:rsidP="00DB0B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DB0BF2" w:rsidRPr="0068334A" w:rsidRDefault="00DB0BF2" w:rsidP="00DB0B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BF2" w:rsidRDefault="00DB0BF2" w:rsidP="00DB0B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DB0BF2" w:rsidRDefault="00DB0BF2" w:rsidP="00DB0B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BF2" w:rsidRDefault="00DB0BF2" w:rsidP="00DB0B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DB0BF2" w:rsidRPr="0068334A" w:rsidRDefault="00DB0BF2" w:rsidP="00DB0B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BF2" w:rsidRPr="0068334A" w:rsidRDefault="00DB0BF2" w:rsidP="00DB0B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DB0BF2" w:rsidRDefault="00DB0BF2" w:rsidP="00DB0B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</w:p>
        </w:tc>
      </w:tr>
      <w:tr w:rsidR="00DB0BF2" w:rsidRPr="001974D0" w:rsidTr="00F063E9">
        <w:trPr>
          <w:trHeight w:val="2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VO</w:t>
            </w:r>
            <w:r w:rsidRPr="0068334A">
              <w:rPr>
                <w:rFonts w:eastAsia="Times New Roman" w:cs="Times New Roman"/>
                <w:color w:val="000000"/>
                <w:vertAlign w:val="subscript"/>
                <w:lang w:eastAsia="nl-BE"/>
              </w:rPr>
              <w:t>2</w:t>
            </w:r>
            <w:r w:rsidRPr="0068334A">
              <w:rPr>
                <w:rFonts w:eastAsia="Times New Roman" w:cs="Times New Roman"/>
                <w:color w:val="000000"/>
                <w:lang w:eastAsia="nl-BE"/>
              </w:rPr>
              <w:t>peak (</w:t>
            </w:r>
            <w:r>
              <w:rPr>
                <w:rFonts w:eastAsia="Times New Roman" w:cs="Times New Roman"/>
                <w:color w:val="000000"/>
                <w:lang w:eastAsia="nl-BE"/>
              </w:rPr>
              <w:t>m</w:t>
            </w:r>
            <w:r w:rsidRPr="0068334A">
              <w:rPr>
                <w:rFonts w:eastAsia="Times New Roman" w:cs="Times New Roman"/>
                <w:color w:val="000000"/>
                <w:lang w:eastAsia="nl-BE"/>
              </w:rPr>
              <w:t>l/min)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-67±</w:t>
            </w:r>
            <w:r w:rsidRPr="0068334A">
              <w:rPr>
                <w:rFonts w:eastAsia="Times New Roman" w:cs="Times New Roman"/>
                <w:color w:val="000000"/>
                <w:lang w:eastAsia="nl-BE"/>
              </w:rPr>
              <w:t>5</w:t>
            </w:r>
            <w:r>
              <w:rPr>
                <w:rFonts w:eastAsia="Times New Roman" w:cs="Times New Roman"/>
                <w:color w:val="000000"/>
                <w:lang w:eastAsia="nl-BE"/>
              </w:rPr>
              <w:t>5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-</w:t>
            </w:r>
            <w:r>
              <w:rPr>
                <w:rFonts w:eastAsia="Times New Roman" w:cs="Times New Roman"/>
                <w:color w:val="000000"/>
                <w:lang w:eastAsia="nl-BE"/>
              </w:rPr>
              <w:t>3</w:t>
            </w:r>
            <w:r w:rsidRPr="0068334A">
              <w:rPr>
                <w:rFonts w:eastAsia="Times New Roman" w:cs="Times New Roman"/>
                <w:color w:val="000000"/>
                <w:lang w:eastAsia="nl-BE"/>
              </w:rPr>
              <w:t>.</w:t>
            </w:r>
            <w:r>
              <w:rPr>
                <w:rFonts w:eastAsia="Times New Roman" w:cs="Times New Roman"/>
                <w:color w:val="000000"/>
                <w:lang w:eastAsia="nl-BE"/>
              </w:rPr>
              <w:t>0±2.2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-76</w:t>
            </w:r>
            <w:r w:rsidRPr="0068334A">
              <w:rPr>
                <w:rFonts w:eastAsia="Times New Roman" w:cs="Times New Roman"/>
                <w:color w:val="000000"/>
                <w:lang w:eastAsia="nl-BE"/>
              </w:rPr>
              <w:t>±</w:t>
            </w:r>
            <w:r>
              <w:rPr>
                <w:rFonts w:eastAsia="Times New Roman" w:cs="Times New Roman"/>
                <w:color w:val="000000"/>
                <w:lang w:eastAsia="nl-BE"/>
              </w:rPr>
              <w:t>59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-3.3±2.3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1974D0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-58</w:t>
            </w:r>
            <w:r w:rsidRPr="001974D0">
              <w:rPr>
                <w:rFonts w:eastAsia="Times New Roman" w:cs="Times New Roman"/>
                <w:color w:val="000000"/>
                <w:lang w:val="en-US" w:eastAsia="nl-BE"/>
              </w:rPr>
              <w:t>±</w:t>
            </w:r>
            <w:r>
              <w:rPr>
                <w:rFonts w:eastAsia="Times New Roman" w:cs="Times New Roman"/>
                <w:color w:val="000000"/>
                <w:lang w:val="en-US" w:eastAsia="nl-BE"/>
              </w:rPr>
              <w:t>63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-2.4±2.6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0.3</w:t>
            </w:r>
            <w:r>
              <w:rPr>
                <w:rFonts w:eastAsia="Times New Roman" w:cs="Times New Roman"/>
                <w:color w:val="000000"/>
                <w:lang w:val="en-US" w:eastAsia="nl-BE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0.18</w:t>
            </w:r>
          </w:p>
        </w:tc>
      </w:tr>
      <w:tr w:rsidR="003D7BAB" w:rsidRPr="001974D0" w:rsidTr="00B85E26">
        <w:trPr>
          <w:trHeight w:val="2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B" w:rsidRPr="0068334A" w:rsidRDefault="003D7BAB" w:rsidP="00B85E2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nl-BE"/>
              </w:rPr>
            </w:pP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VO</w:t>
            </w:r>
            <w:r w:rsidRPr="0068334A">
              <w:rPr>
                <w:rFonts w:eastAsia="Times New Roman" w:cs="Times New Roman"/>
                <w:color w:val="000000"/>
                <w:vertAlign w:val="subscript"/>
                <w:lang w:val="en-US" w:eastAsia="nl-BE"/>
              </w:rPr>
              <w:t>2</w:t>
            </w: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peak (ml/min/kg)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-0.79</w:t>
            </w:r>
            <w:r w:rsidR="00200AF0">
              <w:rPr>
                <w:rFonts w:eastAsia="Times New Roman" w:cs="Times New Roman"/>
                <w:color w:val="000000"/>
                <w:lang w:val="en-US" w:eastAsia="nl-BE"/>
              </w:rPr>
              <w:t>±0.69</w:t>
            </w:r>
            <w:r w:rsidR="00200AF0"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-2.</w:t>
            </w:r>
            <w:r>
              <w:rPr>
                <w:rFonts w:eastAsia="Times New Roman" w:cs="Times New Roman"/>
                <w:color w:val="000000"/>
                <w:lang w:val="en-US" w:eastAsia="nl-BE"/>
              </w:rPr>
              <w:t>8</w:t>
            </w:r>
            <w:r w:rsidR="00200AF0">
              <w:rPr>
                <w:rFonts w:eastAsia="Times New Roman" w:cs="Times New Roman"/>
                <w:color w:val="000000"/>
                <w:lang w:val="en-US" w:eastAsia="nl-BE"/>
              </w:rPr>
              <w:t>±2.3</w:t>
            </w:r>
            <w:r w:rsidR="00200AF0"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B" w:rsidRPr="0068334A" w:rsidRDefault="003D7BAB" w:rsidP="00200A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-1.04±0.8</w:t>
            </w:r>
            <w:r>
              <w:rPr>
                <w:rFonts w:eastAsia="Times New Roman" w:cs="Times New Roman"/>
                <w:color w:val="000000"/>
                <w:lang w:val="en-US" w:eastAsia="nl-BE"/>
              </w:rPr>
              <w:t>3</w:t>
            </w:r>
            <w:r w:rsidR="00200AF0"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-</w:t>
            </w:r>
            <w:r w:rsidR="00200AF0">
              <w:rPr>
                <w:rFonts w:eastAsia="Times New Roman" w:cs="Times New Roman"/>
                <w:color w:val="000000"/>
                <w:lang w:val="en-US" w:eastAsia="nl-BE"/>
              </w:rPr>
              <w:t>3.3±2.4</w:t>
            </w:r>
            <w:r w:rsidR="00200AF0"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B" w:rsidRPr="0068334A" w:rsidRDefault="003D7BAB" w:rsidP="00200A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-0.81±0.95</w:t>
            </w:r>
            <w:r w:rsidR="00200AF0"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-</w:t>
            </w:r>
            <w:r w:rsidR="00200AF0">
              <w:rPr>
                <w:rFonts w:eastAsia="Times New Roman" w:cs="Times New Roman"/>
                <w:color w:val="000000"/>
                <w:lang w:val="en-US" w:eastAsia="nl-BE"/>
              </w:rPr>
              <w:t>2.4±2.7</w:t>
            </w:r>
            <w:r w:rsidR="00200AF0"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0.32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0.1</w:t>
            </w:r>
            <w:r>
              <w:rPr>
                <w:rFonts w:eastAsia="Times New Roman" w:cs="Times New Roman"/>
                <w:color w:val="000000"/>
                <w:lang w:val="en-US" w:eastAsia="nl-BE"/>
              </w:rPr>
              <w:t>9</w:t>
            </w:r>
          </w:p>
        </w:tc>
      </w:tr>
      <w:tr w:rsidR="00DB0BF2" w:rsidRPr="0068334A" w:rsidTr="00F063E9">
        <w:trPr>
          <w:trHeight w:val="298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H</w:t>
            </w:r>
            <w:r>
              <w:rPr>
                <w:rFonts w:eastAsia="Times New Roman" w:cs="Times New Roman"/>
                <w:color w:val="000000"/>
                <w:lang w:eastAsia="nl-BE"/>
              </w:rPr>
              <w:t>R</w:t>
            </w:r>
            <w:r w:rsidRPr="0068334A">
              <w:rPr>
                <w:rFonts w:eastAsia="Times New Roman" w:cs="Times New Roman"/>
                <w:color w:val="000000"/>
                <w:lang w:eastAsia="nl-BE"/>
              </w:rPr>
              <w:t>peak</w:t>
            </w:r>
            <w:r>
              <w:rPr>
                <w:rFonts w:eastAsia="Times New Roman" w:cs="Times New Roman"/>
                <w:color w:val="000000"/>
                <w:lang w:eastAsia="nl-BE"/>
              </w:rPr>
              <w:t xml:space="preserve"> (beats/min)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-2.95±2.</w:t>
            </w:r>
            <w:r>
              <w:rPr>
                <w:rFonts w:eastAsia="Times New Roman" w:cs="Times New Roman"/>
                <w:color w:val="000000"/>
                <w:lang w:eastAsia="nl-BE"/>
              </w:rPr>
              <w:t>79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-2.0±2.0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-2.5</w:t>
            </w:r>
            <w:r>
              <w:rPr>
                <w:rFonts w:eastAsia="Times New Roman" w:cs="Times New Roman"/>
                <w:color w:val="000000"/>
                <w:lang w:eastAsia="nl-BE"/>
              </w:rPr>
              <w:t>3±2.25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-1.7±1.5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-1.62±2.73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  <w:r w:rsidRPr="001E3F45">
              <w:rPr>
                <w:rFonts w:eastAsia="Times New Roman"/>
                <w:color w:val="000000"/>
                <w:sz w:val="20"/>
                <w:vertAlign w:val="superscript"/>
                <w:lang w:val="en-US" w:eastAsia="nl-BE"/>
              </w:rPr>
              <w:t>#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-</w:t>
            </w:r>
            <w:r>
              <w:rPr>
                <w:rFonts w:eastAsia="Times New Roman" w:cs="Times New Roman"/>
                <w:color w:val="000000"/>
                <w:lang w:eastAsia="nl-BE"/>
              </w:rPr>
              <w:t>1.0±1.8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  <w:r w:rsidRPr="001E3F45">
              <w:rPr>
                <w:rFonts w:eastAsia="Times New Roman"/>
                <w:color w:val="000000"/>
                <w:sz w:val="20"/>
                <w:vertAlign w:val="superscript"/>
                <w:lang w:val="en-US" w:eastAsia="nl-BE"/>
              </w:rPr>
              <w:t>#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0.04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0.02</w:t>
            </w:r>
          </w:p>
        </w:tc>
      </w:tr>
      <w:tr w:rsidR="00DB0BF2" w:rsidRPr="007841BE" w:rsidTr="00F063E9">
        <w:trPr>
          <w:trHeight w:val="298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9048ED" w:rsidRDefault="00DB0BF2" w:rsidP="00F063E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nl-BE"/>
              </w:rPr>
            </w:pPr>
            <w:r w:rsidRPr="009048ED">
              <w:rPr>
                <w:rFonts w:eastAsia="Times New Roman" w:cs="Times New Roman"/>
                <w:color w:val="000000"/>
                <w:lang w:val="en-US" w:eastAsia="nl-BE"/>
              </w:rPr>
              <w:t xml:space="preserve">HRpeak (beats/min) - </w:t>
            </w:r>
            <w:r>
              <w:rPr>
                <w:rFonts w:ascii="Calibri" w:eastAsia="Times New Roman" w:hAnsi="Calibri" w:cs="Times New Roman"/>
                <w:color w:val="000000"/>
                <w:lang w:val="en-US" w:eastAsia="nl-BE"/>
              </w:rPr>
              <w:t>no βBlocker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-3.18±2.54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-2.2±1.8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-</w:t>
            </w:r>
            <w:r>
              <w:rPr>
                <w:rFonts w:eastAsia="Times New Roman" w:cs="Times New Roman"/>
                <w:color w:val="000000"/>
                <w:lang w:eastAsia="nl-BE"/>
              </w:rPr>
              <w:t>2.42±2.04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-1.</w:t>
            </w:r>
            <w:r>
              <w:rPr>
                <w:rFonts w:eastAsia="Times New Roman" w:cs="Times New Roman"/>
                <w:color w:val="000000"/>
                <w:lang w:eastAsia="nl-BE"/>
              </w:rPr>
              <w:t>5±1.3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-1.39±2.24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  <w:r w:rsidRPr="001E3F45">
              <w:rPr>
                <w:rFonts w:eastAsia="Times New Roman"/>
                <w:color w:val="000000"/>
                <w:sz w:val="20"/>
                <w:vertAlign w:val="superscript"/>
                <w:lang w:val="en-US" w:eastAsia="nl-BE"/>
              </w:rPr>
              <w:t>#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-0.9±1.4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  <w:r w:rsidRPr="001E3F45">
              <w:rPr>
                <w:rFonts w:eastAsia="Times New Roman"/>
                <w:color w:val="000000"/>
                <w:sz w:val="20"/>
                <w:vertAlign w:val="superscript"/>
                <w:lang w:val="en-US" w:eastAsia="nl-BE"/>
              </w:rPr>
              <w:t>#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&lt;0.01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B0BF2" w:rsidRPr="007841BE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&lt;0.01</w:t>
            </w:r>
          </w:p>
        </w:tc>
      </w:tr>
      <w:tr w:rsidR="00DB0BF2" w:rsidRPr="0068334A" w:rsidTr="00F063E9">
        <w:trPr>
          <w:trHeight w:val="2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nl-BE"/>
              </w:rPr>
            </w:pP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OUES</w:t>
            </w:r>
            <w:r>
              <w:rPr>
                <w:rFonts w:eastAsia="Times New Roman" w:cs="Times New Roman"/>
                <w:color w:val="000000"/>
                <w:lang w:val="en-US" w:eastAsia="nl-BE"/>
              </w:rPr>
              <w:t xml:space="preserve"> (slope)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-3</w:t>
            </w:r>
            <w:r>
              <w:rPr>
                <w:rFonts w:eastAsia="Times New Roman" w:cs="Times New Roman"/>
                <w:color w:val="000000"/>
                <w:lang w:val="en-US" w:eastAsia="nl-BE"/>
              </w:rPr>
              <w:t>2</w:t>
            </w: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±</w:t>
            </w:r>
            <w:r>
              <w:rPr>
                <w:rFonts w:eastAsia="Times New Roman" w:cs="Times New Roman"/>
                <w:color w:val="000000"/>
                <w:lang w:val="en-US" w:eastAsia="nl-BE"/>
              </w:rPr>
              <w:t>62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-1.</w:t>
            </w:r>
            <w:r>
              <w:rPr>
                <w:rFonts w:eastAsia="Times New Roman" w:cs="Times New Roman"/>
                <w:color w:val="000000"/>
                <w:lang w:val="en-US" w:eastAsia="nl-BE"/>
              </w:rPr>
              <w:t>1</w:t>
            </w: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±2.</w:t>
            </w:r>
            <w:r>
              <w:rPr>
                <w:rFonts w:eastAsia="Times New Roman" w:cs="Times New Roman"/>
                <w:color w:val="000000"/>
                <w:lang w:val="en-US" w:eastAsia="nl-BE"/>
              </w:rPr>
              <w:t>7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-6</w:t>
            </w:r>
            <w:r>
              <w:rPr>
                <w:rFonts w:eastAsia="Times New Roman" w:cs="Times New Roman"/>
                <w:color w:val="000000"/>
                <w:lang w:eastAsia="nl-BE"/>
              </w:rPr>
              <w:t>7±63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-2.3±2.0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-69±88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¥#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-2.3±3.0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0</w:t>
            </w:r>
            <w:r>
              <w:rPr>
                <w:rFonts w:eastAsia="Times New Roman" w:cs="Times New Roman"/>
                <w:color w:val="000000"/>
                <w:lang w:eastAsia="nl-BE"/>
              </w:rPr>
              <w:t>.04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0.</w:t>
            </w:r>
            <w:r>
              <w:rPr>
                <w:rFonts w:eastAsia="Times New Roman" w:cs="Times New Roman"/>
                <w:color w:val="000000"/>
                <w:lang w:eastAsia="nl-BE"/>
              </w:rPr>
              <w:t>05</w:t>
            </w:r>
          </w:p>
        </w:tc>
      </w:tr>
      <w:tr w:rsidR="00DB0BF2" w:rsidRPr="001974D0" w:rsidTr="00DB0BF2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BF2" w:rsidRPr="0068334A" w:rsidRDefault="00DB0BF2" w:rsidP="00DB0B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Pulmonary ventilation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BF2" w:rsidRDefault="00DB0BF2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DB0BF2" w:rsidRPr="0068334A" w:rsidRDefault="00DB0BF2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BF2" w:rsidRPr="0068334A" w:rsidRDefault="00DB0BF2" w:rsidP="00200A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DB0BF2" w:rsidRPr="0068334A" w:rsidRDefault="00DB0BF2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BF2" w:rsidRPr="0068334A" w:rsidRDefault="00DB0BF2" w:rsidP="00200A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DB0BF2" w:rsidRPr="0068334A" w:rsidRDefault="00DB0BF2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BF2" w:rsidRDefault="00DB0BF2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DB0BF2" w:rsidRPr="0068334A" w:rsidRDefault="00DB0BF2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</w:p>
        </w:tc>
      </w:tr>
      <w:tr w:rsidR="00DB0BF2" w:rsidRPr="0068334A" w:rsidTr="00F063E9">
        <w:trPr>
          <w:trHeight w:val="2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BF2" w:rsidRPr="0068334A" w:rsidRDefault="00DB0BF2" w:rsidP="00F063E9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 xml:space="preserve">VEpeak </w:t>
            </w:r>
            <w:r>
              <w:rPr>
                <w:rFonts w:ascii="Calibri" w:eastAsia="Times New Roman" w:hAnsi="Calibri" w:cs="Times New Roman"/>
                <w:color w:val="000000"/>
                <w:lang w:val="en-US" w:eastAsia="nl-BE"/>
              </w:rPr>
              <w:t>(l/min)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-3.25</w:t>
            </w:r>
            <w:r w:rsidRPr="0068334A">
              <w:rPr>
                <w:rFonts w:eastAsia="Times New Roman" w:cs="Times New Roman"/>
                <w:color w:val="000000"/>
                <w:lang w:eastAsia="nl-BE"/>
              </w:rPr>
              <w:t>±</w:t>
            </w:r>
            <w:r>
              <w:rPr>
                <w:rFonts w:eastAsia="Times New Roman" w:cs="Times New Roman"/>
                <w:color w:val="000000"/>
                <w:lang w:eastAsia="nl-BE"/>
              </w:rPr>
              <w:t>2.91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-3.7</w:t>
            </w:r>
            <w:r w:rsidRPr="0068334A">
              <w:rPr>
                <w:rFonts w:eastAsia="Times New Roman" w:cs="Times New Roman"/>
                <w:color w:val="000000"/>
                <w:lang w:eastAsia="nl-BE"/>
              </w:rPr>
              <w:t>±</w:t>
            </w:r>
            <w:r>
              <w:rPr>
                <w:rFonts w:eastAsia="Times New Roman" w:cs="Times New Roman"/>
                <w:color w:val="000000"/>
                <w:lang w:eastAsia="nl-BE"/>
              </w:rPr>
              <w:t>2.8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-2.85</w:t>
            </w:r>
            <w:r w:rsidRPr="0068334A">
              <w:rPr>
                <w:rFonts w:eastAsia="Times New Roman" w:cs="Times New Roman"/>
                <w:color w:val="000000"/>
                <w:lang w:eastAsia="nl-BE"/>
              </w:rPr>
              <w:t>±</w:t>
            </w:r>
            <w:r>
              <w:rPr>
                <w:rFonts w:eastAsia="Times New Roman" w:cs="Times New Roman"/>
                <w:color w:val="000000"/>
                <w:lang w:eastAsia="nl-BE"/>
              </w:rPr>
              <w:t>2.37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-3.5</w:t>
            </w:r>
            <w:r w:rsidRPr="0068334A">
              <w:rPr>
                <w:rFonts w:eastAsia="Times New Roman" w:cs="Times New Roman"/>
                <w:color w:val="000000"/>
                <w:lang w:eastAsia="nl-BE"/>
              </w:rPr>
              <w:t>±</w:t>
            </w:r>
            <w:r>
              <w:rPr>
                <w:rFonts w:eastAsia="Times New Roman" w:cs="Times New Roman"/>
                <w:color w:val="000000"/>
                <w:lang w:eastAsia="nl-BE"/>
              </w:rPr>
              <w:t>2.7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-2.22</w:t>
            </w:r>
            <w:r w:rsidRPr="0068334A">
              <w:rPr>
                <w:rFonts w:eastAsia="Times New Roman" w:cs="Times New Roman"/>
                <w:color w:val="000000"/>
                <w:lang w:eastAsia="nl-BE"/>
              </w:rPr>
              <w:t>±</w:t>
            </w:r>
            <w:r>
              <w:rPr>
                <w:rFonts w:eastAsia="Times New Roman" w:cs="Times New Roman"/>
                <w:color w:val="000000"/>
                <w:lang w:eastAsia="nl-BE"/>
              </w:rPr>
              <w:t>2.28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-2.7</w:t>
            </w:r>
            <w:r w:rsidRPr="0068334A">
              <w:rPr>
                <w:rFonts w:eastAsia="Times New Roman" w:cs="Times New Roman"/>
                <w:color w:val="000000"/>
                <w:lang w:eastAsia="nl-BE"/>
              </w:rPr>
              <w:t>±</w:t>
            </w:r>
            <w:r>
              <w:rPr>
                <w:rFonts w:eastAsia="Times New Roman" w:cs="Times New Roman"/>
                <w:color w:val="000000"/>
                <w:lang w:eastAsia="nl-BE"/>
              </w:rPr>
              <w:t>2.6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BF2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0.13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0.15</w:t>
            </w:r>
          </w:p>
        </w:tc>
      </w:tr>
      <w:tr w:rsidR="00DB0BF2" w:rsidRPr="0068334A" w:rsidTr="00F063E9">
        <w:trPr>
          <w:trHeight w:val="2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BF2" w:rsidRPr="0068334A" w:rsidRDefault="00DB0BF2" w:rsidP="00F063E9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VE/MVV (%)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-1.4</w:t>
            </w:r>
            <w:r w:rsidRPr="0068334A">
              <w:rPr>
                <w:rFonts w:eastAsia="Times New Roman" w:cs="Times New Roman"/>
                <w:color w:val="000000"/>
                <w:lang w:eastAsia="nl-BE"/>
              </w:rPr>
              <w:t>±</w:t>
            </w:r>
            <w:r>
              <w:rPr>
                <w:rFonts w:eastAsia="Times New Roman" w:cs="Times New Roman"/>
                <w:color w:val="000000"/>
                <w:lang w:eastAsia="nl-BE"/>
              </w:rPr>
              <w:t>2.9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-1.5</w:t>
            </w:r>
            <w:r w:rsidRPr="0068334A">
              <w:rPr>
                <w:rFonts w:eastAsia="Times New Roman" w:cs="Times New Roman"/>
                <w:color w:val="000000"/>
                <w:lang w:eastAsia="nl-BE"/>
              </w:rPr>
              <w:t>±</w:t>
            </w:r>
            <w:r>
              <w:rPr>
                <w:rFonts w:eastAsia="Times New Roman" w:cs="Times New Roman"/>
                <w:color w:val="000000"/>
                <w:lang w:eastAsia="nl-BE"/>
              </w:rPr>
              <w:t>4.0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-1.3</w:t>
            </w:r>
            <w:r w:rsidRPr="0068334A">
              <w:rPr>
                <w:rFonts w:eastAsia="Times New Roman" w:cs="Times New Roman"/>
                <w:color w:val="000000"/>
                <w:lang w:eastAsia="nl-BE"/>
              </w:rPr>
              <w:t>±</w:t>
            </w:r>
            <w:r>
              <w:rPr>
                <w:rFonts w:eastAsia="Times New Roman" w:cs="Times New Roman"/>
                <w:color w:val="000000"/>
                <w:lang w:eastAsia="nl-BE"/>
              </w:rPr>
              <w:t>2.4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-1.8</w:t>
            </w:r>
            <w:r w:rsidRPr="0068334A">
              <w:rPr>
                <w:rFonts w:eastAsia="Times New Roman" w:cs="Times New Roman"/>
                <w:color w:val="000000"/>
                <w:lang w:eastAsia="nl-BE"/>
              </w:rPr>
              <w:t>±</w:t>
            </w:r>
            <w:r>
              <w:rPr>
                <w:rFonts w:eastAsia="Times New Roman" w:cs="Times New Roman"/>
                <w:color w:val="000000"/>
                <w:lang w:eastAsia="nl-BE"/>
              </w:rPr>
              <w:t>3.6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-0.11</w:t>
            </w:r>
            <w:r w:rsidRPr="0068334A">
              <w:rPr>
                <w:rFonts w:eastAsia="Times New Roman" w:cs="Times New Roman"/>
                <w:color w:val="000000"/>
                <w:lang w:eastAsia="nl-BE"/>
              </w:rPr>
              <w:t>±</w:t>
            </w:r>
            <w:r>
              <w:rPr>
                <w:rFonts w:eastAsia="Times New Roman" w:cs="Times New Roman"/>
                <w:color w:val="000000"/>
                <w:lang w:eastAsia="nl-BE"/>
              </w:rPr>
              <w:t>2.6</w:t>
            </w:r>
            <w:r w:rsidRPr="001E3F45">
              <w:rPr>
                <w:rFonts w:eastAsia="Times New Roman"/>
                <w:color w:val="000000"/>
                <w:sz w:val="20"/>
                <w:vertAlign w:val="superscript"/>
                <w:lang w:val="en-US" w:eastAsia="nl-BE"/>
              </w:rPr>
              <w:t>₤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0.1</w:t>
            </w:r>
            <w:r w:rsidRPr="0068334A">
              <w:rPr>
                <w:rFonts w:eastAsia="Times New Roman" w:cs="Times New Roman"/>
                <w:color w:val="000000"/>
                <w:lang w:eastAsia="nl-BE"/>
              </w:rPr>
              <w:t>±</w:t>
            </w:r>
            <w:r>
              <w:rPr>
                <w:rFonts w:eastAsia="Times New Roman" w:cs="Times New Roman"/>
                <w:color w:val="000000"/>
                <w:lang w:eastAsia="nl-BE"/>
              </w:rPr>
              <w:t>4.4</w:t>
            </w:r>
            <w:r w:rsidRPr="00707EE5">
              <w:rPr>
                <w:rFonts w:eastAsia="Times New Roman"/>
                <w:color w:val="000000"/>
                <w:sz w:val="20"/>
                <w:lang w:val="en-US" w:eastAsia="nl-BE"/>
              </w:rPr>
              <w:t>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BF2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0.03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0.03</w:t>
            </w:r>
          </w:p>
        </w:tc>
      </w:tr>
      <w:tr w:rsidR="00DB0BF2" w:rsidRPr="0068334A" w:rsidTr="00F063E9">
        <w:trPr>
          <w:trHeight w:val="2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∆VE/∆VCO</w:t>
            </w:r>
            <w:r w:rsidRPr="0068334A">
              <w:rPr>
                <w:rFonts w:eastAsia="Times New Roman" w:cs="Times New Roman"/>
                <w:color w:val="000000"/>
                <w:vertAlign w:val="subscript"/>
                <w:lang w:eastAsia="nl-BE"/>
              </w:rPr>
              <w:t>2</w:t>
            </w:r>
            <w:r>
              <w:rPr>
                <w:rFonts w:eastAsia="Times New Roman" w:cs="Times New Roman"/>
                <w:color w:val="000000"/>
                <w:vertAlign w:val="subscript"/>
                <w:lang w:eastAsia="nl-BE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 w:eastAsia="nl-BE"/>
              </w:rPr>
              <w:t>(slope)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0.09±0.41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0.3±1.3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0.11±0.53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0.5±1.9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0.16±0.48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0</w:t>
            </w:r>
            <w:r>
              <w:rPr>
                <w:rFonts w:eastAsia="Times New Roman" w:cs="Times New Roman"/>
                <w:color w:val="000000"/>
                <w:lang w:eastAsia="nl-BE"/>
              </w:rPr>
              <w:t>.8±1.9</w:t>
            </w:r>
            <w:r w:rsidRPr="003D7BAB">
              <w:rPr>
                <w:rFonts w:eastAsia="Times New Roman" w:cs="Times New Roman"/>
                <w:color w:val="000000"/>
                <w:sz w:val="20"/>
                <w:lang w:val="en-US" w:eastAsia="nl-BE"/>
              </w:rPr>
              <w:t>¥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0.75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0.51</w:t>
            </w:r>
          </w:p>
        </w:tc>
      </w:tr>
      <w:tr w:rsidR="00DB0BF2" w:rsidRPr="001974D0" w:rsidTr="00DB0BF2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BF2" w:rsidRPr="0068334A" w:rsidRDefault="00DB0BF2" w:rsidP="00DB0B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Muscle work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BF2" w:rsidRDefault="00DB0BF2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DB0BF2" w:rsidRPr="0068334A" w:rsidRDefault="00DB0BF2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BF2" w:rsidRPr="0068334A" w:rsidRDefault="00DB0BF2" w:rsidP="00200A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DB0BF2" w:rsidRPr="0068334A" w:rsidRDefault="00DB0BF2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BF2" w:rsidRPr="0068334A" w:rsidRDefault="00DB0BF2" w:rsidP="00200A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DB0BF2" w:rsidRPr="0068334A" w:rsidRDefault="00DB0BF2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BF2" w:rsidRDefault="00DB0BF2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DB0BF2" w:rsidRPr="0068334A" w:rsidRDefault="00DB0BF2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</w:p>
        </w:tc>
      </w:tr>
      <w:tr w:rsidR="003D7BAB" w:rsidRPr="001974D0" w:rsidTr="00B85E26">
        <w:trPr>
          <w:trHeight w:val="2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BAB" w:rsidRPr="0068334A" w:rsidRDefault="003D7BAB" w:rsidP="00B85E2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WRpeak (watt)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BAB" w:rsidRPr="0068334A" w:rsidRDefault="003D7BAB" w:rsidP="00200A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-6.3</w:t>
            </w: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±</w:t>
            </w:r>
            <w:r w:rsidR="00200AF0">
              <w:rPr>
                <w:rFonts w:eastAsia="Times New Roman" w:cs="Times New Roman"/>
                <w:color w:val="000000"/>
                <w:lang w:val="en-US" w:eastAsia="nl-BE"/>
              </w:rPr>
              <w:t>4.70</w:t>
            </w:r>
            <w:r w:rsidR="00200AF0"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3D7BAB" w:rsidRPr="0068334A" w:rsidRDefault="00200AF0" w:rsidP="00200A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-4.0</w:t>
            </w:r>
            <w:r w:rsidR="003D7BAB" w:rsidRPr="0068334A">
              <w:rPr>
                <w:rFonts w:eastAsia="Times New Roman" w:cs="Times New Roman"/>
                <w:color w:val="000000"/>
                <w:lang w:val="en-US" w:eastAsia="nl-BE"/>
              </w:rPr>
              <w:t>±</w:t>
            </w:r>
            <w:r w:rsidR="003D7BAB">
              <w:rPr>
                <w:rFonts w:eastAsia="Times New Roman" w:cs="Times New Roman"/>
                <w:color w:val="000000"/>
                <w:lang w:val="en-US" w:eastAsia="nl-BE"/>
              </w:rPr>
              <w:t>2.8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BAB" w:rsidRPr="0068334A" w:rsidRDefault="003D7BAB" w:rsidP="00200A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-6.4</w:t>
            </w: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±</w:t>
            </w:r>
            <w:r w:rsidR="00200AF0">
              <w:rPr>
                <w:rFonts w:eastAsia="Times New Roman" w:cs="Times New Roman"/>
                <w:color w:val="000000"/>
                <w:lang w:val="en-US" w:eastAsia="nl-BE"/>
              </w:rPr>
              <w:t>3.94</w:t>
            </w:r>
            <w:r w:rsidR="00200AF0"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3D7BAB" w:rsidRPr="0068334A" w:rsidRDefault="00200AF0" w:rsidP="00200A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-3.7</w:t>
            </w:r>
            <w:r w:rsidR="003D7BAB" w:rsidRPr="0068334A">
              <w:rPr>
                <w:rFonts w:eastAsia="Times New Roman" w:cs="Times New Roman"/>
                <w:color w:val="000000"/>
                <w:lang w:val="en-US" w:eastAsia="nl-BE"/>
              </w:rPr>
              <w:t>±</w:t>
            </w:r>
            <w:r w:rsidR="003D7BAB">
              <w:rPr>
                <w:rFonts w:eastAsia="Times New Roman" w:cs="Times New Roman"/>
                <w:color w:val="000000"/>
                <w:lang w:val="en-US" w:eastAsia="nl-BE"/>
              </w:rPr>
              <w:t>2.13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BAB" w:rsidRPr="0068334A" w:rsidRDefault="003D7BAB" w:rsidP="00200A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-</w:t>
            </w:r>
            <w:r w:rsidR="00200AF0">
              <w:rPr>
                <w:rFonts w:eastAsia="Times New Roman" w:cs="Times New Roman"/>
                <w:color w:val="000000"/>
                <w:lang w:val="en-US" w:eastAsia="nl-BE"/>
              </w:rPr>
              <w:t>4.2</w:t>
            </w: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±</w:t>
            </w:r>
            <w:r w:rsidR="00200AF0">
              <w:rPr>
                <w:rFonts w:eastAsia="Times New Roman" w:cs="Times New Roman"/>
                <w:color w:val="000000"/>
                <w:lang w:val="en-US" w:eastAsia="nl-BE"/>
              </w:rPr>
              <w:t>3.74</w:t>
            </w:r>
            <w:r w:rsidR="00200AF0"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  <w:r w:rsidR="00200AF0" w:rsidRPr="001E3F45">
              <w:rPr>
                <w:rFonts w:eastAsia="Times New Roman" w:cs="Times New Roman"/>
                <w:color w:val="000000"/>
                <w:vertAlign w:val="superscript"/>
                <w:lang w:val="en-US" w:eastAsia="nl-BE"/>
              </w:rPr>
              <w:t>#</w:t>
            </w:r>
            <w:r w:rsidR="001E3F45" w:rsidRPr="00707EE5">
              <w:rPr>
                <w:rFonts w:eastAsia="Times New Roman"/>
                <w:color w:val="000000"/>
                <w:sz w:val="20"/>
                <w:lang w:val="en-US" w:eastAsia="nl-BE"/>
              </w:rPr>
              <w:t>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3D7BAB" w:rsidRPr="0068334A" w:rsidRDefault="003D7BAB" w:rsidP="00200A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-2.5</w:t>
            </w:r>
            <w:r w:rsidRPr="0068334A">
              <w:rPr>
                <w:rFonts w:eastAsia="Times New Roman" w:cs="Times New Roman"/>
                <w:color w:val="000000"/>
                <w:lang w:val="en-US" w:eastAsia="nl-BE"/>
              </w:rPr>
              <w:t>±</w:t>
            </w:r>
            <w:r>
              <w:rPr>
                <w:rFonts w:eastAsia="Times New Roman" w:cs="Times New Roman"/>
                <w:color w:val="000000"/>
                <w:lang w:val="en-US" w:eastAsia="nl-BE"/>
              </w:rPr>
              <w:t>2.11</w:t>
            </w:r>
            <w:r w:rsidR="00200AF0"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  <w:r w:rsidR="00200AF0" w:rsidRPr="001E3F45">
              <w:rPr>
                <w:rFonts w:eastAsia="Times New Roman" w:cs="Times New Roman"/>
                <w:color w:val="000000"/>
                <w:vertAlign w:val="superscript"/>
                <w:lang w:val="en-US" w:eastAsia="nl-BE"/>
              </w:rPr>
              <w:t>#</w:t>
            </w:r>
            <w:r w:rsidR="00200AF0">
              <w:rPr>
                <w:rFonts w:ascii="Calibri" w:eastAsia="Times New Roman" w:hAnsi="Calibri" w:cs="Times New Roman"/>
                <w:color w:val="000000"/>
                <w:lang w:eastAsia="nl-BE"/>
              </w:rPr>
              <w:t>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BAB" w:rsidRPr="0068334A" w:rsidRDefault="003D7BAB" w:rsidP="00200A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0</w:t>
            </w:r>
            <w:r w:rsidR="00200AF0">
              <w:rPr>
                <w:rFonts w:eastAsia="Times New Roman" w:cs="Times New Roman"/>
                <w:color w:val="000000"/>
                <w:lang w:val="en-US" w:eastAsia="nl-BE"/>
              </w:rPr>
              <w:t>.01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&lt;</w:t>
            </w:r>
            <w:r w:rsidR="00200AF0">
              <w:rPr>
                <w:rFonts w:eastAsia="Times New Roman" w:cs="Times New Roman"/>
                <w:color w:val="000000"/>
                <w:lang w:val="en-US" w:eastAsia="nl-BE"/>
              </w:rPr>
              <w:t>0.01</w:t>
            </w:r>
          </w:p>
        </w:tc>
      </w:tr>
      <w:tr w:rsidR="00DB0BF2" w:rsidRPr="0068334A" w:rsidTr="00F063E9">
        <w:trPr>
          <w:trHeight w:val="2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∆VO</w:t>
            </w:r>
            <w:r w:rsidRPr="0068334A">
              <w:rPr>
                <w:rFonts w:eastAsia="Times New Roman" w:cs="Times New Roman"/>
                <w:color w:val="000000"/>
                <w:vertAlign w:val="subscript"/>
                <w:lang w:eastAsia="nl-BE"/>
              </w:rPr>
              <w:t>2</w:t>
            </w:r>
            <w:r w:rsidRPr="0068334A">
              <w:rPr>
                <w:rFonts w:eastAsia="Times New Roman" w:cs="Times New Roman"/>
                <w:color w:val="000000"/>
                <w:lang w:eastAsia="nl-BE"/>
              </w:rPr>
              <w:t>/∆WR</w:t>
            </w:r>
            <w:r>
              <w:rPr>
                <w:rFonts w:eastAsia="Times New Roman" w:cs="Times New Roman"/>
                <w:color w:val="000000"/>
                <w:lang w:eastAsia="nl-BE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 w:eastAsia="nl-BE"/>
              </w:rPr>
              <w:t>(slope)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0.10±0.35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1.2±3.6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-0.1</w:t>
            </w:r>
            <w:r>
              <w:rPr>
                <w:rFonts w:eastAsia="Times New Roman" w:cs="Times New Roman"/>
                <w:color w:val="000000"/>
                <w:lang w:eastAsia="nl-BE"/>
              </w:rPr>
              <w:t>0</w:t>
            </w:r>
            <w:r w:rsidRPr="0068334A">
              <w:rPr>
                <w:rFonts w:eastAsia="Times New Roman" w:cs="Times New Roman"/>
                <w:color w:val="000000"/>
                <w:lang w:eastAsia="nl-BE"/>
              </w:rPr>
              <w:t>±0.46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-0.6±3.8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0.01±0.33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0.3±3.0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0.07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B0BF2" w:rsidRPr="0068334A" w:rsidRDefault="00DB0BF2" w:rsidP="00F06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0.06</w:t>
            </w:r>
          </w:p>
        </w:tc>
      </w:tr>
      <w:tr w:rsidR="003D7BAB" w:rsidRPr="0068334A" w:rsidTr="00DB0BF2">
        <w:trPr>
          <w:trHeight w:val="340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BAB" w:rsidRPr="0068334A" w:rsidRDefault="00DB0BF2" w:rsidP="00DB0B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Effort indicators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7BAB" w:rsidRPr="0068334A" w:rsidRDefault="003D7BAB" w:rsidP="00200A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</w:p>
        </w:tc>
      </w:tr>
      <w:tr w:rsidR="003D7BAB" w:rsidRPr="0068334A" w:rsidTr="00B85E26">
        <w:trPr>
          <w:trHeight w:val="2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B" w:rsidRPr="0068334A" w:rsidRDefault="003D7BAB" w:rsidP="00B85E26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RER</w:t>
            </w:r>
            <w:r>
              <w:rPr>
                <w:rFonts w:eastAsia="Times New Roman" w:cs="Times New Roman"/>
                <w:color w:val="000000"/>
                <w:lang w:eastAsia="nl-BE"/>
              </w:rPr>
              <w:t>peak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B" w:rsidRPr="0068334A" w:rsidRDefault="003D7BAB" w:rsidP="00200A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-0.01</w:t>
            </w:r>
            <w:r>
              <w:rPr>
                <w:rFonts w:eastAsia="Times New Roman" w:cs="Times New Roman"/>
                <w:color w:val="000000"/>
                <w:lang w:eastAsia="nl-BE"/>
              </w:rPr>
              <w:t>1</w:t>
            </w:r>
            <w:r w:rsidRPr="0068334A">
              <w:rPr>
                <w:rFonts w:eastAsia="Times New Roman" w:cs="Times New Roman"/>
                <w:color w:val="000000"/>
                <w:lang w:eastAsia="nl-BE"/>
              </w:rPr>
              <w:t>±0.02</w:t>
            </w:r>
            <w:r w:rsidR="00200AF0"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-</w:t>
            </w:r>
            <w:r w:rsidR="00200AF0">
              <w:rPr>
                <w:rFonts w:eastAsia="Times New Roman" w:cs="Times New Roman"/>
                <w:color w:val="000000"/>
                <w:lang w:eastAsia="nl-BE"/>
              </w:rPr>
              <w:t>0.9±1.4</w:t>
            </w:r>
            <w:r w:rsidR="00200AF0"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B" w:rsidRPr="0068334A" w:rsidRDefault="003D7BAB" w:rsidP="00200A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-0.006±0.</w:t>
            </w:r>
            <w:r>
              <w:rPr>
                <w:rFonts w:eastAsia="Times New Roman" w:cs="Times New Roman"/>
                <w:color w:val="000000"/>
                <w:lang w:eastAsia="nl-BE"/>
              </w:rPr>
              <w:t>0</w:t>
            </w:r>
            <w:r w:rsidRPr="0068334A">
              <w:rPr>
                <w:rFonts w:eastAsia="Times New Roman" w:cs="Times New Roman"/>
                <w:color w:val="000000"/>
                <w:lang w:eastAsia="nl-BE"/>
              </w:rPr>
              <w:t>2</w:t>
            </w:r>
            <w:r w:rsidR="00200AF0"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-</w:t>
            </w:r>
            <w:r w:rsidR="00200AF0">
              <w:rPr>
                <w:rFonts w:eastAsia="Times New Roman" w:cs="Times New Roman"/>
                <w:color w:val="000000"/>
                <w:lang w:eastAsia="nl-BE"/>
              </w:rPr>
              <w:t>0.5±1.4</w:t>
            </w:r>
            <w:r w:rsidR="00200AF0"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B" w:rsidRPr="0068334A" w:rsidRDefault="00200AF0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-0.006±0.02</w:t>
            </w:r>
            <w:r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-0.4±1.7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0.41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D7BAB" w:rsidRPr="0068334A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68334A">
              <w:rPr>
                <w:rFonts w:eastAsia="Times New Roman" w:cs="Times New Roman"/>
                <w:color w:val="000000"/>
                <w:lang w:eastAsia="nl-BE"/>
              </w:rPr>
              <w:t>0.</w:t>
            </w:r>
            <w:r>
              <w:rPr>
                <w:rFonts w:eastAsia="Times New Roman" w:cs="Times New Roman"/>
                <w:color w:val="000000"/>
                <w:lang w:eastAsia="nl-BE"/>
              </w:rPr>
              <w:t>35</w:t>
            </w:r>
          </w:p>
        </w:tc>
      </w:tr>
      <w:tr w:rsidR="003D7BAB" w:rsidRPr="00944202" w:rsidTr="00B85E26">
        <w:trPr>
          <w:trHeight w:val="298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7BAB" w:rsidRPr="0068334A" w:rsidRDefault="003D7BAB" w:rsidP="00B85E26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Dyspnea (BORG score)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7BAB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-0.06±0.38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3D7BAB" w:rsidRPr="00944202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7BAB" w:rsidRPr="00944202" w:rsidRDefault="003D7BAB" w:rsidP="00200A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 w:rsidRPr="00944202">
              <w:rPr>
                <w:rFonts w:eastAsia="Times New Roman" w:cs="Times New Roman"/>
                <w:color w:val="000000"/>
                <w:lang w:val="en-US" w:eastAsia="nl-BE"/>
              </w:rPr>
              <w:t>-0.14±0.39</w:t>
            </w:r>
            <w:r w:rsidR="00200AF0"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3D7BAB" w:rsidRPr="00944202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7BAB" w:rsidRPr="00944202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-0.09</w:t>
            </w:r>
            <w:r w:rsidRPr="00944202">
              <w:rPr>
                <w:rFonts w:eastAsia="Times New Roman" w:cs="Times New Roman"/>
                <w:color w:val="000000"/>
                <w:lang w:val="en-US" w:eastAsia="nl-BE"/>
              </w:rPr>
              <w:t>±</w:t>
            </w:r>
            <w:r>
              <w:rPr>
                <w:rFonts w:eastAsia="Times New Roman" w:cs="Times New Roman"/>
                <w:color w:val="000000"/>
                <w:lang w:val="en-US" w:eastAsia="nl-BE"/>
              </w:rPr>
              <w:t>0.39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3D7BAB" w:rsidRPr="00944202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7BAB" w:rsidRPr="00944202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0.60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3D7BAB" w:rsidRPr="00944202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-</w:t>
            </w:r>
          </w:p>
        </w:tc>
      </w:tr>
      <w:tr w:rsidR="003D7BAB" w:rsidRPr="00944202" w:rsidTr="00B85E26">
        <w:trPr>
          <w:trHeight w:val="29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BAB" w:rsidRPr="00944202" w:rsidRDefault="003D7BAB" w:rsidP="00B85E2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nl-BE"/>
              </w:rPr>
            </w:pPr>
            <w:r w:rsidRPr="00944202">
              <w:rPr>
                <w:rFonts w:eastAsia="Times New Roman" w:cs="Times New Roman"/>
                <w:color w:val="000000"/>
                <w:lang w:val="en-US" w:eastAsia="nl-BE"/>
              </w:rPr>
              <w:t>Fatigue (BORG score)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BAB" w:rsidRPr="00944202" w:rsidRDefault="003D7BAB" w:rsidP="00200A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-0.14±0.41</w:t>
            </w:r>
            <w:r w:rsidR="00200AF0"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3D7BAB" w:rsidRPr="00944202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BAB" w:rsidRPr="00944202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-0.16</w:t>
            </w:r>
            <w:r w:rsidRPr="00944202">
              <w:rPr>
                <w:rFonts w:eastAsia="Times New Roman" w:cs="Times New Roman"/>
                <w:color w:val="000000"/>
                <w:lang w:val="en-US" w:eastAsia="nl-BE"/>
              </w:rPr>
              <w:t>±</w:t>
            </w:r>
            <w:r w:rsidR="00200AF0">
              <w:rPr>
                <w:rFonts w:eastAsia="Times New Roman" w:cs="Times New Roman"/>
                <w:color w:val="000000"/>
                <w:lang w:val="en-US" w:eastAsia="nl-BE"/>
              </w:rPr>
              <w:t>0.35</w:t>
            </w:r>
            <w:r w:rsidR="00200AF0"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3D7BAB" w:rsidRPr="00944202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BAB" w:rsidRPr="00944202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-0.11</w:t>
            </w:r>
            <w:r w:rsidRPr="00944202">
              <w:rPr>
                <w:rFonts w:eastAsia="Times New Roman" w:cs="Times New Roman"/>
                <w:color w:val="000000"/>
                <w:lang w:val="en-US" w:eastAsia="nl-BE"/>
              </w:rPr>
              <w:t>±</w:t>
            </w:r>
            <w:r w:rsidR="00200AF0">
              <w:rPr>
                <w:rFonts w:eastAsia="Times New Roman" w:cs="Times New Roman"/>
                <w:color w:val="000000"/>
                <w:lang w:val="en-US" w:eastAsia="nl-BE"/>
              </w:rPr>
              <w:t>0.36</w:t>
            </w:r>
            <w:r w:rsidR="00200AF0" w:rsidRPr="001E3F45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nl-BE"/>
              </w:rPr>
              <w:t>¥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3D7BAB" w:rsidRPr="00944202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BAB" w:rsidRPr="00944202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0.77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3D7BAB" w:rsidRPr="00944202" w:rsidRDefault="003D7BAB" w:rsidP="00B85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BE"/>
              </w:rPr>
            </w:pPr>
            <w:r>
              <w:rPr>
                <w:rFonts w:eastAsia="Times New Roman" w:cs="Times New Roman"/>
                <w:color w:val="000000"/>
                <w:lang w:val="en-US" w:eastAsia="nl-BE"/>
              </w:rPr>
              <w:t>-</w:t>
            </w:r>
          </w:p>
        </w:tc>
      </w:tr>
    </w:tbl>
    <w:p w:rsidR="009679C3" w:rsidRPr="000F28D5" w:rsidRDefault="003D7BAB" w:rsidP="00BE78CF">
      <w:pPr>
        <w:spacing w:after="0" w:line="240" w:lineRule="auto"/>
        <w:ind w:right="-1"/>
        <w:jc w:val="both"/>
        <w:rPr>
          <w:rFonts w:ascii="Calibri" w:eastAsia="Times New Roman" w:hAnsi="Calibri" w:cs="Times New Roman"/>
          <w:color w:val="000000"/>
          <w:sz w:val="18"/>
          <w:lang w:val="en-US" w:eastAsia="nl-BE"/>
        </w:rPr>
      </w:pPr>
      <w:r w:rsidRPr="003D7BAB">
        <w:rPr>
          <w:rFonts w:ascii="Calibri" w:eastAsia="Times New Roman" w:hAnsi="Calibri" w:cs="Times New Roman"/>
          <w:color w:val="000000"/>
          <w:sz w:val="20"/>
          <w:lang w:val="en-US" w:eastAsia="nl-BE"/>
        </w:rPr>
        <w:t xml:space="preserve">Data are expressed as mean </w:t>
      </w:r>
      <w:proofErr w:type="spellStart"/>
      <w:r w:rsidRPr="003D7BAB">
        <w:rPr>
          <w:rFonts w:ascii="Calibri" w:eastAsia="Times New Roman" w:hAnsi="Calibri" w:cs="Times New Roman"/>
          <w:color w:val="000000"/>
          <w:sz w:val="20"/>
          <w:lang w:val="en-US" w:eastAsia="nl-BE"/>
        </w:rPr>
        <w:t>estimate</w:t>
      </w:r>
      <w:r w:rsidRPr="003D7BAB">
        <w:rPr>
          <w:rFonts w:eastAsia="Times New Roman" w:cs="Times New Roman"/>
          <w:color w:val="000000"/>
          <w:sz w:val="20"/>
          <w:lang w:val="en-US" w:eastAsia="nl-BE"/>
        </w:rPr>
        <w:t>±SD</w:t>
      </w:r>
      <w:proofErr w:type="spellEnd"/>
      <w:r w:rsidRPr="003D7BAB">
        <w:rPr>
          <w:rFonts w:eastAsia="Times New Roman" w:cs="Times New Roman"/>
          <w:color w:val="000000"/>
          <w:sz w:val="20"/>
          <w:lang w:val="en-US" w:eastAsia="nl-BE"/>
        </w:rPr>
        <w:t>;</w:t>
      </w:r>
      <w:r w:rsidRPr="003D7BAB">
        <w:rPr>
          <w:rFonts w:ascii="Calibri" w:eastAsia="Times New Roman" w:hAnsi="Calibri" w:cs="Times New Roman"/>
          <w:color w:val="000000"/>
          <w:sz w:val="20"/>
          <w:lang w:val="en-US" w:eastAsia="nl-BE"/>
        </w:rPr>
        <w:t xml:space="preserve"> VO</w:t>
      </w:r>
      <w:r w:rsidRPr="003D7BAB">
        <w:rPr>
          <w:rFonts w:ascii="Calibri" w:eastAsia="Times New Roman" w:hAnsi="Calibri" w:cs="Times New Roman"/>
          <w:color w:val="000000"/>
          <w:sz w:val="20"/>
          <w:vertAlign w:val="subscript"/>
          <w:lang w:val="en-US" w:eastAsia="nl-BE"/>
        </w:rPr>
        <w:t>2</w:t>
      </w:r>
      <w:r w:rsidRPr="003D7BAB">
        <w:rPr>
          <w:rFonts w:ascii="Calibri" w:eastAsia="Times New Roman" w:hAnsi="Calibri" w:cs="Times New Roman"/>
          <w:color w:val="000000"/>
          <w:sz w:val="20"/>
          <w:lang w:val="en-US" w:eastAsia="nl-BE"/>
        </w:rPr>
        <w:t xml:space="preserve">peak= peak oxygen uptake, </w:t>
      </w:r>
      <w:r w:rsidR="000F28D5" w:rsidRPr="000F28D5">
        <w:rPr>
          <w:rFonts w:ascii="Calibri" w:eastAsia="Times New Roman" w:hAnsi="Calibri" w:cs="Times New Roman"/>
          <w:color w:val="000000"/>
          <w:sz w:val="20"/>
          <w:lang w:val="en-US" w:eastAsia="nl-BE"/>
        </w:rPr>
        <w:t>ml/min/kg= milliliter p</w:t>
      </w:r>
      <w:r w:rsidR="000F28D5" w:rsidRPr="000F28D5">
        <w:rPr>
          <w:rFonts w:ascii="Calibri" w:eastAsia="Times New Roman" w:hAnsi="Calibri" w:cs="Times New Roman"/>
          <w:color w:val="000000"/>
          <w:sz w:val="20"/>
          <w:szCs w:val="20"/>
          <w:lang w:val="en-US" w:eastAsia="nl-BE"/>
        </w:rPr>
        <w:t xml:space="preserve">er minute per kilogram, </w:t>
      </w:r>
      <w:proofErr w:type="spellStart"/>
      <w:r w:rsidR="000F28D5" w:rsidRPr="000F28D5">
        <w:rPr>
          <w:rFonts w:ascii="Calibri" w:eastAsia="Times New Roman" w:hAnsi="Calibri" w:cs="Times New Roman"/>
          <w:color w:val="000000"/>
          <w:sz w:val="20"/>
          <w:szCs w:val="20"/>
          <w:lang w:val="en-US" w:eastAsia="nl-BE"/>
        </w:rPr>
        <w:t>HRpeak</w:t>
      </w:r>
      <w:proofErr w:type="spellEnd"/>
      <w:r w:rsidR="000F28D5" w:rsidRPr="000F28D5">
        <w:rPr>
          <w:rFonts w:ascii="Calibri" w:eastAsia="Times New Roman" w:hAnsi="Calibri" w:cs="Times New Roman"/>
          <w:color w:val="000000"/>
          <w:sz w:val="20"/>
          <w:szCs w:val="20"/>
          <w:lang w:val="en-US" w:eastAsia="nl-BE"/>
        </w:rPr>
        <w:t>= peak heart rate, ‘no βBlocker’ refers to the subgroups of subjects who were not under beta blocker medication at any of the visits</w:t>
      </w:r>
      <w:r w:rsidR="000F28D5">
        <w:rPr>
          <w:rFonts w:ascii="Calibri" w:eastAsia="Times New Roman" w:hAnsi="Calibri" w:cs="Times New Roman"/>
          <w:color w:val="000000"/>
          <w:sz w:val="20"/>
          <w:szCs w:val="20"/>
          <w:lang w:val="en-US" w:eastAsia="nl-BE"/>
        </w:rPr>
        <w:t xml:space="preserve"> </w:t>
      </w:r>
      <w:r w:rsidR="000F28D5" w:rsidRPr="003D7BAB">
        <w:rPr>
          <w:rFonts w:ascii="Calibri" w:eastAsia="Times New Roman" w:hAnsi="Calibri" w:cs="Times New Roman"/>
          <w:color w:val="000000"/>
          <w:sz w:val="20"/>
          <w:lang w:val="en-US" w:eastAsia="nl-BE"/>
        </w:rPr>
        <w:t>(</w:t>
      </w:r>
      <w:r w:rsidR="000F28D5">
        <w:rPr>
          <w:rFonts w:ascii="Calibri" w:eastAsia="Times New Roman" w:hAnsi="Calibri" w:cs="Times New Roman"/>
          <w:color w:val="000000"/>
          <w:sz w:val="20"/>
          <w:lang w:val="en-US" w:eastAsia="nl-BE"/>
        </w:rPr>
        <w:t>Airflow obstruction</w:t>
      </w:r>
      <w:r w:rsidR="000F28D5" w:rsidRPr="003D7BAB">
        <w:rPr>
          <w:rFonts w:ascii="Calibri" w:eastAsia="Times New Roman" w:hAnsi="Calibri" w:cs="Times New Roman"/>
          <w:color w:val="000000"/>
          <w:sz w:val="20"/>
          <w:lang w:val="en-US" w:eastAsia="nl-BE"/>
        </w:rPr>
        <w:t xml:space="preserve"> n=23, Smoking control n= 32, Never smoking control n = 43)</w:t>
      </w:r>
      <w:r w:rsidR="000F28D5">
        <w:rPr>
          <w:rFonts w:ascii="Calibri" w:eastAsia="Times New Roman" w:hAnsi="Calibri" w:cs="Times New Roman"/>
          <w:color w:val="000000"/>
          <w:sz w:val="20"/>
          <w:lang w:val="en-US" w:eastAsia="nl-BE"/>
        </w:rPr>
        <w:t xml:space="preserve">, </w:t>
      </w:r>
      <w:r w:rsidR="000F28D5" w:rsidRPr="000F28D5">
        <w:rPr>
          <w:rFonts w:ascii="Calibri" w:eastAsia="Times New Roman" w:hAnsi="Calibri" w:cs="Times New Roman"/>
          <w:color w:val="000000"/>
          <w:sz w:val="20"/>
          <w:lang w:val="en-US" w:eastAsia="nl-BE"/>
        </w:rPr>
        <w:t xml:space="preserve">OUES= oxygen efficiency slope, </w:t>
      </w:r>
      <w:proofErr w:type="spellStart"/>
      <w:r w:rsidR="000F28D5" w:rsidRPr="000F28D5">
        <w:rPr>
          <w:rFonts w:ascii="Calibri" w:eastAsia="Times New Roman" w:hAnsi="Calibri" w:cs="Times New Roman"/>
          <w:color w:val="000000"/>
          <w:sz w:val="20"/>
          <w:lang w:val="en-US" w:eastAsia="nl-BE"/>
        </w:rPr>
        <w:t>VEpeak</w:t>
      </w:r>
      <w:proofErr w:type="spellEnd"/>
      <w:r w:rsidR="000F28D5" w:rsidRPr="000F28D5">
        <w:rPr>
          <w:rFonts w:ascii="Calibri" w:eastAsia="Times New Roman" w:hAnsi="Calibri" w:cs="Times New Roman"/>
          <w:color w:val="000000"/>
          <w:sz w:val="20"/>
          <w:lang w:val="en-US" w:eastAsia="nl-BE"/>
        </w:rPr>
        <w:t xml:space="preserve">= peak minute ventilation, VE/MVV= </w:t>
      </w:r>
      <w:proofErr w:type="spellStart"/>
      <w:r w:rsidR="000F28D5" w:rsidRPr="000F28D5">
        <w:rPr>
          <w:rFonts w:ascii="Calibri" w:eastAsia="Times New Roman" w:hAnsi="Calibri" w:cs="Times New Roman"/>
          <w:color w:val="000000"/>
          <w:sz w:val="20"/>
          <w:lang w:val="en-US" w:eastAsia="nl-BE"/>
        </w:rPr>
        <w:t>ventilatory</w:t>
      </w:r>
      <w:proofErr w:type="spellEnd"/>
      <w:r w:rsidR="000F28D5" w:rsidRPr="000F28D5">
        <w:rPr>
          <w:rFonts w:ascii="Calibri" w:eastAsia="Times New Roman" w:hAnsi="Calibri" w:cs="Times New Roman"/>
          <w:color w:val="000000"/>
          <w:sz w:val="20"/>
          <w:lang w:val="en-US" w:eastAsia="nl-BE"/>
        </w:rPr>
        <w:t xml:space="preserve"> reserve, ∆VE/∆VCO</w:t>
      </w:r>
      <w:r w:rsidR="000F28D5" w:rsidRPr="000F28D5">
        <w:rPr>
          <w:rFonts w:ascii="Calibri" w:eastAsia="Times New Roman" w:hAnsi="Calibri" w:cs="Times New Roman"/>
          <w:color w:val="000000"/>
          <w:sz w:val="20"/>
          <w:vertAlign w:val="subscript"/>
          <w:lang w:val="en-US" w:eastAsia="nl-BE"/>
        </w:rPr>
        <w:t>2</w:t>
      </w:r>
      <w:r w:rsidR="000F28D5" w:rsidRPr="000F28D5">
        <w:rPr>
          <w:rFonts w:ascii="Calibri" w:eastAsia="Times New Roman" w:hAnsi="Calibri" w:cs="Times New Roman"/>
          <w:color w:val="000000"/>
          <w:sz w:val="20"/>
          <w:lang w:val="en-US" w:eastAsia="nl-BE"/>
        </w:rPr>
        <w:t xml:space="preserve"> = </w:t>
      </w:r>
      <w:proofErr w:type="spellStart"/>
      <w:r w:rsidR="000F28D5" w:rsidRPr="000F28D5">
        <w:rPr>
          <w:rFonts w:ascii="Calibri" w:eastAsia="Times New Roman" w:hAnsi="Calibri" w:cs="Times New Roman"/>
          <w:color w:val="000000"/>
          <w:sz w:val="20"/>
          <w:lang w:val="en-US" w:eastAsia="nl-BE"/>
        </w:rPr>
        <w:t>ventilatory</w:t>
      </w:r>
      <w:proofErr w:type="spellEnd"/>
      <w:r w:rsidR="000F28D5" w:rsidRPr="000F28D5">
        <w:rPr>
          <w:rFonts w:ascii="Calibri" w:eastAsia="Times New Roman" w:hAnsi="Calibri" w:cs="Times New Roman"/>
          <w:color w:val="000000"/>
          <w:sz w:val="20"/>
          <w:lang w:val="en-US" w:eastAsia="nl-BE"/>
        </w:rPr>
        <w:t xml:space="preserve"> efficiency slope, </w:t>
      </w:r>
      <w:proofErr w:type="spellStart"/>
      <w:r w:rsidR="000F28D5" w:rsidRPr="000F28D5">
        <w:rPr>
          <w:rFonts w:ascii="Calibri" w:eastAsia="Times New Roman" w:hAnsi="Calibri" w:cs="Times New Roman"/>
          <w:color w:val="000000"/>
          <w:sz w:val="20"/>
          <w:lang w:val="en-US" w:eastAsia="nl-BE"/>
        </w:rPr>
        <w:t>WRpeak</w:t>
      </w:r>
      <w:proofErr w:type="spellEnd"/>
      <w:r w:rsidR="000F28D5" w:rsidRPr="000F28D5">
        <w:rPr>
          <w:rFonts w:ascii="Calibri" w:eastAsia="Times New Roman" w:hAnsi="Calibri" w:cs="Times New Roman"/>
          <w:color w:val="000000"/>
          <w:sz w:val="20"/>
          <w:lang w:val="en-US" w:eastAsia="nl-BE"/>
        </w:rPr>
        <w:t>= peak work rate, ∆VO</w:t>
      </w:r>
      <w:r w:rsidR="000F28D5" w:rsidRPr="000F28D5">
        <w:rPr>
          <w:rFonts w:ascii="Calibri" w:eastAsia="Times New Roman" w:hAnsi="Calibri" w:cs="Times New Roman"/>
          <w:color w:val="000000"/>
          <w:sz w:val="20"/>
          <w:vertAlign w:val="subscript"/>
          <w:lang w:val="en-US" w:eastAsia="nl-BE"/>
        </w:rPr>
        <w:t>2</w:t>
      </w:r>
      <w:r w:rsidR="000F28D5" w:rsidRPr="000F28D5">
        <w:rPr>
          <w:rFonts w:ascii="Calibri" w:eastAsia="Times New Roman" w:hAnsi="Calibri" w:cs="Times New Roman"/>
          <w:color w:val="000000"/>
          <w:sz w:val="20"/>
          <w:lang w:val="en-US" w:eastAsia="nl-BE"/>
        </w:rPr>
        <w:t xml:space="preserve">/∆WR = mechanical efficiency, </w:t>
      </w:r>
      <w:proofErr w:type="spellStart"/>
      <w:r w:rsidR="000F28D5" w:rsidRPr="000F28D5">
        <w:rPr>
          <w:rFonts w:ascii="Calibri" w:eastAsia="Times New Roman" w:hAnsi="Calibri" w:cs="Times New Roman"/>
          <w:color w:val="000000"/>
          <w:sz w:val="20"/>
          <w:lang w:val="en-US" w:eastAsia="nl-BE"/>
        </w:rPr>
        <w:t>RERpeak</w:t>
      </w:r>
      <w:proofErr w:type="spellEnd"/>
      <w:r w:rsidR="000F28D5" w:rsidRPr="000F28D5">
        <w:rPr>
          <w:rFonts w:ascii="Calibri" w:eastAsia="Times New Roman" w:hAnsi="Calibri" w:cs="Times New Roman"/>
          <w:color w:val="000000"/>
          <w:sz w:val="20"/>
          <w:lang w:val="en-US" w:eastAsia="nl-BE"/>
        </w:rPr>
        <w:t>= peak respiratory exchange ratio</w:t>
      </w:r>
      <w:r w:rsidR="00532D31" w:rsidRPr="003D7BAB">
        <w:rPr>
          <w:rFonts w:ascii="Calibri" w:eastAsia="Times New Roman" w:hAnsi="Calibri" w:cs="Times New Roman"/>
          <w:color w:val="000000"/>
          <w:sz w:val="20"/>
          <w:lang w:val="en-US" w:eastAsia="nl-BE"/>
        </w:rPr>
        <w:t xml:space="preserve">. </w:t>
      </w:r>
      <w:r w:rsidR="00200AF0" w:rsidRPr="007A0497">
        <w:rPr>
          <w:rFonts w:eastAsia="Times New Roman" w:cs="Times New Roman"/>
          <w:color w:val="000000"/>
          <w:sz w:val="20"/>
          <w:vertAlign w:val="superscript"/>
          <w:lang w:val="en-US" w:eastAsia="nl-BE"/>
        </w:rPr>
        <w:t>¥</w:t>
      </w:r>
      <w:bookmarkStart w:id="0" w:name="_GoBack"/>
      <w:bookmarkEnd w:id="0"/>
      <w:r w:rsidR="00200AF0" w:rsidRPr="003D7BAB">
        <w:rPr>
          <w:rFonts w:eastAsia="Times New Roman" w:cs="Times New Roman"/>
          <w:color w:val="000000"/>
          <w:sz w:val="20"/>
          <w:lang w:val="en-US" w:eastAsia="nl-BE"/>
        </w:rPr>
        <w:t>=</w:t>
      </w:r>
      <w:r w:rsidR="00200AF0" w:rsidRPr="00200AF0">
        <w:rPr>
          <w:rFonts w:ascii="Calibri" w:eastAsia="Times New Roman" w:hAnsi="Calibri" w:cs="Times New Roman"/>
          <w:color w:val="000000"/>
          <w:sz w:val="20"/>
          <w:lang w:val="en-US" w:eastAsia="nl-BE"/>
        </w:rPr>
        <w:t xml:space="preserve"> </w:t>
      </w:r>
      <w:r w:rsidR="00200AF0" w:rsidRPr="003D7BAB">
        <w:rPr>
          <w:rFonts w:ascii="Calibri" w:eastAsia="Times New Roman" w:hAnsi="Calibri" w:cs="Times New Roman"/>
          <w:color w:val="000000"/>
          <w:sz w:val="20"/>
          <w:lang w:val="en-US" w:eastAsia="nl-BE"/>
        </w:rPr>
        <w:t>statistically significant yearly change</w:t>
      </w:r>
      <w:r w:rsidR="003B64C9">
        <w:rPr>
          <w:rFonts w:ascii="Calibri" w:eastAsia="Times New Roman" w:hAnsi="Calibri" w:cs="Times New Roman"/>
          <w:color w:val="000000"/>
          <w:sz w:val="20"/>
          <w:lang w:val="en-US" w:eastAsia="nl-BE"/>
        </w:rPr>
        <w:t>;</w:t>
      </w:r>
      <w:r w:rsidR="00200AF0">
        <w:rPr>
          <w:rFonts w:ascii="Calibri" w:eastAsia="Times New Roman" w:hAnsi="Calibri" w:cs="Times New Roman"/>
          <w:color w:val="000000"/>
          <w:sz w:val="20"/>
          <w:lang w:val="en-US" w:eastAsia="nl-BE"/>
        </w:rPr>
        <w:t xml:space="preserve"> </w:t>
      </w:r>
      <w:r w:rsidR="00200AF0" w:rsidRPr="001E3F45">
        <w:rPr>
          <w:rFonts w:eastAsia="Times New Roman"/>
          <w:color w:val="000000"/>
          <w:sz w:val="20"/>
          <w:vertAlign w:val="superscript"/>
          <w:lang w:val="en-US" w:eastAsia="nl-BE"/>
        </w:rPr>
        <w:t>#</w:t>
      </w:r>
      <w:r w:rsidR="00200AF0">
        <w:rPr>
          <w:rFonts w:eastAsia="Times New Roman"/>
          <w:color w:val="000000"/>
          <w:sz w:val="20"/>
          <w:lang w:val="en-US" w:eastAsia="nl-BE"/>
        </w:rPr>
        <w:t xml:space="preserve">= </w:t>
      </w:r>
      <w:r w:rsidR="00200AF0" w:rsidRPr="00707EE5">
        <w:rPr>
          <w:rFonts w:eastAsia="Times New Roman"/>
          <w:color w:val="000000"/>
          <w:sz w:val="20"/>
          <w:lang w:val="en-US" w:eastAsia="nl-BE"/>
        </w:rPr>
        <w:t xml:space="preserve">statistically different from </w:t>
      </w:r>
      <w:r w:rsidR="00200AF0">
        <w:rPr>
          <w:rFonts w:eastAsia="Times New Roman"/>
          <w:color w:val="000000"/>
          <w:sz w:val="20"/>
          <w:lang w:val="en-US" w:eastAsia="nl-BE"/>
        </w:rPr>
        <w:t xml:space="preserve">airflow obstruction; </w:t>
      </w:r>
      <w:r w:rsidR="00200AF0" w:rsidRPr="00707EE5">
        <w:rPr>
          <w:rFonts w:eastAsia="Times New Roman"/>
          <w:color w:val="000000"/>
          <w:sz w:val="20"/>
          <w:lang w:val="en-US" w:eastAsia="nl-BE"/>
        </w:rPr>
        <w:t>†= statistically different from smoking co</w:t>
      </w:r>
      <w:r w:rsidR="001E3F45">
        <w:rPr>
          <w:rFonts w:eastAsia="Times New Roman"/>
          <w:color w:val="000000"/>
          <w:sz w:val="20"/>
          <w:lang w:val="en-US" w:eastAsia="nl-BE"/>
        </w:rPr>
        <w:t>ntrol</w:t>
      </w:r>
      <w:r w:rsidR="00200AF0">
        <w:rPr>
          <w:rFonts w:eastAsia="Times New Roman"/>
          <w:color w:val="000000"/>
          <w:sz w:val="20"/>
          <w:lang w:val="en-US" w:eastAsia="nl-BE"/>
        </w:rPr>
        <w:t xml:space="preserve">; </w:t>
      </w:r>
      <w:r w:rsidR="00200AF0" w:rsidRPr="001E3F45">
        <w:rPr>
          <w:rFonts w:eastAsia="Times New Roman"/>
          <w:color w:val="000000"/>
          <w:sz w:val="20"/>
          <w:vertAlign w:val="superscript"/>
          <w:lang w:val="en-US" w:eastAsia="nl-BE"/>
        </w:rPr>
        <w:t>₤</w:t>
      </w:r>
      <w:r w:rsidR="00BE78CF">
        <w:rPr>
          <w:rFonts w:eastAsia="Times New Roman"/>
          <w:color w:val="000000"/>
          <w:sz w:val="20"/>
          <w:lang w:val="en-US" w:eastAsia="nl-BE"/>
        </w:rPr>
        <w:t xml:space="preserve">= </w:t>
      </w:r>
      <w:r w:rsidR="00BE78CF" w:rsidRPr="003D7BAB">
        <w:rPr>
          <w:rFonts w:ascii="Calibri" w:eastAsia="Times New Roman" w:hAnsi="Calibri" w:cs="Times New Roman"/>
          <w:color w:val="000000"/>
          <w:sz w:val="20"/>
          <w:lang w:val="en-US" w:eastAsia="nl-BE"/>
        </w:rPr>
        <w:t xml:space="preserve">post hoc indicates a trend for statistically significant difference (p= 0.05) between never smoking control and </w:t>
      </w:r>
      <w:r w:rsidR="00BE78CF">
        <w:rPr>
          <w:rFonts w:ascii="Calibri" w:eastAsia="Times New Roman" w:hAnsi="Calibri" w:cs="Times New Roman"/>
          <w:color w:val="000000"/>
          <w:sz w:val="20"/>
          <w:lang w:val="en-US" w:eastAsia="nl-BE"/>
        </w:rPr>
        <w:t>airflow obstruction groups.</w:t>
      </w:r>
    </w:p>
    <w:sectPr w:rsidR="009679C3" w:rsidRPr="000F28D5" w:rsidSect="003D7BAB">
      <w:pgSz w:w="16838" w:h="11906" w:orient="landscape"/>
      <w:pgMar w:top="1417" w:right="962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AB"/>
    <w:rsid w:val="000F28D5"/>
    <w:rsid w:val="00167F44"/>
    <w:rsid w:val="001E3F45"/>
    <w:rsid w:val="00200AF0"/>
    <w:rsid w:val="003A7CE5"/>
    <w:rsid w:val="003B64C9"/>
    <w:rsid w:val="003D7BAB"/>
    <w:rsid w:val="004D2B16"/>
    <w:rsid w:val="00532D31"/>
    <w:rsid w:val="007A0497"/>
    <w:rsid w:val="00807468"/>
    <w:rsid w:val="00836A9B"/>
    <w:rsid w:val="00AF5FE1"/>
    <w:rsid w:val="00B50B67"/>
    <w:rsid w:val="00B84B5F"/>
    <w:rsid w:val="00BC7D4E"/>
    <w:rsid w:val="00BE78CF"/>
    <w:rsid w:val="00D133DE"/>
    <w:rsid w:val="00D41712"/>
    <w:rsid w:val="00D42579"/>
    <w:rsid w:val="00D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8824E-AE24-4CEB-B671-DE0F6678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AB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Maria Machado Rodrigues</dc:creator>
  <cp:keywords/>
  <dc:description/>
  <cp:lastModifiedBy>Fernanda Maria Machado Rodrigues</cp:lastModifiedBy>
  <cp:revision>10</cp:revision>
  <dcterms:created xsi:type="dcterms:W3CDTF">2018-09-26T09:05:00Z</dcterms:created>
  <dcterms:modified xsi:type="dcterms:W3CDTF">2018-11-09T15:40:00Z</dcterms:modified>
</cp:coreProperties>
</file>