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1" w:rightFromText="141" w:vertAnchor="page" w:horzAnchor="page" w:tblpX="850" w:tblpY="1805"/>
        <w:tblW w:w="10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072"/>
        <w:gridCol w:w="1611"/>
        <w:gridCol w:w="1611"/>
        <w:gridCol w:w="1611"/>
        <w:gridCol w:w="1612"/>
      </w:tblGrid>
      <w:tr w:rsidR="00DA772C" w:rsidRPr="006735F6" w14:paraId="557D64BF" w14:textId="77777777" w:rsidTr="00DA772C">
        <w:trPr>
          <w:trHeight w:val="181"/>
        </w:trPr>
        <w:tc>
          <w:tcPr>
            <w:tcW w:w="3261" w:type="dxa"/>
            <w:tcBorders>
              <w:top w:val="single" w:sz="2" w:space="0" w:color="auto"/>
              <w:bottom w:val="single" w:sz="4" w:space="0" w:color="auto"/>
            </w:tcBorders>
          </w:tcPr>
          <w:p w14:paraId="695EB1FA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b/>
                <w:i/>
                <w:color w:val="000000" w:themeColor="text1"/>
                <w:sz w:val="21"/>
                <w:szCs w:val="21"/>
              </w:rPr>
            </w:pPr>
          </w:p>
        </w:tc>
        <w:tc>
          <w:tcPr>
            <w:tcW w:w="1072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0DEACD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α</w:t>
            </w:r>
          </w:p>
        </w:tc>
        <w:tc>
          <w:tcPr>
            <w:tcW w:w="161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99AB3D1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Confid</w:t>
            </w:r>
            <w:bookmarkStart w:id="0" w:name="_GoBack"/>
            <w:bookmarkEnd w:id="0"/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ence</w:t>
            </w:r>
          </w:p>
        </w:tc>
        <w:tc>
          <w:tcPr>
            <w:tcW w:w="161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EF11372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Constraints</w:t>
            </w:r>
          </w:p>
        </w:tc>
        <w:tc>
          <w:tcPr>
            <w:tcW w:w="161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183D0E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Complacency</w:t>
            </w:r>
          </w:p>
        </w:tc>
        <w:tc>
          <w:tcPr>
            <w:tcW w:w="1612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68F3367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Calculation</w:t>
            </w:r>
          </w:p>
        </w:tc>
      </w:tr>
      <w:tr w:rsidR="00DA772C" w:rsidRPr="006735F6" w14:paraId="1A598196" w14:textId="77777777" w:rsidTr="00DA772C">
        <w:trPr>
          <w:trHeight w:val="352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468ED458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50F7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ECD0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α = .88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14:paraId="5F6C50F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α = .77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14:paraId="596C1D1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α = .67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</w:tcPr>
          <w:p w14:paraId="23A55FD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α = .75</w:t>
            </w:r>
          </w:p>
        </w:tc>
      </w:tr>
      <w:tr w:rsidR="00DA772C" w:rsidRPr="006735F6" w14:paraId="358F5D97" w14:textId="77777777" w:rsidTr="00DA772C">
        <w:trPr>
          <w:trHeight w:val="255"/>
        </w:trPr>
        <w:tc>
          <w:tcPr>
            <w:tcW w:w="3261" w:type="dxa"/>
            <w:tcBorders>
              <w:top w:val="single" w:sz="4" w:space="0" w:color="auto"/>
            </w:tcBorders>
          </w:tcPr>
          <w:p w14:paraId="76CD14DB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Vaccine acceptance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34A60CB2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6141DB4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.375**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36874CF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-.252**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7F9FEBA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-.154**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35205CA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-.141**</w:t>
            </w:r>
          </w:p>
        </w:tc>
      </w:tr>
      <w:tr w:rsidR="00DA772C" w:rsidRPr="006735F6" w14:paraId="5289FE6D" w14:textId="77777777" w:rsidTr="00DA772C">
        <w:trPr>
          <w:trHeight w:val="63"/>
        </w:trPr>
        <w:tc>
          <w:tcPr>
            <w:tcW w:w="3261" w:type="dxa"/>
          </w:tcPr>
          <w:p w14:paraId="58064B69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Intention to get vaccinated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072" w:type="dxa"/>
            <w:vAlign w:val="center"/>
          </w:tcPr>
          <w:p w14:paraId="0487E805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vAlign w:val="center"/>
          </w:tcPr>
          <w:p w14:paraId="6CDCB85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.840**</w:t>
            </w:r>
          </w:p>
        </w:tc>
        <w:tc>
          <w:tcPr>
            <w:tcW w:w="1611" w:type="dxa"/>
            <w:vAlign w:val="center"/>
          </w:tcPr>
          <w:p w14:paraId="6A99E2F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-.121**</w:t>
            </w:r>
          </w:p>
        </w:tc>
        <w:tc>
          <w:tcPr>
            <w:tcW w:w="1611" w:type="dxa"/>
            <w:vAlign w:val="center"/>
          </w:tcPr>
          <w:p w14:paraId="2CA4D81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-.220**</w:t>
            </w:r>
          </w:p>
        </w:tc>
        <w:tc>
          <w:tcPr>
            <w:tcW w:w="1612" w:type="dxa"/>
            <w:vAlign w:val="center"/>
          </w:tcPr>
          <w:p w14:paraId="4B03240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-.334**</w:t>
            </w:r>
          </w:p>
        </w:tc>
      </w:tr>
      <w:tr w:rsidR="00DA772C" w:rsidRPr="006735F6" w14:paraId="726D0FC5" w14:textId="77777777" w:rsidTr="00DA772C">
        <w:trPr>
          <w:trHeight w:val="359"/>
        </w:trPr>
        <w:tc>
          <w:tcPr>
            <w:tcW w:w="3261" w:type="dxa"/>
            <w:tcBorders>
              <w:top w:val="single" w:sz="2" w:space="0" w:color="auto"/>
            </w:tcBorders>
          </w:tcPr>
          <w:p w14:paraId="12F28C4B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Attitude towards vaccination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1,2</w:t>
            </w:r>
          </w:p>
        </w:tc>
        <w:tc>
          <w:tcPr>
            <w:tcW w:w="1072" w:type="dxa"/>
            <w:tcBorders>
              <w:top w:val="single" w:sz="2" w:space="0" w:color="auto"/>
            </w:tcBorders>
            <w:vAlign w:val="center"/>
          </w:tcPr>
          <w:p w14:paraId="7DFCD3E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.94</w:t>
            </w:r>
          </w:p>
        </w:tc>
        <w:tc>
          <w:tcPr>
            <w:tcW w:w="1611" w:type="dxa"/>
            <w:tcBorders>
              <w:top w:val="single" w:sz="2" w:space="0" w:color="auto"/>
            </w:tcBorders>
            <w:vAlign w:val="center"/>
          </w:tcPr>
          <w:p w14:paraId="675A9A7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.822**</w:t>
            </w:r>
          </w:p>
        </w:tc>
        <w:tc>
          <w:tcPr>
            <w:tcW w:w="1611" w:type="dxa"/>
            <w:tcBorders>
              <w:top w:val="single" w:sz="2" w:space="0" w:color="auto"/>
            </w:tcBorders>
            <w:vAlign w:val="center"/>
          </w:tcPr>
          <w:p w14:paraId="19E494C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-.214**</w:t>
            </w:r>
          </w:p>
        </w:tc>
        <w:tc>
          <w:tcPr>
            <w:tcW w:w="1611" w:type="dxa"/>
            <w:tcBorders>
              <w:top w:val="single" w:sz="2" w:space="0" w:color="auto"/>
            </w:tcBorders>
            <w:vAlign w:val="center"/>
          </w:tcPr>
          <w:p w14:paraId="712C966B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-.386**</w:t>
            </w:r>
          </w:p>
        </w:tc>
        <w:tc>
          <w:tcPr>
            <w:tcW w:w="1612" w:type="dxa"/>
            <w:tcBorders>
              <w:top w:val="single" w:sz="2" w:space="0" w:color="auto"/>
            </w:tcBorders>
            <w:vAlign w:val="center"/>
          </w:tcPr>
          <w:p w14:paraId="569377F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-.248**</w:t>
            </w:r>
          </w:p>
        </w:tc>
      </w:tr>
      <w:tr w:rsidR="00DA772C" w:rsidRPr="006735F6" w14:paraId="2F281936" w14:textId="77777777" w:rsidTr="00DA772C">
        <w:trPr>
          <w:trHeight w:val="181"/>
        </w:trPr>
        <w:tc>
          <w:tcPr>
            <w:tcW w:w="3261" w:type="dxa"/>
          </w:tcPr>
          <w:p w14:paraId="5D02F3BF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Knowledge about vaccination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072" w:type="dxa"/>
            <w:vAlign w:val="center"/>
          </w:tcPr>
          <w:p w14:paraId="554DD7E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vAlign w:val="center"/>
          </w:tcPr>
          <w:p w14:paraId="266099E1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.814**</w:t>
            </w:r>
          </w:p>
        </w:tc>
        <w:tc>
          <w:tcPr>
            <w:tcW w:w="1611" w:type="dxa"/>
            <w:vAlign w:val="center"/>
          </w:tcPr>
          <w:p w14:paraId="62FC01DC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-.147**</w:t>
            </w:r>
          </w:p>
        </w:tc>
        <w:tc>
          <w:tcPr>
            <w:tcW w:w="1611" w:type="dxa"/>
            <w:vAlign w:val="center"/>
          </w:tcPr>
          <w:p w14:paraId="78E04CC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-.406**</w:t>
            </w:r>
          </w:p>
        </w:tc>
        <w:tc>
          <w:tcPr>
            <w:tcW w:w="1612" w:type="dxa"/>
            <w:vAlign w:val="center"/>
          </w:tcPr>
          <w:p w14:paraId="4FEF6CA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-.280**</w:t>
            </w:r>
          </w:p>
        </w:tc>
      </w:tr>
      <w:tr w:rsidR="00DA772C" w:rsidRPr="006735F6" w14:paraId="4554E987" w14:textId="77777777" w:rsidTr="00DA772C">
        <w:trPr>
          <w:trHeight w:val="264"/>
        </w:trPr>
        <w:tc>
          <w:tcPr>
            <w:tcW w:w="3261" w:type="dxa"/>
          </w:tcPr>
          <w:p w14:paraId="305BFE97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Beliefs about medicine - benefits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5442B5C1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.61</w:t>
            </w:r>
          </w:p>
        </w:tc>
        <w:tc>
          <w:tcPr>
            <w:tcW w:w="1611" w:type="dxa"/>
            <w:vAlign w:val="center"/>
          </w:tcPr>
          <w:p w14:paraId="1E43913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.325**</w:t>
            </w:r>
          </w:p>
        </w:tc>
        <w:tc>
          <w:tcPr>
            <w:tcW w:w="1611" w:type="dxa"/>
            <w:vAlign w:val="center"/>
          </w:tcPr>
          <w:p w14:paraId="2126DE9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-.026</w:t>
            </w:r>
          </w:p>
        </w:tc>
        <w:tc>
          <w:tcPr>
            <w:tcW w:w="1611" w:type="dxa"/>
            <w:vAlign w:val="center"/>
          </w:tcPr>
          <w:p w14:paraId="6B36517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-.147**</w:t>
            </w:r>
          </w:p>
        </w:tc>
        <w:tc>
          <w:tcPr>
            <w:tcW w:w="1612" w:type="dxa"/>
            <w:vAlign w:val="center"/>
          </w:tcPr>
          <w:p w14:paraId="1DE06A2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-.006</w:t>
            </w:r>
          </w:p>
        </w:tc>
      </w:tr>
      <w:tr w:rsidR="00DA772C" w:rsidRPr="006735F6" w14:paraId="351CA202" w14:textId="77777777" w:rsidTr="00DA772C">
        <w:trPr>
          <w:trHeight w:val="181"/>
        </w:trPr>
        <w:tc>
          <w:tcPr>
            <w:tcW w:w="3261" w:type="dxa"/>
          </w:tcPr>
          <w:p w14:paraId="658FC2F2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Beliefs about medicine - harms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5736B52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.60</w:t>
            </w:r>
          </w:p>
        </w:tc>
        <w:tc>
          <w:tcPr>
            <w:tcW w:w="1611" w:type="dxa"/>
            <w:vAlign w:val="center"/>
          </w:tcPr>
          <w:p w14:paraId="68CF661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-.353**</w:t>
            </w:r>
          </w:p>
        </w:tc>
        <w:tc>
          <w:tcPr>
            <w:tcW w:w="1611" w:type="dxa"/>
            <w:vAlign w:val="center"/>
          </w:tcPr>
          <w:p w14:paraId="778C558C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.121*</w:t>
            </w:r>
          </w:p>
        </w:tc>
        <w:tc>
          <w:tcPr>
            <w:tcW w:w="1611" w:type="dxa"/>
            <w:vAlign w:val="center"/>
          </w:tcPr>
          <w:p w14:paraId="5DBAC9D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.360**</w:t>
            </w:r>
          </w:p>
        </w:tc>
        <w:tc>
          <w:tcPr>
            <w:tcW w:w="1612" w:type="dxa"/>
            <w:vAlign w:val="center"/>
          </w:tcPr>
          <w:p w14:paraId="61DEA2E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.097*</w:t>
            </w:r>
          </w:p>
        </w:tc>
      </w:tr>
      <w:tr w:rsidR="00DA772C" w:rsidRPr="006735F6" w14:paraId="6C1230F6" w14:textId="77777777" w:rsidTr="00DA772C">
        <w:trPr>
          <w:trHeight w:val="181"/>
        </w:trPr>
        <w:tc>
          <w:tcPr>
            <w:tcW w:w="3261" w:type="dxa"/>
            <w:tcBorders>
              <w:bottom w:val="single" w:sz="4" w:space="0" w:color="auto"/>
            </w:tcBorders>
          </w:tcPr>
          <w:p w14:paraId="267FE6A4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Conspiracy mentality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13BFF91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.75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46C3ED8D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-.229**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657D204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.027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0C4C066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.206**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5B9E899D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.018</w:t>
            </w:r>
          </w:p>
        </w:tc>
      </w:tr>
      <w:tr w:rsidR="00DA772C" w:rsidRPr="006735F6" w14:paraId="1D92879F" w14:textId="77777777" w:rsidTr="00DA772C">
        <w:trPr>
          <w:trHeight w:val="382"/>
        </w:trPr>
        <w:tc>
          <w:tcPr>
            <w:tcW w:w="3261" w:type="dxa"/>
            <w:tcBorders>
              <w:top w:val="single" w:sz="4" w:space="0" w:color="auto"/>
            </w:tcBorders>
          </w:tcPr>
          <w:p w14:paraId="10ED40E9" w14:textId="77777777" w:rsidR="00DA772C" w:rsidRPr="006735F6" w:rsidRDefault="00DA772C" w:rsidP="00DA772C">
            <w:pPr>
              <w:tabs>
                <w:tab w:val="right" w:pos="3045"/>
              </w:tabs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Empowerment – others’ experience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78DFE1B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r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=.501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3FE316B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-.276**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05EBB11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.150**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3DF693A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.318**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378C548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.219**</w:t>
            </w:r>
          </w:p>
        </w:tc>
      </w:tr>
      <w:tr w:rsidR="00DA772C" w:rsidRPr="006735F6" w14:paraId="21EBDB43" w14:textId="77777777" w:rsidTr="00DA772C">
        <w:trPr>
          <w:trHeight w:val="382"/>
        </w:trPr>
        <w:tc>
          <w:tcPr>
            <w:tcW w:w="3261" w:type="dxa"/>
          </w:tcPr>
          <w:p w14:paraId="19699F6D" w14:textId="77777777" w:rsidR="00DA772C" w:rsidRPr="006735F6" w:rsidRDefault="00DA772C" w:rsidP="00DA772C">
            <w:pPr>
              <w:tabs>
                <w:tab w:val="right" w:pos="3045"/>
              </w:tabs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Empowerment – personal experience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072" w:type="dxa"/>
            <w:vAlign w:val="center"/>
          </w:tcPr>
          <w:p w14:paraId="0415E913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r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=.484</w:t>
            </w:r>
          </w:p>
        </w:tc>
        <w:tc>
          <w:tcPr>
            <w:tcW w:w="1611" w:type="dxa"/>
            <w:vAlign w:val="center"/>
          </w:tcPr>
          <w:p w14:paraId="579B348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-.149**</w:t>
            </w:r>
          </w:p>
        </w:tc>
        <w:tc>
          <w:tcPr>
            <w:tcW w:w="1611" w:type="dxa"/>
            <w:vAlign w:val="center"/>
          </w:tcPr>
          <w:p w14:paraId="783AE27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.043</w:t>
            </w:r>
          </w:p>
        </w:tc>
        <w:tc>
          <w:tcPr>
            <w:tcW w:w="1611" w:type="dxa"/>
            <w:vAlign w:val="center"/>
          </w:tcPr>
          <w:p w14:paraId="060F4E72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.319**</w:t>
            </w:r>
          </w:p>
        </w:tc>
        <w:tc>
          <w:tcPr>
            <w:tcW w:w="1612" w:type="dxa"/>
            <w:vAlign w:val="center"/>
          </w:tcPr>
          <w:p w14:paraId="1441231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.120**</w:t>
            </w:r>
          </w:p>
        </w:tc>
      </w:tr>
      <w:tr w:rsidR="00DA772C" w:rsidRPr="006735F6" w14:paraId="3C389096" w14:textId="77777777" w:rsidTr="00DA772C">
        <w:trPr>
          <w:trHeight w:val="382"/>
        </w:trPr>
        <w:tc>
          <w:tcPr>
            <w:tcW w:w="3261" w:type="dxa"/>
          </w:tcPr>
          <w:p w14:paraId="70474BC4" w14:textId="77777777" w:rsidR="00DA772C" w:rsidRPr="006735F6" w:rsidRDefault="00DA772C" w:rsidP="00DA772C">
            <w:pPr>
              <w:tabs>
                <w:tab w:val="right" w:pos="3045"/>
              </w:tabs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Perceived behavioral control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14:paraId="7A32816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r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.78</w:t>
            </w:r>
          </w:p>
        </w:tc>
        <w:tc>
          <w:tcPr>
            <w:tcW w:w="1611" w:type="dxa"/>
            <w:vAlign w:val="center"/>
          </w:tcPr>
          <w:p w14:paraId="7E9B5F8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-.032</w:t>
            </w:r>
          </w:p>
        </w:tc>
        <w:tc>
          <w:tcPr>
            <w:tcW w:w="1611" w:type="dxa"/>
            <w:vAlign w:val="center"/>
          </w:tcPr>
          <w:p w14:paraId="29ABA0EC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-.208**</w:t>
            </w:r>
          </w:p>
        </w:tc>
        <w:tc>
          <w:tcPr>
            <w:tcW w:w="1611" w:type="dxa"/>
            <w:vAlign w:val="center"/>
          </w:tcPr>
          <w:p w14:paraId="3849351B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-.155**</w:t>
            </w:r>
          </w:p>
        </w:tc>
        <w:tc>
          <w:tcPr>
            <w:tcW w:w="1612" w:type="dxa"/>
            <w:vAlign w:val="center"/>
          </w:tcPr>
          <w:p w14:paraId="6B872F9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.003</w:t>
            </w:r>
          </w:p>
        </w:tc>
      </w:tr>
      <w:tr w:rsidR="00DA772C" w:rsidRPr="006735F6" w14:paraId="6E9FB4EB" w14:textId="77777777" w:rsidTr="00DA772C">
        <w:trPr>
          <w:trHeight w:val="382"/>
        </w:trPr>
        <w:tc>
          <w:tcPr>
            <w:tcW w:w="3261" w:type="dxa"/>
            <w:tcBorders>
              <w:bottom w:val="single" w:sz="4" w:space="0" w:color="auto"/>
            </w:tcBorders>
          </w:tcPr>
          <w:p w14:paraId="610FAC46" w14:textId="77777777" w:rsidR="00DA772C" w:rsidRPr="006735F6" w:rsidRDefault="00DA772C" w:rsidP="00DA772C">
            <w:pPr>
              <w:tabs>
                <w:tab w:val="right" w:pos="3045"/>
              </w:tabs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Self efficacy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3150D4D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.80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05022D0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.008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3F860EC1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-.127**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14F0D835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-.171**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76A337C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.156**</w:t>
            </w:r>
          </w:p>
        </w:tc>
      </w:tr>
      <w:tr w:rsidR="00DA772C" w:rsidRPr="006735F6" w14:paraId="71FC8579" w14:textId="77777777" w:rsidTr="00DA772C">
        <w:trPr>
          <w:trHeight w:val="382"/>
        </w:trPr>
        <w:tc>
          <w:tcPr>
            <w:tcW w:w="3261" w:type="dxa"/>
            <w:tcBorders>
              <w:top w:val="single" w:sz="4" w:space="0" w:color="auto"/>
            </w:tcBorders>
          </w:tcPr>
          <w:p w14:paraId="7FEC7D4C" w14:textId="77777777" w:rsidR="00DA772C" w:rsidRPr="006735F6" w:rsidRDefault="00DA772C" w:rsidP="00DA772C">
            <w:pPr>
              <w:tabs>
                <w:tab w:val="right" w:pos="3045"/>
              </w:tabs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Perceived risk of diseases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ab/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2E8FDC6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6006FE6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.559**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075AD552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-.148**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42B64FBB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-.253**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671D817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-.208**</w:t>
            </w:r>
          </w:p>
        </w:tc>
      </w:tr>
      <w:tr w:rsidR="00DA772C" w:rsidRPr="006735F6" w14:paraId="57EB24D4" w14:textId="77777777" w:rsidTr="00DA772C">
        <w:trPr>
          <w:trHeight w:val="181"/>
        </w:trPr>
        <w:tc>
          <w:tcPr>
            <w:tcW w:w="3261" w:type="dxa"/>
          </w:tcPr>
          <w:p w14:paraId="7F996B97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Attitude towards risk (</w:t>
            </w: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risk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seeking)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3BC16AC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.63</w:t>
            </w:r>
          </w:p>
        </w:tc>
        <w:tc>
          <w:tcPr>
            <w:tcW w:w="1611" w:type="dxa"/>
            <w:vAlign w:val="center"/>
          </w:tcPr>
          <w:p w14:paraId="062A35E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-.07</w:t>
            </w:r>
          </w:p>
        </w:tc>
        <w:tc>
          <w:tcPr>
            <w:tcW w:w="1611" w:type="dxa"/>
            <w:vAlign w:val="center"/>
          </w:tcPr>
          <w:p w14:paraId="1C639293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.143**</w:t>
            </w:r>
          </w:p>
        </w:tc>
        <w:tc>
          <w:tcPr>
            <w:tcW w:w="1611" w:type="dxa"/>
            <w:vAlign w:val="center"/>
          </w:tcPr>
          <w:p w14:paraId="32FAE433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.149**</w:t>
            </w:r>
          </w:p>
        </w:tc>
        <w:tc>
          <w:tcPr>
            <w:tcW w:w="1612" w:type="dxa"/>
            <w:vAlign w:val="center"/>
          </w:tcPr>
          <w:p w14:paraId="5E11475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-.189**</w:t>
            </w:r>
          </w:p>
        </w:tc>
      </w:tr>
      <w:tr w:rsidR="00DA772C" w:rsidRPr="006735F6" w14:paraId="4268A480" w14:textId="77777777" w:rsidTr="00DA772C">
        <w:trPr>
          <w:trHeight w:val="181"/>
        </w:trPr>
        <w:tc>
          <w:tcPr>
            <w:tcW w:w="3261" w:type="dxa"/>
          </w:tcPr>
          <w:p w14:paraId="72F0D0C0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Consideration of future consequences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1B8539A2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.82</w:t>
            </w:r>
          </w:p>
        </w:tc>
        <w:tc>
          <w:tcPr>
            <w:tcW w:w="1611" w:type="dxa"/>
            <w:vAlign w:val="center"/>
          </w:tcPr>
          <w:p w14:paraId="6100B445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.099*</w:t>
            </w:r>
          </w:p>
        </w:tc>
        <w:tc>
          <w:tcPr>
            <w:tcW w:w="1611" w:type="dxa"/>
            <w:vAlign w:val="center"/>
          </w:tcPr>
          <w:p w14:paraId="7310B2A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-.118*</w:t>
            </w:r>
          </w:p>
        </w:tc>
        <w:tc>
          <w:tcPr>
            <w:tcW w:w="1611" w:type="dxa"/>
            <w:vAlign w:val="center"/>
          </w:tcPr>
          <w:p w14:paraId="62A2869C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-.187**</w:t>
            </w:r>
          </w:p>
        </w:tc>
        <w:tc>
          <w:tcPr>
            <w:tcW w:w="1612" w:type="dxa"/>
            <w:vAlign w:val="center"/>
          </w:tcPr>
          <w:p w14:paraId="1012F5B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.182**</w:t>
            </w:r>
          </w:p>
        </w:tc>
      </w:tr>
      <w:tr w:rsidR="00DA772C" w:rsidRPr="006735F6" w14:paraId="73D2D36E" w14:textId="77777777" w:rsidTr="00DA772C">
        <w:trPr>
          <w:trHeight w:val="420"/>
        </w:trPr>
        <w:tc>
          <w:tcPr>
            <w:tcW w:w="3261" w:type="dxa"/>
          </w:tcPr>
          <w:p w14:paraId="437B9F7C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Normative beliefs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78A241D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.87</w:t>
            </w:r>
          </w:p>
        </w:tc>
        <w:tc>
          <w:tcPr>
            <w:tcW w:w="1611" w:type="dxa"/>
            <w:vAlign w:val="center"/>
          </w:tcPr>
          <w:p w14:paraId="03C4E79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.504**</w:t>
            </w:r>
          </w:p>
        </w:tc>
        <w:tc>
          <w:tcPr>
            <w:tcW w:w="1611" w:type="dxa"/>
            <w:vAlign w:val="center"/>
          </w:tcPr>
          <w:p w14:paraId="33F569E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-.201**</w:t>
            </w:r>
          </w:p>
        </w:tc>
        <w:tc>
          <w:tcPr>
            <w:tcW w:w="1611" w:type="dxa"/>
            <w:vAlign w:val="center"/>
          </w:tcPr>
          <w:p w14:paraId="68EC281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-.321**</w:t>
            </w:r>
          </w:p>
        </w:tc>
        <w:tc>
          <w:tcPr>
            <w:tcW w:w="1612" w:type="dxa"/>
            <w:vAlign w:val="center"/>
          </w:tcPr>
          <w:p w14:paraId="46CAF982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-.161**</w:t>
            </w:r>
          </w:p>
        </w:tc>
      </w:tr>
      <w:tr w:rsidR="00DA772C" w:rsidRPr="006735F6" w14:paraId="1DC48977" w14:textId="77777777" w:rsidTr="00DA772C">
        <w:trPr>
          <w:trHeight w:val="181"/>
        </w:trPr>
        <w:tc>
          <w:tcPr>
            <w:tcW w:w="3261" w:type="dxa"/>
            <w:tcBorders>
              <w:bottom w:val="single" w:sz="4" w:space="0" w:color="auto"/>
            </w:tcBorders>
          </w:tcPr>
          <w:p w14:paraId="7A060FAE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Perceived descriptive norm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559475A1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3B717F3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.443**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0C2A907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-.314**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57F4E82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-.358**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697A8EC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-.101*</w:t>
            </w:r>
          </w:p>
        </w:tc>
      </w:tr>
      <w:tr w:rsidR="00DA772C" w:rsidRPr="006735F6" w14:paraId="00BD26FE" w14:textId="77777777" w:rsidTr="00DA772C">
        <w:trPr>
          <w:trHeight w:val="268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7DA68E8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  <w:highlight w:val="yellow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Perceived risk of vaccination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F75B7B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D574D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-.855**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AE1B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.106**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2F56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.326**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DB09C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.336**</w:t>
            </w:r>
          </w:p>
        </w:tc>
      </w:tr>
      <w:tr w:rsidR="00DA772C" w:rsidRPr="006735F6" w14:paraId="3AF6C676" w14:textId="77777777" w:rsidTr="00DA772C">
        <w:trPr>
          <w:trHeight w:val="268"/>
        </w:trPr>
        <w:tc>
          <w:tcPr>
            <w:tcW w:w="3261" w:type="dxa"/>
            <w:tcBorders>
              <w:top w:val="single" w:sz="4" w:space="0" w:color="auto"/>
            </w:tcBorders>
          </w:tcPr>
          <w:p w14:paraId="738D9B56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  <w:highlight w:val="yellow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Numeracy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1A8D33D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360BBA2B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.087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7AF1DA63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-.032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center"/>
          </w:tcPr>
          <w:p w14:paraId="2B53EED8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-.097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4DFE971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-.015</w:t>
            </w:r>
          </w:p>
        </w:tc>
      </w:tr>
      <w:tr w:rsidR="00DA772C" w:rsidRPr="006735F6" w14:paraId="0844A6A8" w14:textId="77777777" w:rsidTr="00DA772C">
        <w:trPr>
          <w:trHeight w:val="268"/>
        </w:trPr>
        <w:tc>
          <w:tcPr>
            <w:tcW w:w="3261" w:type="dxa"/>
          </w:tcPr>
          <w:p w14:paraId="282881CC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SocDes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– emphasize positive qualities</w:t>
            </w:r>
          </w:p>
        </w:tc>
        <w:tc>
          <w:tcPr>
            <w:tcW w:w="1072" w:type="dxa"/>
            <w:vAlign w:val="center"/>
          </w:tcPr>
          <w:p w14:paraId="35083C4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0.44</w:t>
            </w:r>
          </w:p>
        </w:tc>
        <w:tc>
          <w:tcPr>
            <w:tcW w:w="1611" w:type="dxa"/>
            <w:vAlign w:val="center"/>
          </w:tcPr>
          <w:p w14:paraId="17FD99C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.099*</w:t>
            </w:r>
          </w:p>
        </w:tc>
        <w:tc>
          <w:tcPr>
            <w:tcW w:w="1611" w:type="dxa"/>
            <w:vAlign w:val="center"/>
          </w:tcPr>
          <w:p w14:paraId="7702532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-.091</w:t>
            </w:r>
          </w:p>
        </w:tc>
        <w:tc>
          <w:tcPr>
            <w:tcW w:w="1611" w:type="dxa"/>
            <w:vAlign w:val="center"/>
          </w:tcPr>
          <w:p w14:paraId="2F3C8E1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-.017</w:t>
            </w:r>
          </w:p>
        </w:tc>
        <w:tc>
          <w:tcPr>
            <w:tcW w:w="1612" w:type="dxa"/>
            <w:vAlign w:val="center"/>
          </w:tcPr>
          <w:p w14:paraId="412374CD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.138**</w:t>
            </w:r>
          </w:p>
        </w:tc>
      </w:tr>
      <w:tr w:rsidR="00DA772C" w:rsidRPr="006735F6" w14:paraId="6DC2E130" w14:textId="77777777" w:rsidTr="00DA772C">
        <w:trPr>
          <w:trHeight w:val="268"/>
        </w:trPr>
        <w:tc>
          <w:tcPr>
            <w:tcW w:w="3261" w:type="dxa"/>
          </w:tcPr>
          <w:p w14:paraId="4CBA27C3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SocDes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– downplay negative qualities</w:t>
            </w:r>
          </w:p>
        </w:tc>
        <w:tc>
          <w:tcPr>
            <w:tcW w:w="1072" w:type="dxa"/>
            <w:vAlign w:val="center"/>
          </w:tcPr>
          <w:p w14:paraId="1C944E8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0.45</w:t>
            </w:r>
          </w:p>
        </w:tc>
        <w:tc>
          <w:tcPr>
            <w:tcW w:w="1611" w:type="dxa"/>
            <w:vAlign w:val="center"/>
          </w:tcPr>
          <w:p w14:paraId="0095D0C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.015</w:t>
            </w:r>
          </w:p>
        </w:tc>
        <w:tc>
          <w:tcPr>
            <w:tcW w:w="1611" w:type="dxa"/>
            <w:vAlign w:val="center"/>
          </w:tcPr>
          <w:p w14:paraId="0E7781E5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.126*</w:t>
            </w:r>
          </w:p>
        </w:tc>
        <w:tc>
          <w:tcPr>
            <w:tcW w:w="1611" w:type="dxa"/>
            <w:vAlign w:val="center"/>
          </w:tcPr>
          <w:p w14:paraId="19BEDDA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.125*</w:t>
            </w:r>
          </w:p>
        </w:tc>
        <w:tc>
          <w:tcPr>
            <w:tcW w:w="1612" w:type="dxa"/>
            <w:vAlign w:val="center"/>
          </w:tcPr>
          <w:p w14:paraId="4A49014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-.07</w:t>
            </w:r>
          </w:p>
        </w:tc>
      </w:tr>
      <w:tr w:rsidR="00DA772C" w:rsidRPr="006735F6" w14:paraId="64CA158B" w14:textId="77777777" w:rsidTr="00DA772C">
        <w:trPr>
          <w:trHeight w:val="254"/>
        </w:trPr>
        <w:tc>
          <w:tcPr>
            <w:tcW w:w="3261" w:type="dxa"/>
          </w:tcPr>
          <w:p w14:paraId="6845CF3E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  <w:highlight w:val="yellow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Extraversion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592C7170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r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.67</w:t>
            </w:r>
          </w:p>
        </w:tc>
        <w:tc>
          <w:tcPr>
            <w:tcW w:w="1611" w:type="dxa"/>
            <w:vAlign w:val="center"/>
          </w:tcPr>
          <w:p w14:paraId="1908AF74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-.008</w:t>
            </w:r>
          </w:p>
        </w:tc>
        <w:tc>
          <w:tcPr>
            <w:tcW w:w="1611" w:type="dxa"/>
            <w:vAlign w:val="center"/>
          </w:tcPr>
          <w:p w14:paraId="7D3FBFD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-.134**</w:t>
            </w:r>
          </w:p>
        </w:tc>
        <w:tc>
          <w:tcPr>
            <w:tcW w:w="1611" w:type="dxa"/>
            <w:vAlign w:val="center"/>
          </w:tcPr>
          <w:p w14:paraId="11AF9EFB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-.110*</w:t>
            </w:r>
          </w:p>
        </w:tc>
        <w:tc>
          <w:tcPr>
            <w:tcW w:w="1612" w:type="dxa"/>
            <w:vAlign w:val="center"/>
          </w:tcPr>
          <w:p w14:paraId="1972D10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.008</w:t>
            </w:r>
          </w:p>
        </w:tc>
      </w:tr>
      <w:tr w:rsidR="00DA772C" w:rsidRPr="006735F6" w14:paraId="341785C0" w14:textId="77777777" w:rsidTr="00DA772C">
        <w:trPr>
          <w:trHeight w:val="181"/>
        </w:trPr>
        <w:tc>
          <w:tcPr>
            <w:tcW w:w="3261" w:type="dxa"/>
          </w:tcPr>
          <w:p w14:paraId="37A95614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Agreeableness †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76581C4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n.a</w:t>
            </w:r>
            <w:proofErr w:type="spellEnd"/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11" w:type="dxa"/>
            <w:vAlign w:val="center"/>
          </w:tcPr>
          <w:p w14:paraId="2D418F8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.025</w:t>
            </w:r>
          </w:p>
        </w:tc>
        <w:tc>
          <w:tcPr>
            <w:tcW w:w="1611" w:type="dxa"/>
            <w:vAlign w:val="center"/>
          </w:tcPr>
          <w:p w14:paraId="472D2A9B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-.006</w:t>
            </w:r>
          </w:p>
        </w:tc>
        <w:tc>
          <w:tcPr>
            <w:tcW w:w="1611" w:type="dxa"/>
            <w:vAlign w:val="center"/>
          </w:tcPr>
          <w:p w14:paraId="2AC844FE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.042</w:t>
            </w:r>
          </w:p>
        </w:tc>
        <w:tc>
          <w:tcPr>
            <w:tcW w:w="1612" w:type="dxa"/>
            <w:vAlign w:val="center"/>
          </w:tcPr>
          <w:p w14:paraId="600B7F1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-.031</w:t>
            </w:r>
          </w:p>
        </w:tc>
      </w:tr>
      <w:tr w:rsidR="00DA772C" w:rsidRPr="006735F6" w14:paraId="379B0C5D" w14:textId="77777777" w:rsidTr="00DA772C">
        <w:trPr>
          <w:trHeight w:val="191"/>
        </w:trPr>
        <w:tc>
          <w:tcPr>
            <w:tcW w:w="3261" w:type="dxa"/>
          </w:tcPr>
          <w:p w14:paraId="0572DBEA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b/>
                <w:i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Neuroticism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226B463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r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.32</w:t>
            </w:r>
          </w:p>
        </w:tc>
        <w:tc>
          <w:tcPr>
            <w:tcW w:w="1611" w:type="dxa"/>
            <w:vAlign w:val="center"/>
          </w:tcPr>
          <w:p w14:paraId="0871C49D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-.018</w:t>
            </w:r>
          </w:p>
        </w:tc>
        <w:tc>
          <w:tcPr>
            <w:tcW w:w="1611" w:type="dxa"/>
            <w:vAlign w:val="center"/>
          </w:tcPr>
          <w:p w14:paraId="0F906E97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.142**</w:t>
            </w:r>
          </w:p>
        </w:tc>
        <w:tc>
          <w:tcPr>
            <w:tcW w:w="1611" w:type="dxa"/>
            <w:vAlign w:val="center"/>
          </w:tcPr>
          <w:p w14:paraId="32EF4922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.187**</w:t>
            </w:r>
          </w:p>
        </w:tc>
        <w:tc>
          <w:tcPr>
            <w:tcW w:w="1612" w:type="dxa"/>
            <w:vAlign w:val="center"/>
          </w:tcPr>
          <w:p w14:paraId="20D5729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.002</w:t>
            </w:r>
          </w:p>
        </w:tc>
      </w:tr>
      <w:tr w:rsidR="00DA772C" w:rsidRPr="006735F6" w14:paraId="485AF10E" w14:textId="77777777" w:rsidTr="00DA772C">
        <w:trPr>
          <w:trHeight w:val="63"/>
        </w:trPr>
        <w:tc>
          <w:tcPr>
            <w:tcW w:w="3261" w:type="dxa"/>
          </w:tcPr>
          <w:p w14:paraId="52361404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Openness for experience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vAlign w:val="center"/>
          </w:tcPr>
          <w:p w14:paraId="7FAABB2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r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.46</w:t>
            </w:r>
          </w:p>
        </w:tc>
        <w:tc>
          <w:tcPr>
            <w:tcW w:w="1611" w:type="dxa"/>
            <w:vAlign w:val="center"/>
          </w:tcPr>
          <w:p w14:paraId="53DC0331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-.098*</w:t>
            </w:r>
          </w:p>
        </w:tc>
        <w:tc>
          <w:tcPr>
            <w:tcW w:w="1611" w:type="dxa"/>
            <w:vAlign w:val="center"/>
          </w:tcPr>
          <w:p w14:paraId="3A73583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.01</w:t>
            </w:r>
          </w:p>
        </w:tc>
        <w:tc>
          <w:tcPr>
            <w:tcW w:w="1611" w:type="dxa"/>
            <w:vAlign w:val="center"/>
          </w:tcPr>
          <w:p w14:paraId="760C7259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.012</w:t>
            </w:r>
          </w:p>
        </w:tc>
        <w:tc>
          <w:tcPr>
            <w:tcW w:w="1612" w:type="dxa"/>
            <w:vAlign w:val="center"/>
          </w:tcPr>
          <w:p w14:paraId="568BB2E5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.150**</w:t>
            </w:r>
          </w:p>
        </w:tc>
      </w:tr>
      <w:tr w:rsidR="00DA772C" w:rsidRPr="006735F6" w14:paraId="344E2A32" w14:textId="77777777" w:rsidTr="00DA772C">
        <w:trPr>
          <w:trHeight w:val="191"/>
        </w:trPr>
        <w:tc>
          <w:tcPr>
            <w:tcW w:w="3261" w:type="dxa"/>
            <w:tcBorders>
              <w:bottom w:val="single" w:sz="2" w:space="0" w:color="auto"/>
            </w:tcBorders>
          </w:tcPr>
          <w:p w14:paraId="63DE7535" w14:textId="77777777" w:rsidR="00DA772C" w:rsidRPr="006735F6" w:rsidRDefault="00DA772C" w:rsidP="00DA772C">
            <w:pPr>
              <w:spacing w:line="360" w:lineRule="auto"/>
              <w:rPr>
                <w:rFonts w:ascii="Arial" w:hAnsi="Arial" w:cs="Arial"/>
                <w:color w:val="000000" w:themeColor="text1"/>
                <w:sz w:val="21"/>
                <w:szCs w:val="21"/>
                <w:highlight w:val="cyan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Conscientiousness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72" w:type="dxa"/>
            <w:tcBorders>
              <w:bottom w:val="single" w:sz="2" w:space="0" w:color="auto"/>
            </w:tcBorders>
            <w:vAlign w:val="center"/>
          </w:tcPr>
          <w:p w14:paraId="68436B43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  <w:highlight w:val="cyan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r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.32</w:t>
            </w:r>
          </w:p>
        </w:tc>
        <w:tc>
          <w:tcPr>
            <w:tcW w:w="1611" w:type="dxa"/>
            <w:tcBorders>
              <w:bottom w:val="single" w:sz="2" w:space="0" w:color="auto"/>
            </w:tcBorders>
            <w:vAlign w:val="center"/>
          </w:tcPr>
          <w:p w14:paraId="7D76D096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  <w:highlight w:val="cyan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.026</w:t>
            </w:r>
          </w:p>
        </w:tc>
        <w:tc>
          <w:tcPr>
            <w:tcW w:w="1611" w:type="dxa"/>
            <w:tcBorders>
              <w:bottom w:val="single" w:sz="2" w:space="0" w:color="auto"/>
            </w:tcBorders>
            <w:vAlign w:val="center"/>
          </w:tcPr>
          <w:p w14:paraId="522D163C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-.09</w:t>
            </w:r>
          </w:p>
        </w:tc>
        <w:tc>
          <w:tcPr>
            <w:tcW w:w="1611" w:type="dxa"/>
            <w:tcBorders>
              <w:bottom w:val="single" w:sz="2" w:space="0" w:color="auto"/>
            </w:tcBorders>
            <w:vAlign w:val="center"/>
          </w:tcPr>
          <w:p w14:paraId="26BACC7F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  <w:highlight w:val="cyan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-.133**</w:t>
            </w:r>
          </w:p>
        </w:tc>
        <w:tc>
          <w:tcPr>
            <w:tcW w:w="1612" w:type="dxa"/>
            <w:tcBorders>
              <w:bottom w:val="single" w:sz="2" w:space="0" w:color="auto"/>
            </w:tcBorders>
            <w:vAlign w:val="center"/>
          </w:tcPr>
          <w:p w14:paraId="6743EFAA" w14:textId="77777777" w:rsidR="00DA772C" w:rsidRPr="006735F6" w:rsidRDefault="00DA772C" w:rsidP="00DA772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  <w:highlight w:val="cyan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.208**</w:t>
            </w:r>
          </w:p>
        </w:tc>
      </w:tr>
    </w:tbl>
    <w:p w14:paraId="0605FEB2" w14:textId="35B5870C" w:rsidR="00967556" w:rsidRPr="006735F6" w:rsidRDefault="00DA772C" w:rsidP="008227F9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 </w:t>
      </w:r>
      <w:r w:rsidR="00046C1C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S5</w:t>
      </w:r>
      <w:r w:rsidR="005B2A56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 Table</w:t>
      </w:r>
    </w:p>
    <w:p w14:paraId="2B5DF4D4" w14:textId="6E68E0DE" w:rsidR="00967556" w:rsidRPr="006735F6" w:rsidRDefault="00967556" w:rsidP="00967556">
      <w:pPr>
        <w:ind w:left="-709"/>
        <w:rPr>
          <w:rFonts w:ascii="Arial" w:hAnsi="Arial" w:cs="Arial"/>
          <w:i/>
          <w:color w:val="000000" w:themeColor="text1"/>
          <w:sz w:val="21"/>
          <w:szCs w:val="21"/>
          <w:lang w:val="en-US"/>
        </w:rPr>
      </w:pPr>
      <w:r w:rsidRPr="006735F6">
        <w:rPr>
          <w:rFonts w:ascii="Arial" w:hAnsi="Arial" w:cs="Arial"/>
          <w:i/>
          <w:color w:val="000000" w:themeColor="text1"/>
          <w:sz w:val="21"/>
          <w:szCs w:val="21"/>
          <w:lang w:val="en-US"/>
        </w:rPr>
        <w:lastRenderedPageBreak/>
        <w:t>Note: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α = Cronbach’s alpha; bold correlations were expected. ** p &lt; .01; </w:t>
      </w:r>
      <w:r w:rsidRPr="006735F6">
        <w:rPr>
          <w:rFonts w:ascii="Arial" w:hAnsi="Arial" w:cs="Arial"/>
          <w:i/>
          <w:color w:val="000000" w:themeColor="text1"/>
          <w:sz w:val="21"/>
          <w:szCs w:val="21"/>
          <w:lang w:val="en-US"/>
        </w:rPr>
        <w:t>r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= Spearman</w:t>
      </w:r>
      <w:r w:rsidR="005C79A0"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-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Brown correlation to examine reliability of two item measures; † the two agreeableness items correlated at .07. Therefore, only the item </w:t>
      </w:r>
      <w:r w:rsidR="005C79A0"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“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I</w:t>
      </w:r>
      <w:r w:rsidR="00CE7278"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t</w:t>
      </w:r>
      <w:r w:rsidR="00EB487A"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rust others easily and belie</w:t>
      </w:r>
      <w:r w:rsidR="00CE7278"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ve in the </w:t>
      </w:r>
      <w:r w:rsidR="00EB487A"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good in man</w:t>
      </w:r>
      <w:r w:rsidR="005C79A0"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”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was selected. </w:t>
      </w:r>
      <w:r w:rsidRPr="006735F6">
        <w:rPr>
          <w:rFonts w:ascii="Arial" w:hAnsi="Arial" w:cs="Arial"/>
          <w:color w:val="000000" w:themeColor="text1"/>
          <w:sz w:val="21"/>
          <w:szCs w:val="21"/>
          <w:vertAlign w:val="superscript"/>
          <w:lang w:val="en-US"/>
        </w:rPr>
        <w:t>1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assessed in sample A (</w:t>
      </w:r>
      <w:r w:rsidRPr="006735F6">
        <w:rPr>
          <w:rFonts w:ascii="Arial" w:hAnsi="Arial" w:cs="Arial"/>
          <w:i/>
          <w:color w:val="000000" w:themeColor="text1"/>
          <w:sz w:val="21"/>
          <w:szCs w:val="21"/>
          <w:lang w:val="en-US"/>
        </w:rPr>
        <w:t>n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= 1033), </w:t>
      </w:r>
      <w:r w:rsidRPr="006735F6">
        <w:rPr>
          <w:rFonts w:ascii="Arial" w:hAnsi="Arial" w:cs="Arial"/>
          <w:color w:val="000000" w:themeColor="text1"/>
          <w:sz w:val="21"/>
          <w:szCs w:val="21"/>
          <w:vertAlign w:val="superscript"/>
          <w:lang w:val="en-US"/>
        </w:rPr>
        <w:t>2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assessed in sample B (</w:t>
      </w:r>
      <w:r w:rsidRPr="006735F6">
        <w:rPr>
          <w:rFonts w:ascii="Arial" w:hAnsi="Arial" w:cs="Arial"/>
          <w:i/>
          <w:color w:val="000000" w:themeColor="text1"/>
          <w:sz w:val="21"/>
          <w:szCs w:val="21"/>
          <w:lang w:val="en-US"/>
        </w:rPr>
        <w:t>n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= 412). </w:t>
      </w:r>
      <w:proofErr w:type="spellStart"/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SocDes</w:t>
      </w:r>
      <w:proofErr w:type="spellEnd"/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= social desirability. </w:t>
      </w:r>
    </w:p>
    <w:p w14:paraId="694B3A3C" w14:textId="18CC5AA0" w:rsidR="00945AA1" w:rsidRPr="006735F6" w:rsidRDefault="00945AA1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  <w:r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br w:type="page"/>
      </w:r>
    </w:p>
    <w:p w14:paraId="2554BA18" w14:textId="439D7B67" w:rsidR="003C792E" w:rsidRPr="006735F6" w:rsidRDefault="0058405B" w:rsidP="003C792E">
      <w:pPr>
        <w:outlineLvl w:val="0"/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  <w:r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lastRenderedPageBreak/>
        <w:t xml:space="preserve">Supplementary </w:t>
      </w:r>
      <w:r w:rsidR="003C792E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Ta</w:t>
      </w:r>
      <w:r w:rsidR="00B009C4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ble </w:t>
      </w:r>
      <w:r w:rsidR="00EF5B63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S</w:t>
      </w:r>
      <w:r w:rsidR="00E92203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6</w:t>
      </w:r>
      <w:r w:rsidR="005C79A0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. </w:t>
      </w:r>
      <w:r w:rsidR="003C792E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Convergent and discriminant validity and comparison to existing measures (Study 2)</w:t>
      </w:r>
    </w:p>
    <w:p w14:paraId="3E73EEFB" w14:textId="77777777" w:rsidR="003C792E" w:rsidRPr="006735F6" w:rsidRDefault="003C792E" w:rsidP="003C792E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</w:p>
    <w:tbl>
      <w:tblPr>
        <w:tblStyle w:val="Tabellenraster"/>
        <w:tblW w:w="9231" w:type="dxa"/>
        <w:tblLook w:val="04A0" w:firstRow="1" w:lastRow="0" w:firstColumn="1" w:lastColumn="0" w:noHBand="0" w:noVBand="1"/>
      </w:tblPr>
      <w:tblGrid>
        <w:gridCol w:w="2326"/>
        <w:gridCol w:w="2043"/>
        <w:gridCol w:w="1458"/>
        <w:gridCol w:w="1832"/>
        <w:gridCol w:w="1572"/>
      </w:tblGrid>
      <w:tr w:rsidR="00983031" w:rsidRPr="006735F6" w14:paraId="1FDAE5C7" w14:textId="77777777" w:rsidTr="00983031">
        <w:trPr>
          <w:trHeight w:val="1022"/>
        </w:trPr>
        <w:tc>
          <w:tcPr>
            <w:tcW w:w="2326" w:type="dxa"/>
            <w:tcBorders>
              <w:left w:val="nil"/>
              <w:bottom w:val="single" w:sz="4" w:space="0" w:color="auto"/>
              <w:right w:val="nil"/>
            </w:tcBorders>
          </w:tcPr>
          <w:p w14:paraId="00A3D8DF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043" w:type="dxa"/>
            <w:tcBorders>
              <w:left w:val="nil"/>
              <w:bottom w:val="single" w:sz="4" w:space="0" w:color="auto"/>
              <w:right w:val="nil"/>
            </w:tcBorders>
          </w:tcPr>
          <w:p w14:paraId="28C393A4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Parental Attitudes about Childhood Vaccinations (PACV)</w:t>
            </w:r>
          </w:p>
        </w:tc>
        <w:tc>
          <w:tcPr>
            <w:tcW w:w="1458" w:type="dxa"/>
            <w:tcBorders>
              <w:left w:val="nil"/>
              <w:bottom w:val="single" w:sz="4" w:space="0" w:color="auto"/>
              <w:right w:val="nil"/>
            </w:tcBorders>
          </w:tcPr>
          <w:p w14:paraId="7203CFFF" w14:textId="24801200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PACV short scale 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begin"/>
            </w:r>
            <w:r w:rsidR="0010594E">
              <w:rPr>
                <w:rFonts w:ascii="Arial" w:hAnsi="Arial" w:cs="Arial"/>
                <w:color w:val="000000" w:themeColor="text1"/>
                <w:sz w:val="21"/>
                <w:szCs w:val="21"/>
              </w:rPr>
              <w:instrText xml:space="preserve"> ADDIN ZOTERO_ITEM CSL_CITATION {"citationID":"amk2a1idk2","properties":{"formattedCitation":"[38]","plainCitation":"[38]","noteIndex":0},"citationItems":[{"id":5323,"uris":["http://zotero.org/users/3434864/items/5TLRQSLQ"],"uri":["http://zotero.org/users/3434864/items/5TLRQSLQ"],"itemData":{"id":5323,"type":"article-journal","title":"Association of moral values with vaccine hesitancy","container-title":"Nature Human Behaviour","page":"873-880","volume":"1","issue":"12","source":"CrossRef","DOI":"10.1038/s41562-017-0256-5","ISSN":"2397-3374","language":"en","author":[{"family":"Amin","given":"Avnika B."},{"family":"Bednarczyk","given":"Robert A."},{"family":"Ray","given":"Cara E."},{"family":"Melchiori","given":"Kala J."},{"family":"Graham","given":"Jesse"},{"family":"Huntsinger","given":"Jeffrey R."},{"family":"Omer","given":"Saad B."}],"issued":{"date-parts":[["2017",12]]}}}],"schema":"https://github.com/citation-style-language/schema/raw/master/csl-citation.json"} </w:instrTex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separate"/>
            </w:r>
            <w:r w:rsidR="0010594E">
              <w:rPr>
                <w:rFonts w:ascii="Arial" w:hAnsi="Arial" w:cs="Arial"/>
                <w:color w:val="000000"/>
                <w:sz w:val="21"/>
                <w:szCs w:val="21"/>
              </w:rPr>
              <w:t>[38]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832" w:type="dxa"/>
            <w:tcBorders>
              <w:left w:val="nil"/>
              <w:bottom w:val="single" w:sz="4" w:space="0" w:color="auto"/>
              <w:right w:val="nil"/>
            </w:tcBorders>
          </w:tcPr>
          <w:p w14:paraId="174F51AD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Vaccination Confidence Scale (VCS)</w:t>
            </w:r>
          </w:p>
        </w:tc>
        <w:tc>
          <w:tcPr>
            <w:tcW w:w="1572" w:type="dxa"/>
            <w:tcBorders>
              <w:left w:val="nil"/>
              <w:bottom w:val="single" w:sz="4" w:space="0" w:color="auto"/>
              <w:right w:val="nil"/>
            </w:tcBorders>
          </w:tcPr>
          <w:p w14:paraId="58FD2899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VCS short scale (4 items sub-scale benefit,</w:t>
            </w:r>
          </w:p>
          <w:p w14:paraId="030B4BC1" w14:textId="6896879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begin"/>
            </w:r>
            <w:r w:rsidR="0010594E">
              <w:rPr>
                <w:rFonts w:ascii="Arial" w:hAnsi="Arial" w:cs="Arial"/>
                <w:color w:val="000000" w:themeColor="text1"/>
                <w:sz w:val="21"/>
                <w:szCs w:val="21"/>
              </w:rPr>
              <w:instrText xml:space="preserve"> ADDIN ZOTERO_ITEM CSL_CITATION {"citationID":"a100g4qlkja","properties":{"formattedCitation":"[39]","plainCitation":"[39]","noteIndex":0},"citationItems":[{"id":3801,"uris":["http://zotero.org/groups/912480/items/UFWTHHWH"],"uri":["http://zotero.org/groups/912480/items/UFWTHHWH"],"itemData":{"id":3801,"type":"article-journal","title":"Validation of the vaccination confidence scale: a brief measure to identify parents at risk for refusing adolescent vaccines","container-title":"Academic pediatrics","page":"42–49","volume":"16","issue":"1","source":"Google Scholar","shortTitle":"Validation of the vaccination confidence scale","author":[{"family":"Gilkey","given":"Melissa B."},{"family":"Reiter","given":"Paul L."},{"family":"Magnus","given":"Brooke E."},{"family":"McRee","given":"Annie-Laurie"},{"family":"Dempsey","given":"Amanda F."},{"family":"Brewer","given":"Noel T."}],"issued":{"date-parts":[["2016"]]}}}],"schema":"https://github.com/citation-style-language/schema/raw/master/csl-citation.json"} </w:instrTex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separate"/>
            </w:r>
            <w:r w:rsidR="0010594E">
              <w:rPr>
                <w:rFonts w:ascii="Arial" w:hAnsi="Arial" w:cs="Arial"/>
                <w:color w:val="000000"/>
                <w:sz w:val="21"/>
                <w:szCs w:val="21"/>
              </w:rPr>
              <w:t>[39]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fldChar w:fldCharType="end"/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)</w:t>
            </w:r>
          </w:p>
        </w:tc>
      </w:tr>
      <w:tr w:rsidR="00983031" w:rsidRPr="006735F6" w14:paraId="101A8823" w14:textId="77777777" w:rsidTr="00983031">
        <w:trPr>
          <w:trHeight w:val="500"/>
        </w:trPr>
        <w:tc>
          <w:tcPr>
            <w:tcW w:w="2326" w:type="dxa"/>
            <w:tcBorders>
              <w:left w:val="nil"/>
              <w:bottom w:val="single" w:sz="4" w:space="0" w:color="auto"/>
              <w:right w:val="nil"/>
            </w:tcBorders>
          </w:tcPr>
          <w:p w14:paraId="2BADD916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043" w:type="dxa"/>
            <w:tcBorders>
              <w:left w:val="nil"/>
              <w:bottom w:val="single" w:sz="4" w:space="0" w:color="auto"/>
              <w:right w:val="nil"/>
            </w:tcBorders>
          </w:tcPr>
          <w:p w14:paraId="476DFA02" w14:textId="79B68A8B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sym w:font="Symbol" w:char="F061"/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.88</w:t>
            </w:r>
          </w:p>
          <w:p w14:paraId="611CF079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253</w:t>
            </w:r>
          </w:p>
        </w:tc>
        <w:tc>
          <w:tcPr>
            <w:tcW w:w="1458" w:type="dxa"/>
            <w:tcBorders>
              <w:left w:val="nil"/>
              <w:bottom w:val="single" w:sz="4" w:space="0" w:color="auto"/>
              <w:right w:val="nil"/>
            </w:tcBorders>
          </w:tcPr>
          <w:p w14:paraId="2E423251" w14:textId="6AEDFF1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sym w:font="Symbol" w:char="F061"/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.77</w:t>
            </w:r>
          </w:p>
          <w:p w14:paraId="3C911788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253</w:t>
            </w:r>
          </w:p>
        </w:tc>
        <w:tc>
          <w:tcPr>
            <w:tcW w:w="1832" w:type="dxa"/>
            <w:tcBorders>
              <w:left w:val="nil"/>
              <w:bottom w:val="single" w:sz="4" w:space="0" w:color="auto"/>
              <w:right w:val="nil"/>
            </w:tcBorders>
          </w:tcPr>
          <w:p w14:paraId="25408889" w14:textId="475FF44A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sym w:font="Symbol" w:char="F061"/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.86</w:t>
            </w:r>
          </w:p>
          <w:p w14:paraId="37C2B83A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1003</w:t>
            </w:r>
          </w:p>
        </w:tc>
        <w:tc>
          <w:tcPr>
            <w:tcW w:w="1572" w:type="dxa"/>
            <w:tcBorders>
              <w:left w:val="nil"/>
              <w:bottom w:val="single" w:sz="4" w:space="0" w:color="auto"/>
              <w:right w:val="nil"/>
            </w:tcBorders>
          </w:tcPr>
          <w:p w14:paraId="44225559" w14:textId="472B9A1E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sym w:font="Symbol" w:char="F061"/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.86</w:t>
            </w:r>
          </w:p>
          <w:p w14:paraId="74310DB9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i/>
                <w:color w:val="000000" w:themeColor="text1"/>
                <w:sz w:val="21"/>
                <w:szCs w:val="21"/>
              </w:rPr>
              <w:t>n</w:t>
            </w: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= 1003</w:t>
            </w:r>
          </w:p>
        </w:tc>
      </w:tr>
      <w:tr w:rsidR="00983031" w:rsidRPr="006735F6" w14:paraId="32F61B9A" w14:textId="77777777" w:rsidTr="00D510CF">
        <w:trPr>
          <w:trHeight w:val="311"/>
        </w:trPr>
        <w:tc>
          <w:tcPr>
            <w:tcW w:w="2326" w:type="dxa"/>
            <w:tcBorders>
              <w:left w:val="nil"/>
              <w:bottom w:val="nil"/>
              <w:right w:val="nil"/>
            </w:tcBorders>
          </w:tcPr>
          <w:p w14:paraId="64E554A5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Confidence</w:t>
            </w:r>
          </w:p>
        </w:tc>
        <w:tc>
          <w:tcPr>
            <w:tcW w:w="2043" w:type="dxa"/>
            <w:tcBorders>
              <w:left w:val="nil"/>
              <w:bottom w:val="nil"/>
              <w:right w:val="nil"/>
            </w:tcBorders>
          </w:tcPr>
          <w:p w14:paraId="4CED250B" w14:textId="6EC44591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-.508</w:t>
            </w:r>
          </w:p>
        </w:tc>
        <w:tc>
          <w:tcPr>
            <w:tcW w:w="1458" w:type="dxa"/>
            <w:tcBorders>
              <w:left w:val="nil"/>
              <w:bottom w:val="nil"/>
              <w:right w:val="nil"/>
            </w:tcBorders>
            <w:vAlign w:val="bottom"/>
          </w:tcPr>
          <w:p w14:paraId="40B2EE70" w14:textId="7AADAF41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-.500</w:t>
            </w:r>
          </w:p>
        </w:tc>
        <w:tc>
          <w:tcPr>
            <w:tcW w:w="1832" w:type="dxa"/>
            <w:tcBorders>
              <w:left w:val="nil"/>
              <w:bottom w:val="nil"/>
              <w:right w:val="nil"/>
            </w:tcBorders>
          </w:tcPr>
          <w:p w14:paraId="2B72178E" w14:textId="742939E2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.766</w:t>
            </w:r>
          </w:p>
        </w:tc>
        <w:tc>
          <w:tcPr>
            <w:tcW w:w="1572" w:type="dxa"/>
            <w:tcBorders>
              <w:left w:val="nil"/>
              <w:bottom w:val="nil"/>
              <w:right w:val="nil"/>
            </w:tcBorders>
            <w:vAlign w:val="bottom"/>
          </w:tcPr>
          <w:p w14:paraId="52FE6665" w14:textId="19EA0A35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.76</w:t>
            </w:r>
            <w:r w:rsidR="00D510CF"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6</w:t>
            </w:r>
          </w:p>
        </w:tc>
      </w:tr>
      <w:tr w:rsidR="00983031" w:rsidRPr="006735F6" w14:paraId="0F43FA22" w14:textId="77777777" w:rsidTr="00983031">
        <w:trPr>
          <w:trHeight w:val="195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268DB61E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Constraints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5906834" w14:textId="1BB69B60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.333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A5B6C" w14:textId="47738379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.378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3292117B" w14:textId="35878B61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-.346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56DF5" w14:textId="2BA9E384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-.2</w:t>
            </w:r>
            <w:r w:rsidR="00D510CF"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70</w:t>
            </w:r>
          </w:p>
        </w:tc>
      </w:tr>
      <w:tr w:rsidR="00983031" w:rsidRPr="006735F6" w14:paraId="2E0A9B17" w14:textId="77777777" w:rsidTr="00983031">
        <w:trPr>
          <w:trHeight w:val="195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3DDF92BD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Complacency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50D32D4" w14:textId="51A077DF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.601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3C483" w14:textId="14237583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.647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5C7692BB" w14:textId="2F5FF1B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-.588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7F22A" w14:textId="0EC8CC21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-.531</w:t>
            </w:r>
          </w:p>
        </w:tc>
      </w:tr>
      <w:tr w:rsidR="00983031" w:rsidRPr="006735F6" w14:paraId="1DED2002" w14:textId="77777777" w:rsidTr="00983031">
        <w:trPr>
          <w:trHeight w:val="251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67EC932D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Calculation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9D70CAC" w14:textId="484BCEE0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.282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E0ED5" w14:textId="1F4C4CC1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.313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185BCE09" w14:textId="4D2958BC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-.154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BDBC8" w14:textId="5D1FF55C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-.10</w:t>
            </w:r>
            <w:r w:rsidR="00D510CF"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4</w:t>
            </w:r>
          </w:p>
        </w:tc>
      </w:tr>
      <w:tr w:rsidR="00983031" w:rsidRPr="006735F6" w14:paraId="49592BE0" w14:textId="77777777" w:rsidTr="00983031">
        <w:trPr>
          <w:trHeight w:val="195"/>
        </w:trPr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F1BE7A" w14:textId="7777777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Coll. Resp.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250850" w14:textId="55DAB8E6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-.369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BCD588" w14:textId="42F43C6D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-.379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88E89" w14:textId="2EBEF884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.398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F60E639" w14:textId="6F50AE67" w:rsidR="00114F2D" w:rsidRPr="006735F6" w:rsidRDefault="00114F2D" w:rsidP="0070607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735F6">
              <w:rPr>
                <w:rFonts w:ascii="Arial" w:hAnsi="Arial" w:cs="Arial"/>
                <w:color w:val="000000" w:themeColor="text1"/>
                <w:sz w:val="21"/>
                <w:szCs w:val="21"/>
              </w:rPr>
              <w:t>.352</w:t>
            </w:r>
          </w:p>
        </w:tc>
      </w:tr>
    </w:tbl>
    <w:p w14:paraId="24F368F2" w14:textId="1069B04F" w:rsidR="003C792E" w:rsidRPr="006735F6" w:rsidRDefault="003C792E" w:rsidP="003C792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  <w:r w:rsidRPr="006735F6">
        <w:rPr>
          <w:rFonts w:ascii="Arial" w:hAnsi="Arial" w:cs="Arial"/>
          <w:i/>
          <w:color w:val="000000" w:themeColor="text1"/>
          <w:sz w:val="21"/>
          <w:szCs w:val="21"/>
          <w:lang w:val="en-US"/>
        </w:rPr>
        <w:t>Note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: all </w:t>
      </w:r>
      <w:proofErr w:type="spellStart"/>
      <w:r w:rsidRPr="006735F6">
        <w:rPr>
          <w:rFonts w:ascii="Arial" w:hAnsi="Arial" w:cs="Arial"/>
          <w:i/>
          <w:color w:val="000000" w:themeColor="text1"/>
          <w:sz w:val="21"/>
          <w:szCs w:val="21"/>
          <w:lang w:val="en-US"/>
        </w:rPr>
        <w:t>p</w:t>
      </w:r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>s</w:t>
      </w:r>
      <w:proofErr w:type="spellEnd"/>
      <w:r w:rsidRPr="006735F6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&lt; .001. </w:t>
      </w:r>
    </w:p>
    <w:p w14:paraId="645C1574" w14:textId="77777777" w:rsidR="00452AEA" w:rsidRPr="006735F6" w:rsidRDefault="00452AEA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</w:p>
    <w:p w14:paraId="045ACF6C" w14:textId="77777777" w:rsidR="007521CC" w:rsidRDefault="007521CC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</w:p>
    <w:p w14:paraId="2AD41470" w14:textId="038DADBD" w:rsidR="007521CC" w:rsidRDefault="007521CC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</w:p>
    <w:p w14:paraId="2520DAFD" w14:textId="77777777" w:rsidR="007521CC" w:rsidRDefault="007521CC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</w:p>
    <w:p w14:paraId="787DEEA1" w14:textId="29B2918D" w:rsidR="007521CC" w:rsidRDefault="007521CC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</w:p>
    <w:p w14:paraId="1BDFB036" w14:textId="21666595" w:rsidR="00A1487D" w:rsidRDefault="007521CC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Supplementary Figure S1</w:t>
      </w:r>
      <w:r w:rsidR="00ED64FD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. Means</w:t>
      </w:r>
      <w:r w:rsidR="00A1487D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 </w:t>
      </w:r>
      <w:r w:rsidR="0035696A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of existing hesitancy and confidence scales </w:t>
      </w:r>
      <w:r w:rsidR="00A1487D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>(Study 3)</w:t>
      </w:r>
      <w:r w:rsidR="00ED64FD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. </w:t>
      </w:r>
      <w:r w:rsidR="00ED64FD" w:rsidRPr="00323AFB">
        <w:rPr>
          <w:rFonts w:ascii="Arial" w:hAnsi="Arial" w:cs="Arial"/>
          <w:bCs/>
          <w:color w:val="000000" w:themeColor="text1"/>
          <w:sz w:val="21"/>
          <w:szCs w:val="21"/>
          <w:lang w:val="en-US"/>
        </w:rPr>
        <w:t xml:space="preserve">For the means, each variable was transformed into POMP values </w:t>
      </w:r>
      <w:r w:rsidR="00947E53">
        <w:rPr>
          <w:rFonts w:ascii="Arial" w:hAnsi="Arial" w:cs="Arial"/>
          <w:bCs/>
          <w:color w:val="000000" w:themeColor="text1"/>
          <w:sz w:val="21"/>
          <w:szCs w:val="21"/>
          <w:lang w:val="en-US"/>
        </w:rPr>
        <w:t xml:space="preserve">[0,100] </w:t>
      </w:r>
      <w:r w:rsidR="00ED64FD" w:rsidRPr="00323AFB">
        <w:rPr>
          <w:rFonts w:ascii="Arial" w:hAnsi="Arial" w:cs="Arial"/>
          <w:bCs/>
          <w:color w:val="000000" w:themeColor="text1"/>
          <w:sz w:val="21"/>
          <w:szCs w:val="21"/>
          <w:lang w:val="en-US"/>
        </w:rPr>
        <w:t>to allow for direct comparison of the mean values: percent of maximum possible [((observed - minimum)</w:t>
      </w:r>
      <w:proofErr w:type="gramStart"/>
      <w:r w:rsidR="00ED64FD" w:rsidRPr="00323AFB">
        <w:rPr>
          <w:rFonts w:ascii="Arial" w:hAnsi="Arial" w:cs="Arial"/>
          <w:bCs/>
          <w:color w:val="000000" w:themeColor="text1"/>
          <w:sz w:val="21"/>
          <w:szCs w:val="21"/>
          <w:lang w:val="en-US"/>
        </w:rPr>
        <w:t>/(</w:t>
      </w:r>
      <w:proofErr w:type="gramEnd"/>
      <w:r w:rsidR="00ED64FD" w:rsidRPr="00323AFB">
        <w:rPr>
          <w:rFonts w:ascii="Arial" w:hAnsi="Arial" w:cs="Arial"/>
          <w:bCs/>
          <w:color w:val="000000" w:themeColor="text1"/>
          <w:sz w:val="21"/>
          <w:szCs w:val="21"/>
          <w:lang w:val="en-US"/>
        </w:rPr>
        <w:t>maximum - minimum)) x 100]. The PACV and the VAS were recoded for more convenient comparison. Higher values express more acceptance/positive attitudes/confidence.</w:t>
      </w:r>
    </w:p>
    <w:p w14:paraId="613FC325" w14:textId="7CA7313E" w:rsidR="00A1487D" w:rsidRDefault="00A1487D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</w:p>
    <w:p w14:paraId="3BAFFC4D" w14:textId="269C05A3" w:rsidR="008C5329" w:rsidRPr="006735F6" w:rsidRDefault="00C940B5">
      <w:pPr>
        <w:rPr>
          <w:rFonts w:ascii="Arial" w:hAnsi="Arial" w:cs="Arial"/>
          <w:b/>
          <w:color w:val="000000" w:themeColor="text1"/>
          <w:sz w:val="21"/>
          <w:szCs w:val="21"/>
          <w:lang w:val="en-US"/>
        </w:rPr>
      </w:pPr>
      <w:r w:rsidRPr="00C940B5">
        <w:rPr>
          <w:rFonts w:ascii="Arial" w:hAnsi="Arial" w:cs="Arial"/>
          <w:b/>
          <w:noProof/>
          <w:color w:val="000000" w:themeColor="text1"/>
          <w:sz w:val="21"/>
          <w:szCs w:val="21"/>
          <w:lang w:eastAsia="de-DE"/>
        </w:rPr>
        <w:drawing>
          <wp:inline distT="0" distB="0" distL="0" distR="0" wp14:anchorId="4A910B6E" wp14:editId="26359D82">
            <wp:extent cx="5943600" cy="350774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87D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t xml:space="preserve"> </w:t>
      </w:r>
      <w:r w:rsidR="008C5329" w:rsidRPr="006735F6">
        <w:rPr>
          <w:rFonts w:ascii="Arial" w:hAnsi="Arial" w:cs="Arial"/>
          <w:b/>
          <w:color w:val="000000" w:themeColor="text1"/>
          <w:sz w:val="21"/>
          <w:szCs w:val="21"/>
          <w:lang w:val="en-US"/>
        </w:rPr>
        <w:br w:type="page"/>
      </w:r>
    </w:p>
    <w:p w14:paraId="763CA512" w14:textId="28DAED36" w:rsidR="00502E0E" w:rsidRPr="006735F6" w:rsidRDefault="00502E0E" w:rsidP="00502E0E">
      <w:pPr>
        <w:pStyle w:val="Literaturverzeichnis2"/>
        <w:rPr>
          <w:rFonts w:ascii="Arial" w:hAnsi="Arial" w:cs="Arial"/>
          <w:sz w:val="21"/>
          <w:szCs w:val="21"/>
        </w:rPr>
      </w:pPr>
      <w:r w:rsidRPr="006735F6">
        <w:rPr>
          <w:rFonts w:ascii="Arial" w:hAnsi="Arial" w:cs="Arial"/>
          <w:sz w:val="21"/>
          <w:szCs w:val="21"/>
        </w:rPr>
        <w:lastRenderedPageBreak/>
        <w:t>References</w:t>
      </w:r>
    </w:p>
    <w:p w14:paraId="5C064F32" w14:textId="77777777" w:rsidR="00AC4982" w:rsidRPr="00AC4982" w:rsidRDefault="004F76A3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5373BB">
        <w:rPr>
          <w:rFonts w:ascii="Arial" w:eastAsia="Times New Roman" w:hAnsi="Arial" w:cs="Arial"/>
          <w:sz w:val="21"/>
          <w:szCs w:val="21"/>
          <w:lang w:eastAsia="de-DE"/>
        </w:rPr>
        <w:fldChar w:fldCharType="begin"/>
      </w:r>
      <w:r w:rsidR="00AC4982">
        <w:rPr>
          <w:rFonts w:ascii="Arial" w:eastAsia="Times New Roman" w:hAnsi="Arial" w:cs="Arial"/>
          <w:sz w:val="21"/>
          <w:szCs w:val="21"/>
          <w:lang w:eastAsia="de-DE"/>
        </w:rPr>
        <w:instrText xml:space="preserve"> ADDIN ZOTERO_BIBL {"uncited":[],"omitted":[],"custom":[]} CSL_BIBLIOGRAPHY </w:instrText>
      </w:r>
      <w:r w:rsidRPr="005373BB">
        <w:rPr>
          <w:rFonts w:ascii="Arial" w:eastAsia="Times New Roman" w:hAnsi="Arial" w:cs="Arial"/>
          <w:sz w:val="21"/>
          <w:szCs w:val="21"/>
          <w:lang w:eastAsia="de-DE"/>
        </w:rPr>
        <w:fldChar w:fldCharType="separate"/>
      </w:r>
      <w:r w:rsidR="00AC4982" w:rsidRPr="00AC4982">
        <w:rPr>
          <w:rFonts w:ascii="Arial" w:eastAsia="Times New Roman" w:hAnsi="Arial" w:cs="Arial"/>
          <w:sz w:val="21"/>
        </w:rPr>
        <w:t xml:space="preserve">1. </w:t>
      </w:r>
      <w:r w:rsidR="00AC4982" w:rsidRPr="00AC4982">
        <w:rPr>
          <w:rFonts w:ascii="Arial" w:eastAsia="Times New Roman" w:hAnsi="Arial" w:cs="Arial"/>
          <w:sz w:val="21"/>
        </w:rPr>
        <w:tab/>
        <w:t xml:space="preserve">Ajzen I. Constructing a Theory of Planned Behavior Questionnaire. 2006. </w:t>
      </w:r>
    </w:p>
    <w:p w14:paraId="7919163D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2. </w:t>
      </w:r>
      <w:r w:rsidRPr="00AC4982">
        <w:rPr>
          <w:rFonts w:ascii="Arial" w:eastAsia="Times New Roman" w:hAnsi="Arial" w:cs="Arial"/>
          <w:sz w:val="21"/>
        </w:rPr>
        <w:tab/>
        <w:t xml:space="preserve">Askelson NM, Campo S, Lowe JB, Smith S, Dennis LK, Andsager J. Using the theory of planned behavior to predict mothers’ intentions to vaccinate their daughters against HPV. J Sch Nurs. 2010;26: 194–202. </w:t>
      </w:r>
    </w:p>
    <w:p w14:paraId="527723A3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3. </w:t>
      </w:r>
      <w:r w:rsidRPr="00AC4982">
        <w:rPr>
          <w:rFonts w:ascii="Arial" w:eastAsia="Times New Roman" w:hAnsi="Arial" w:cs="Arial"/>
          <w:sz w:val="21"/>
        </w:rPr>
        <w:tab/>
        <w:t>Horne R, Weinman J, Hankins M. The beliefs about medicines questionnaire: The development and evaluation of a new method for assessing the cognitive representation of medication. Psychol Health. 1999;14: 1–24. doi:10.1080/08870449908407311</w:t>
      </w:r>
    </w:p>
    <w:p w14:paraId="3F9EF942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4. </w:t>
      </w:r>
      <w:r w:rsidRPr="00AC4982">
        <w:rPr>
          <w:rFonts w:ascii="Arial" w:eastAsia="Times New Roman" w:hAnsi="Arial" w:cs="Arial"/>
          <w:sz w:val="21"/>
        </w:rPr>
        <w:tab/>
        <w:t xml:space="preserve">Bruder M, Haffke P, Neave N, Nouripanah N, Imhoff R. Measuring individual differences in generic beliefs in conspiracy theories across cultures: Conspiracy Mentality Questionnaire. Front Psychol. 2013;4: 225. </w:t>
      </w:r>
    </w:p>
    <w:p w14:paraId="50CD3909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5. </w:t>
      </w:r>
      <w:r w:rsidRPr="00AC4982">
        <w:rPr>
          <w:rFonts w:ascii="Arial" w:eastAsia="Times New Roman" w:hAnsi="Arial" w:cs="Arial"/>
          <w:sz w:val="21"/>
        </w:rPr>
        <w:tab/>
        <w:t>Weber E, Blais A-R, Betz N. A Domain-Specific Risk-Attitude Scale: Measuring Risk Perceptions and Risk Behaviors. J Behav Decis Mak. 2002;15. doi:10.1002/bdm.414</w:t>
      </w:r>
    </w:p>
    <w:p w14:paraId="6C11E2DC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6. </w:t>
      </w:r>
      <w:r w:rsidRPr="00AC4982">
        <w:rPr>
          <w:rFonts w:ascii="Arial" w:eastAsia="Times New Roman" w:hAnsi="Arial" w:cs="Arial"/>
          <w:sz w:val="21"/>
        </w:rPr>
        <w:tab/>
        <w:t xml:space="preserve">Johnson JG, Wilke A, Weber EU. DOSPERT-G Bereichsspezifische Risikoskala – Deutsche Version Domain-specific Risk-taking Scale – German version. 2004. </w:t>
      </w:r>
    </w:p>
    <w:p w14:paraId="053914E7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7. </w:t>
      </w:r>
      <w:r w:rsidRPr="00AC4982">
        <w:rPr>
          <w:rFonts w:ascii="Arial" w:eastAsia="Times New Roman" w:hAnsi="Arial" w:cs="Arial"/>
          <w:sz w:val="21"/>
        </w:rPr>
        <w:tab/>
        <w:t xml:space="preserve">Strathman A, Gleicher F, Boninger DS, Edwards CS. The consideration of future consequences: Weighing immediate and distant outcomes of behavior. J Pers Soc Psychol. 1994;66: 742. </w:t>
      </w:r>
    </w:p>
    <w:p w14:paraId="79E38282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8. </w:t>
      </w:r>
      <w:r w:rsidRPr="00AC4982">
        <w:rPr>
          <w:rFonts w:ascii="Arial" w:eastAsia="Times New Roman" w:hAnsi="Arial" w:cs="Arial"/>
          <w:sz w:val="21"/>
        </w:rPr>
        <w:tab/>
        <w:t>Brewer NT, Chapman GB, Gibbons FX, Gerrard M, McCaul KD, Weinstein ND. Meta-analysis of the relationship between risk perception and health behavior: the example of vaccination. [Internet]. American Psychological Association; 2007. Available: http://psycnet.apa.org/journals/hea/26/2/136/</w:t>
      </w:r>
    </w:p>
    <w:p w14:paraId="2812B5F5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9. </w:t>
      </w:r>
      <w:r w:rsidRPr="00AC4982">
        <w:rPr>
          <w:rFonts w:ascii="Arial" w:eastAsia="Times New Roman" w:hAnsi="Arial" w:cs="Arial"/>
          <w:sz w:val="21"/>
        </w:rPr>
        <w:tab/>
        <w:t>Fadda M, Galimberti E, RomanÃ</w:t>
      </w:r>
      <w:r w:rsidRPr="00AC4982">
        <w:rPr>
          <w:rFonts w:ascii="Arial" w:eastAsia="Times New Roman" w:hAnsi="Arial" w:cs="Arial"/>
          <w:sz w:val="21"/>
          <w:vertAlign w:val="superscript"/>
        </w:rPr>
        <w:t>2</w:t>
      </w:r>
      <w:r w:rsidRPr="00AC4982">
        <w:rPr>
          <w:rFonts w:ascii="Arial" w:eastAsia="Times New Roman" w:hAnsi="Arial" w:cs="Arial"/>
          <w:sz w:val="21"/>
        </w:rPr>
        <w:t xml:space="preserve"> L, Faccini M, Senatore S, Zanetti A, et al. Validation of a scale to measure parental psychological empowerment in the vaccination decision. J Public Health Res. 2017;6. doi:10.4081/jphr.2017.955</w:t>
      </w:r>
    </w:p>
    <w:p w14:paraId="70DB2DE0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10. </w:t>
      </w:r>
      <w:r w:rsidRPr="00AC4982">
        <w:rPr>
          <w:rFonts w:ascii="Arial" w:eastAsia="Times New Roman" w:hAnsi="Arial" w:cs="Arial"/>
          <w:sz w:val="21"/>
        </w:rPr>
        <w:tab/>
        <w:t>Bandura A. Social cognitive theory of self-regulation. Organ Behav Hum Decis Process. 1991;50: 248–287. doi:10.1016/0749-5978(91)90022-L</w:t>
      </w:r>
    </w:p>
    <w:p w14:paraId="237BDB38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11. </w:t>
      </w:r>
      <w:r w:rsidRPr="00AC4982">
        <w:rPr>
          <w:rFonts w:ascii="Arial" w:eastAsia="Times New Roman" w:hAnsi="Arial" w:cs="Arial"/>
          <w:sz w:val="21"/>
        </w:rPr>
        <w:tab/>
        <w:t>Schwarzer R, Jerusalem M. Generalized Self-Efficacy scale. Measures in health psychology: A user’s portfolio Causal and control beliefs. Windsor, UK: NFER-NELSON; pp. 35–37. Available: https://userpage.fu-berlin.de/health/engscal.htm</w:t>
      </w:r>
    </w:p>
    <w:p w14:paraId="6195BC19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12. </w:t>
      </w:r>
      <w:r w:rsidRPr="00AC4982">
        <w:rPr>
          <w:rFonts w:ascii="Arial" w:eastAsia="Times New Roman" w:hAnsi="Arial" w:cs="Arial"/>
          <w:sz w:val="21"/>
        </w:rPr>
        <w:tab/>
        <w:t>Fagerlin A, Zikmund-Fisher BJ, Ubel PA, Jankovic A, Derry HA, Smith DM. Measuring numeracy without a math test: development of the Subjective Numeracy Scale. Med Decis Mak Int J Soc Med Decis Mak. 2007;27: 672–680. doi:10.1177/0272989X07304449</w:t>
      </w:r>
    </w:p>
    <w:p w14:paraId="485DF33B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13. </w:t>
      </w:r>
      <w:r w:rsidRPr="00AC4982">
        <w:rPr>
          <w:rFonts w:ascii="Arial" w:eastAsia="Times New Roman" w:hAnsi="Arial" w:cs="Arial"/>
          <w:sz w:val="21"/>
        </w:rPr>
        <w:tab/>
        <w:t xml:space="preserve">Schwartz LM, Woloshin S, Black WC, Welch HG. The role of numeracy in understanding the benefit of screening mammography. Ann Intern Med. 1997;127: 966–972. </w:t>
      </w:r>
    </w:p>
    <w:p w14:paraId="57490AB4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14. </w:t>
      </w:r>
      <w:r w:rsidRPr="00AC4982">
        <w:rPr>
          <w:rFonts w:ascii="Arial" w:eastAsia="Times New Roman" w:hAnsi="Arial" w:cs="Arial"/>
          <w:sz w:val="21"/>
        </w:rPr>
        <w:tab/>
        <w:t xml:space="preserve">Digman JM. Higher-order factors of the Big Five. J Pers Soc Psychol. 1997;73: 1246–1256. </w:t>
      </w:r>
    </w:p>
    <w:p w14:paraId="282C874A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15. </w:t>
      </w:r>
      <w:r w:rsidRPr="00AC4982">
        <w:rPr>
          <w:rFonts w:ascii="Arial" w:eastAsia="Times New Roman" w:hAnsi="Arial" w:cs="Arial"/>
          <w:sz w:val="21"/>
        </w:rPr>
        <w:tab/>
        <w:t>Kotov R, Gamez W, Schmidt F, Watson D. Linking “big” personality traits to anxiety, depressive, and substance use disorders: a meta-analysis. Psychol Bull. 2010;136: 768–821. doi:10.1037/a0020327</w:t>
      </w:r>
    </w:p>
    <w:p w14:paraId="4F4EEAF0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16. </w:t>
      </w:r>
      <w:r w:rsidRPr="00AC4982">
        <w:rPr>
          <w:rFonts w:ascii="Arial" w:eastAsia="Times New Roman" w:hAnsi="Arial" w:cs="Arial"/>
          <w:sz w:val="21"/>
        </w:rPr>
        <w:tab/>
        <w:t>Markon KE, Krueger RF, Watson D. Delineating the Structure of Normal and Abnormal Personality: An Integrative Hierarchical Approach. J Pers Soc Psychol. 2005;88: 139–157. doi:10.1037/0022-3514.88.1.139</w:t>
      </w:r>
    </w:p>
    <w:p w14:paraId="2197D6DA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17. </w:t>
      </w:r>
      <w:r w:rsidRPr="00AC4982">
        <w:rPr>
          <w:rFonts w:ascii="Arial" w:eastAsia="Times New Roman" w:hAnsi="Arial" w:cs="Arial"/>
          <w:sz w:val="21"/>
        </w:rPr>
        <w:tab/>
        <w:t xml:space="preserve">Rammstedt B, Kemper C, Klein M, Beierlein C, Kovaleva A. Eine kurze Skala zur Messung der fünf Dimensionen der Persönlichkeit: Big-Five-Inventory-10 (BFI-10) [A Short Scale for Assessing the Big Five Dimensions of Personality - 10 Item Big Five Inventory (BFI-10)]. Methoden – Daten – Anal. 2013;7: 233–249. </w:t>
      </w:r>
    </w:p>
    <w:p w14:paraId="591A1E9E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18. </w:t>
      </w:r>
      <w:r w:rsidRPr="00AC4982">
        <w:rPr>
          <w:rFonts w:ascii="Arial" w:eastAsia="Times New Roman" w:hAnsi="Arial" w:cs="Arial"/>
          <w:sz w:val="21"/>
        </w:rPr>
        <w:tab/>
        <w:t xml:space="preserve">Paulhus D. Social desirable responding: The evolution of a construct. The role of constructs in psychological and education measurement. Mahwah, New Jersey: Earlbaum Publishers; 2002. pp. 49–69. </w:t>
      </w:r>
    </w:p>
    <w:p w14:paraId="5A1580CB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19. </w:t>
      </w:r>
      <w:r w:rsidRPr="00AC4982">
        <w:rPr>
          <w:rFonts w:ascii="Arial" w:eastAsia="Times New Roman" w:hAnsi="Arial" w:cs="Arial"/>
          <w:sz w:val="21"/>
        </w:rPr>
        <w:tab/>
        <w:t>Kemper CJ, Beierlein C, Bensch D, Kovaleva A, Rammstedt B. Eine Kurzskala zur Erfassung des Gamma-Faktors sozial erwünschten Antwortverhaltens: die Kurzskala Soziale Erwünschtheit-Gamma (KSE-G). 2012;2012/25. Available: https://www.ssoar.info/ssoar/bitstream/handle/document/33958/ssoar-2012-kemper_et_al-</w:t>
      </w:r>
      <w:r w:rsidRPr="00AC4982">
        <w:rPr>
          <w:rFonts w:ascii="Arial" w:eastAsia="Times New Roman" w:hAnsi="Arial" w:cs="Arial"/>
          <w:sz w:val="21"/>
        </w:rPr>
        <w:lastRenderedPageBreak/>
        <w:t>Eine_Kurzskala_zur_Erfassung_des.pdf?sequence=1</w:t>
      </w:r>
    </w:p>
    <w:p w14:paraId="05FACD15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20. </w:t>
      </w:r>
      <w:r w:rsidRPr="00AC4982">
        <w:rPr>
          <w:rFonts w:ascii="Arial" w:eastAsia="Times New Roman" w:hAnsi="Arial" w:cs="Arial"/>
          <w:sz w:val="21"/>
        </w:rPr>
        <w:tab/>
        <w:t xml:space="preserve">Zingg A, Siegrist M. Measuring people’s knowledge about vaccination: developing a one-dimensional scale. Vaccine. 2012;30: 3771–3777. </w:t>
      </w:r>
    </w:p>
    <w:p w14:paraId="019A503C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21. </w:t>
      </w:r>
      <w:r w:rsidRPr="00AC4982">
        <w:rPr>
          <w:rFonts w:ascii="Arial" w:eastAsia="Times New Roman" w:hAnsi="Arial" w:cs="Arial"/>
          <w:sz w:val="21"/>
        </w:rPr>
        <w:tab/>
        <w:t xml:space="preserve">Egede LE, Ellis C. Development and testing of the multidimensional trust in health care systems scale. J Gen Intern Med. 2008;23: 808. </w:t>
      </w:r>
    </w:p>
    <w:p w14:paraId="1804CAB7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22. </w:t>
      </w:r>
      <w:r w:rsidRPr="00AC4982">
        <w:rPr>
          <w:rFonts w:ascii="Arial" w:eastAsia="Times New Roman" w:hAnsi="Arial" w:cs="Arial"/>
          <w:sz w:val="21"/>
        </w:rPr>
        <w:tab/>
        <w:t xml:space="preserve">Wiseman R, Watt C. Measuring superstitious belief: Why lucky charms matter. Personal Individ Differ. 2004;37: 1533–1541. </w:t>
      </w:r>
    </w:p>
    <w:p w14:paraId="0AE19BD0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23. </w:t>
      </w:r>
      <w:r w:rsidRPr="00AC4982">
        <w:rPr>
          <w:rFonts w:ascii="Arial" w:eastAsia="Times New Roman" w:hAnsi="Arial" w:cs="Arial"/>
          <w:sz w:val="21"/>
        </w:rPr>
        <w:tab/>
        <w:t>Betsch C. Präferenz für Intuition und Deliberation (PID). Z Für Differ Diagn Psychol. 2004;25: 179–197. doi:10.1024/0170-1789.25.4.179</w:t>
      </w:r>
    </w:p>
    <w:p w14:paraId="0C232490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24. </w:t>
      </w:r>
      <w:r w:rsidRPr="00AC4982">
        <w:rPr>
          <w:rFonts w:ascii="Arial" w:eastAsia="Times New Roman" w:hAnsi="Arial" w:cs="Arial"/>
          <w:sz w:val="21"/>
        </w:rPr>
        <w:tab/>
        <w:t>Betsch C, Iannello P. Measuring individual differences in intuitive and deliberative decision making styles. A comparison of different measures. 2010; Available: https://publicatt.unicatt.it/handle/10807/33801</w:t>
      </w:r>
    </w:p>
    <w:p w14:paraId="3B3E67AA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25. </w:t>
      </w:r>
      <w:r w:rsidRPr="00AC4982">
        <w:rPr>
          <w:rFonts w:ascii="Arial" w:eastAsia="Times New Roman" w:hAnsi="Arial" w:cs="Arial"/>
          <w:sz w:val="21"/>
        </w:rPr>
        <w:tab/>
        <w:t xml:space="preserve">Kaplan GA, Goldberg DE, Everson SA, Cohen RD, Salonen R, Tuomilehto J, et al. Perceived health status and morbidity and mortality: evidence from the Kuopio ischaemic heart disease risk factor study. Int J Epidemiol. 1996;25: 259–265. </w:t>
      </w:r>
    </w:p>
    <w:p w14:paraId="641BC18E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26. </w:t>
      </w:r>
      <w:r w:rsidRPr="00AC4982">
        <w:rPr>
          <w:rFonts w:ascii="Arial" w:eastAsia="Times New Roman" w:hAnsi="Arial" w:cs="Arial"/>
          <w:sz w:val="21"/>
        </w:rPr>
        <w:tab/>
        <w:t xml:space="preserve">Hays RD, Morales LS. The RAND-36 measure of health-related quality of life. Ann Med. 2001;33: 350–357. </w:t>
      </w:r>
    </w:p>
    <w:p w14:paraId="17DD5030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27. </w:t>
      </w:r>
      <w:r w:rsidRPr="00AC4982">
        <w:rPr>
          <w:rFonts w:ascii="Arial" w:eastAsia="Times New Roman" w:hAnsi="Arial" w:cs="Arial"/>
          <w:sz w:val="21"/>
        </w:rPr>
        <w:tab/>
        <w:t xml:space="preserve">Lapsley DK, Hill PL. Subjective invulnerability, optimism bias and adjustment in emerging adulthood. J Youth Adolesc. 2010;39: 847–857. </w:t>
      </w:r>
    </w:p>
    <w:p w14:paraId="2059EE9F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28. </w:t>
      </w:r>
      <w:r w:rsidRPr="00AC4982">
        <w:rPr>
          <w:rFonts w:ascii="Arial" w:eastAsia="Times New Roman" w:hAnsi="Arial" w:cs="Arial"/>
          <w:sz w:val="21"/>
        </w:rPr>
        <w:tab/>
        <w:t xml:space="preserve">Hill PL, Duggan PM, Lapsley DK. Subjective invulnerability, risk behavior, and adjustment in early adolescence. J Early Adolesc. 2012;32: 489–501. </w:t>
      </w:r>
    </w:p>
    <w:p w14:paraId="3524118B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29. </w:t>
      </w:r>
      <w:r w:rsidRPr="00AC4982">
        <w:rPr>
          <w:rFonts w:ascii="Arial" w:eastAsia="Times New Roman" w:hAnsi="Arial" w:cs="Arial"/>
          <w:sz w:val="21"/>
        </w:rPr>
        <w:tab/>
        <w:t>Tangney JP, Baumeister RF, Boone AL. High Self-Control Predicts Good Adjustment, Less Pathology, Better Grades, and Interpersonal Success. J Pers. 2004;72: 271–324. doi:10.1111/j.0022-3506.2004.00263.x</w:t>
      </w:r>
    </w:p>
    <w:p w14:paraId="43C1DBC9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30. </w:t>
      </w:r>
      <w:r w:rsidRPr="00AC4982">
        <w:rPr>
          <w:rFonts w:ascii="Arial" w:eastAsia="Times New Roman" w:hAnsi="Arial" w:cs="Arial"/>
          <w:sz w:val="21"/>
        </w:rPr>
        <w:tab/>
        <w:t>Holm EJ, Holroyd K. The Daily Hassles Scale (Revised): Does it measure stress or symptoms? Behav Assess. 1992;14: 465–482. doi:10.1037/t57783-000</w:t>
      </w:r>
    </w:p>
    <w:p w14:paraId="7F198322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31. </w:t>
      </w:r>
      <w:r w:rsidRPr="00AC4982">
        <w:rPr>
          <w:rFonts w:ascii="Arial" w:eastAsia="Times New Roman" w:hAnsi="Arial" w:cs="Arial"/>
          <w:sz w:val="21"/>
        </w:rPr>
        <w:tab/>
        <w:t xml:space="preserve">Kanner AD, Coyne JC, Schaefer C, Lazarus RS. Comparison of two modes of stress measurement: Daily hassles and uplifts versus major life events. J Behav Med. 1981;4: 1–39. </w:t>
      </w:r>
    </w:p>
    <w:p w14:paraId="10C8BCBF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32. </w:t>
      </w:r>
      <w:r w:rsidRPr="00AC4982">
        <w:rPr>
          <w:rFonts w:ascii="Arial" w:eastAsia="Times New Roman" w:hAnsi="Arial" w:cs="Arial"/>
          <w:sz w:val="21"/>
        </w:rPr>
        <w:tab/>
        <w:t xml:space="preserve">Cylus J, Papanicolas I. An analysis of perceived access to health care in Europe: How universal is universal coverage? Health Policy. 2015;119: 1133–1144. </w:t>
      </w:r>
    </w:p>
    <w:p w14:paraId="7FFD9591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33. </w:t>
      </w:r>
      <w:r w:rsidRPr="00AC4982">
        <w:rPr>
          <w:rFonts w:ascii="Arial" w:eastAsia="Times New Roman" w:hAnsi="Arial" w:cs="Arial"/>
          <w:sz w:val="21"/>
        </w:rPr>
        <w:tab/>
        <w:t xml:space="preserve">Clark MS, Oullette R, Powell MC, Milberg S. Recipient’s mood, relationship type, and helping. J Pers Soc Psychol. 1987;53: 94. </w:t>
      </w:r>
    </w:p>
    <w:p w14:paraId="3E5FE5FE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34. </w:t>
      </w:r>
      <w:r w:rsidRPr="00AC4982">
        <w:rPr>
          <w:rFonts w:ascii="Arial" w:eastAsia="Times New Roman" w:hAnsi="Arial" w:cs="Arial"/>
          <w:sz w:val="21"/>
        </w:rPr>
        <w:tab/>
        <w:t xml:space="preserve">Shulruf B, Hattie J, Dixon R. Intertwinement of individualist and collectivist attributes and response sets. J Soc Evol Cult Psychol. 2011;5: 51. </w:t>
      </w:r>
    </w:p>
    <w:p w14:paraId="0007271B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35. </w:t>
      </w:r>
      <w:r w:rsidRPr="00AC4982">
        <w:rPr>
          <w:rFonts w:ascii="Arial" w:eastAsia="Times New Roman" w:hAnsi="Arial" w:cs="Arial"/>
          <w:sz w:val="21"/>
        </w:rPr>
        <w:tab/>
        <w:t xml:space="preserve">Rankin KP, Kramer JH, Miller BL. Patterns of cognitive and emotional empathy in frontotemporal lobar degeneration. Cogn Behav Neurol Off J Soc Behav Cogn Neurol. 2005;18: 28–36. </w:t>
      </w:r>
    </w:p>
    <w:p w14:paraId="2D73E484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36. </w:t>
      </w:r>
      <w:r w:rsidRPr="00AC4982">
        <w:rPr>
          <w:rFonts w:ascii="Arial" w:eastAsia="Times New Roman" w:hAnsi="Arial" w:cs="Arial"/>
          <w:sz w:val="21"/>
        </w:rPr>
        <w:tab/>
        <w:t xml:space="preserve">Spreng RN, McKinnon MC, Mar RA, Levine B. The Toronto Empathy Questionnaire: Scale development and initial validation of a factor-analytic solution to multiple empathy measures. J Pers Assess. 2009;91: 62–71. </w:t>
      </w:r>
    </w:p>
    <w:p w14:paraId="52126E26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37. </w:t>
      </w:r>
      <w:r w:rsidRPr="00AC4982">
        <w:rPr>
          <w:rFonts w:ascii="Arial" w:eastAsia="Times New Roman" w:hAnsi="Arial" w:cs="Arial"/>
          <w:sz w:val="21"/>
        </w:rPr>
        <w:tab/>
        <w:t>van der Linden D, te Nijenhuis J, Bakker AB. The General Factor of Personality: A meta-analysis of Big Five intercorrelations and a criterion-related validity study. J Res Personal. 2010;44: 315–327. doi:10.1016/j.jrp.2010.03.003</w:t>
      </w:r>
    </w:p>
    <w:p w14:paraId="2818993F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38. </w:t>
      </w:r>
      <w:r w:rsidRPr="00AC4982">
        <w:rPr>
          <w:rFonts w:ascii="Arial" w:eastAsia="Times New Roman" w:hAnsi="Arial" w:cs="Arial"/>
          <w:sz w:val="21"/>
        </w:rPr>
        <w:tab/>
        <w:t>Amin AB, Bednarczyk RA, Ray CE, Melchiori KJ, Graham J, Huntsinger JR, et al. Association of moral values with vaccine hesitancy. Nat Hum Behav. 2017;1: 873–880. doi:10.1038/s41562-017-0256-5</w:t>
      </w:r>
    </w:p>
    <w:p w14:paraId="52BBDFE0" w14:textId="77777777" w:rsidR="00AC4982" w:rsidRPr="00AC4982" w:rsidRDefault="00AC498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1"/>
        </w:rPr>
      </w:pPr>
      <w:r w:rsidRPr="00AC4982">
        <w:rPr>
          <w:rFonts w:ascii="Arial" w:eastAsia="Times New Roman" w:hAnsi="Arial" w:cs="Arial"/>
          <w:sz w:val="21"/>
        </w:rPr>
        <w:t xml:space="preserve">39. </w:t>
      </w:r>
      <w:r w:rsidRPr="00AC4982">
        <w:rPr>
          <w:rFonts w:ascii="Arial" w:eastAsia="Times New Roman" w:hAnsi="Arial" w:cs="Arial"/>
          <w:sz w:val="21"/>
        </w:rPr>
        <w:tab/>
        <w:t xml:space="preserve">Gilkey MB, Reiter PL, Magnus BE, McRee A-L, Dempsey AF, Brewer NT. Validation of the vaccination confidence scale: a brief measure to identify parents at risk for refusing adolescent vaccines. Acad Pediatr. 2016;16: 42–49. </w:t>
      </w:r>
    </w:p>
    <w:p w14:paraId="400AD649" w14:textId="798099C4" w:rsidR="00452AEA" w:rsidRPr="006735F6" w:rsidRDefault="004F76A3" w:rsidP="005373BB">
      <w:pPr>
        <w:widowControl w:val="0"/>
        <w:autoSpaceDE w:val="0"/>
        <w:autoSpaceDN w:val="0"/>
        <w:adjustRightInd w:val="0"/>
        <w:spacing w:after="120"/>
        <w:ind w:left="426" w:hanging="425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 w:rsidRPr="005373BB">
        <w:rPr>
          <w:rFonts w:ascii="Arial" w:eastAsia="Times New Roman" w:hAnsi="Arial" w:cs="Arial"/>
          <w:sz w:val="21"/>
          <w:szCs w:val="21"/>
          <w:lang w:eastAsia="de-DE"/>
        </w:rPr>
        <w:fldChar w:fldCharType="end"/>
      </w:r>
    </w:p>
    <w:sectPr w:rsidR="00452AEA" w:rsidRPr="006735F6" w:rsidSect="00F13956">
      <w:footerReference w:type="even" r:id="rId8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AFB8A" w14:textId="77777777" w:rsidR="003122B8" w:rsidRDefault="003122B8" w:rsidP="007D4854">
      <w:r>
        <w:separator/>
      </w:r>
    </w:p>
  </w:endnote>
  <w:endnote w:type="continuationSeparator" w:id="0">
    <w:p w14:paraId="3412612E" w14:textId="77777777" w:rsidR="003122B8" w:rsidRDefault="003122B8" w:rsidP="007D4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A00D6" w14:textId="77777777" w:rsidR="00F4514B" w:rsidRDefault="00F4514B" w:rsidP="00DF032A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14928AB" w14:textId="77777777" w:rsidR="00F4514B" w:rsidRDefault="00F4514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B0CBA" w14:textId="77777777" w:rsidR="003122B8" w:rsidRDefault="003122B8" w:rsidP="007D4854">
      <w:r>
        <w:separator/>
      </w:r>
    </w:p>
  </w:footnote>
  <w:footnote w:type="continuationSeparator" w:id="0">
    <w:p w14:paraId="300EB9A0" w14:textId="77777777" w:rsidR="003122B8" w:rsidRDefault="003122B8" w:rsidP="007D4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00EB9"/>
    <w:multiLevelType w:val="hybridMultilevel"/>
    <w:tmpl w:val="900488FE"/>
    <w:lvl w:ilvl="0" w:tplc="BFA23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F6E7B"/>
    <w:multiLevelType w:val="hybridMultilevel"/>
    <w:tmpl w:val="6A3E5604"/>
    <w:lvl w:ilvl="0" w:tplc="6D82B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zNDAwMzOwNDYzMLZU0lEKTi0uzszPAykwrAUA7TA8SiwAAAA="/>
  </w:docVars>
  <w:rsids>
    <w:rsidRoot w:val="003575B3"/>
    <w:rsid w:val="0000113D"/>
    <w:rsid w:val="00013338"/>
    <w:rsid w:val="00013D06"/>
    <w:rsid w:val="00014F9E"/>
    <w:rsid w:val="00023008"/>
    <w:rsid w:val="0002711A"/>
    <w:rsid w:val="00042FB4"/>
    <w:rsid w:val="00046C1C"/>
    <w:rsid w:val="0004731E"/>
    <w:rsid w:val="000606EF"/>
    <w:rsid w:val="000633EE"/>
    <w:rsid w:val="00063578"/>
    <w:rsid w:val="00067FC2"/>
    <w:rsid w:val="00085FC5"/>
    <w:rsid w:val="0009117C"/>
    <w:rsid w:val="000A7EEA"/>
    <w:rsid w:val="000B0EF5"/>
    <w:rsid w:val="000B0F27"/>
    <w:rsid w:val="000B31D7"/>
    <w:rsid w:val="000E2E7E"/>
    <w:rsid w:val="000E4910"/>
    <w:rsid w:val="000E4A83"/>
    <w:rsid w:val="000E61EC"/>
    <w:rsid w:val="000F0F3C"/>
    <w:rsid w:val="000F14B4"/>
    <w:rsid w:val="000F485A"/>
    <w:rsid w:val="0010594E"/>
    <w:rsid w:val="0010659A"/>
    <w:rsid w:val="00110343"/>
    <w:rsid w:val="001109FB"/>
    <w:rsid w:val="00111CA8"/>
    <w:rsid w:val="0011286C"/>
    <w:rsid w:val="00114F2D"/>
    <w:rsid w:val="00117A02"/>
    <w:rsid w:val="00122318"/>
    <w:rsid w:val="00123E9B"/>
    <w:rsid w:val="001337A9"/>
    <w:rsid w:val="00137461"/>
    <w:rsid w:val="00142728"/>
    <w:rsid w:val="001427DD"/>
    <w:rsid w:val="00146703"/>
    <w:rsid w:val="00147D6D"/>
    <w:rsid w:val="001612E5"/>
    <w:rsid w:val="0017381C"/>
    <w:rsid w:val="00194CD1"/>
    <w:rsid w:val="001B03A1"/>
    <w:rsid w:val="001D2214"/>
    <w:rsid w:val="001D481A"/>
    <w:rsid w:val="001E539F"/>
    <w:rsid w:val="001F3E6E"/>
    <w:rsid w:val="001F6C7B"/>
    <w:rsid w:val="001F6EB3"/>
    <w:rsid w:val="00213A46"/>
    <w:rsid w:val="00216AF1"/>
    <w:rsid w:val="00217E4E"/>
    <w:rsid w:val="00244CC3"/>
    <w:rsid w:val="002656B7"/>
    <w:rsid w:val="00266199"/>
    <w:rsid w:val="002744E5"/>
    <w:rsid w:val="002748B0"/>
    <w:rsid w:val="00280784"/>
    <w:rsid w:val="00281991"/>
    <w:rsid w:val="00282927"/>
    <w:rsid w:val="00286C0C"/>
    <w:rsid w:val="00286D5F"/>
    <w:rsid w:val="00296AE0"/>
    <w:rsid w:val="002972C3"/>
    <w:rsid w:val="002A76D8"/>
    <w:rsid w:val="002B0A3C"/>
    <w:rsid w:val="002B2D18"/>
    <w:rsid w:val="002B68B7"/>
    <w:rsid w:val="002C4DD9"/>
    <w:rsid w:val="002D1CEF"/>
    <w:rsid w:val="002F21F5"/>
    <w:rsid w:val="00305FC1"/>
    <w:rsid w:val="0030674C"/>
    <w:rsid w:val="00311F4A"/>
    <w:rsid w:val="003122B8"/>
    <w:rsid w:val="00313015"/>
    <w:rsid w:val="00324FC5"/>
    <w:rsid w:val="00344CB1"/>
    <w:rsid w:val="0035632D"/>
    <w:rsid w:val="0035696A"/>
    <w:rsid w:val="003575B3"/>
    <w:rsid w:val="003747A9"/>
    <w:rsid w:val="00384E69"/>
    <w:rsid w:val="003909B9"/>
    <w:rsid w:val="003A0CD4"/>
    <w:rsid w:val="003A5833"/>
    <w:rsid w:val="003A6E9C"/>
    <w:rsid w:val="003B022E"/>
    <w:rsid w:val="003B3612"/>
    <w:rsid w:val="003C792E"/>
    <w:rsid w:val="003D5C10"/>
    <w:rsid w:val="003D719A"/>
    <w:rsid w:val="003E61E2"/>
    <w:rsid w:val="003E67B7"/>
    <w:rsid w:val="003F4212"/>
    <w:rsid w:val="003F4700"/>
    <w:rsid w:val="003F623B"/>
    <w:rsid w:val="0040591E"/>
    <w:rsid w:val="0041151A"/>
    <w:rsid w:val="00415A4C"/>
    <w:rsid w:val="004209A9"/>
    <w:rsid w:val="00424690"/>
    <w:rsid w:val="00434375"/>
    <w:rsid w:val="00436462"/>
    <w:rsid w:val="00447D40"/>
    <w:rsid w:val="00452AEA"/>
    <w:rsid w:val="00452EEA"/>
    <w:rsid w:val="00455E86"/>
    <w:rsid w:val="00477085"/>
    <w:rsid w:val="00481987"/>
    <w:rsid w:val="00481D32"/>
    <w:rsid w:val="00482477"/>
    <w:rsid w:val="00490353"/>
    <w:rsid w:val="00490796"/>
    <w:rsid w:val="004916AD"/>
    <w:rsid w:val="004A175B"/>
    <w:rsid w:val="004A5197"/>
    <w:rsid w:val="004B6990"/>
    <w:rsid w:val="004D07FD"/>
    <w:rsid w:val="004D33D9"/>
    <w:rsid w:val="004D6CB7"/>
    <w:rsid w:val="004F668A"/>
    <w:rsid w:val="004F76A3"/>
    <w:rsid w:val="00502E0E"/>
    <w:rsid w:val="00517B22"/>
    <w:rsid w:val="00517D90"/>
    <w:rsid w:val="005325E1"/>
    <w:rsid w:val="00532614"/>
    <w:rsid w:val="005360C7"/>
    <w:rsid w:val="005373BB"/>
    <w:rsid w:val="00544325"/>
    <w:rsid w:val="005475C0"/>
    <w:rsid w:val="0056504E"/>
    <w:rsid w:val="00572C56"/>
    <w:rsid w:val="0058405B"/>
    <w:rsid w:val="005A4C69"/>
    <w:rsid w:val="005B05AA"/>
    <w:rsid w:val="005B09E8"/>
    <w:rsid w:val="005B2A56"/>
    <w:rsid w:val="005B532A"/>
    <w:rsid w:val="005B5C89"/>
    <w:rsid w:val="005C4929"/>
    <w:rsid w:val="005C73E8"/>
    <w:rsid w:val="005C7644"/>
    <w:rsid w:val="005C79A0"/>
    <w:rsid w:val="005F42AC"/>
    <w:rsid w:val="005F487B"/>
    <w:rsid w:val="0060589E"/>
    <w:rsid w:val="00606D6D"/>
    <w:rsid w:val="00621C30"/>
    <w:rsid w:val="006246FF"/>
    <w:rsid w:val="00657A2A"/>
    <w:rsid w:val="006735F6"/>
    <w:rsid w:val="00687436"/>
    <w:rsid w:val="0069792E"/>
    <w:rsid w:val="006A4BAD"/>
    <w:rsid w:val="006B13CF"/>
    <w:rsid w:val="006B4C0F"/>
    <w:rsid w:val="006C380A"/>
    <w:rsid w:val="006C4658"/>
    <w:rsid w:val="006C4ECE"/>
    <w:rsid w:val="006D618C"/>
    <w:rsid w:val="00706070"/>
    <w:rsid w:val="007073E9"/>
    <w:rsid w:val="00712DC9"/>
    <w:rsid w:val="007151A4"/>
    <w:rsid w:val="00715CC6"/>
    <w:rsid w:val="00720D04"/>
    <w:rsid w:val="007252B6"/>
    <w:rsid w:val="00725B99"/>
    <w:rsid w:val="00727533"/>
    <w:rsid w:val="007275B8"/>
    <w:rsid w:val="007342D1"/>
    <w:rsid w:val="00737A5A"/>
    <w:rsid w:val="00747A63"/>
    <w:rsid w:val="00750555"/>
    <w:rsid w:val="007521CC"/>
    <w:rsid w:val="0075247F"/>
    <w:rsid w:val="00762B66"/>
    <w:rsid w:val="00770829"/>
    <w:rsid w:val="007767EF"/>
    <w:rsid w:val="007901F6"/>
    <w:rsid w:val="00793518"/>
    <w:rsid w:val="00793F86"/>
    <w:rsid w:val="00795F61"/>
    <w:rsid w:val="007A3016"/>
    <w:rsid w:val="007A53B0"/>
    <w:rsid w:val="007B2024"/>
    <w:rsid w:val="007C017D"/>
    <w:rsid w:val="007C1C40"/>
    <w:rsid w:val="007C5FA0"/>
    <w:rsid w:val="007D4854"/>
    <w:rsid w:val="007D4AC3"/>
    <w:rsid w:val="007D50B6"/>
    <w:rsid w:val="007F58DF"/>
    <w:rsid w:val="007F6E7D"/>
    <w:rsid w:val="00803499"/>
    <w:rsid w:val="0082104A"/>
    <w:rsid w:val="008227F9"/>
    <w:rsid w:val="00824249"/>
    <w:rsid w:val="00843E6D"/>
    <w:rsid w:val="00845F0C"/>
    <w:rsid w:val="00846BD7"/>
    <w:rsid w:val="00854E32"/>
    <w:rsid w:val="00895B1A"/>
    <w:rsid w:val="008A26E3"/>
    <w:rsid w:val="008A466C"/>
    <w:rsid w:val="008A54EE"/>
    <w:rsid w:val="008A5C62"/>
    <w:rsid w:val="008A7796"/>
    <w:rsid w:val="008B29EA"/>
    <w:rsid w:val="008B74FA"/>
    <w:rsid w:val="008C5329"/>
    <w:rsid w:val="008C6B1F"/>
    <w:rsid w:val="008C70B8"/>
    <w:rsid w:val="008D79B4"/>
    <w:rsid w:val="008F0B05"/>
    <w:rsid w:val="008F72E1"/>
    <w:rsid w:val="009017EA"/>
    <w:rsid w:val="00906312"/>
    <w:rsid w:val="009076EA"/>
    <w:rsid w:val="00913F2D"/>
    <w:rsid w:val="00945AA1"/>
    <w:rsid w:val="009479F5"/>
    <w:rsid w:val="00947E53"/>
    <w:rsid w:val="009571F6"/>
    <w:rsid w:val="00964839"/>
    <w:rsid w:val="009655E3"/>
    <w:rsid w:val="00967556"/>
    <w:rsid w:val="00972C5E"/>
    <w:rsid w:val="00973F35"/>
    <w:rsid w:val="00974791"/>
    <w:rsid w:val="00981290"/>
    <w:rsid w:val="00983031"/>
    <w:rsid w:val="0098436F"/>
    <w:rsid w:val="00986CDC"/>
    <w:rsid w:val="00993B91"/>
    <w:rsid w:val="00996B8F"/>
    <w:rsid w:val="009A10D5"/>
    <w:rsid w:val="009A28BB"/>
    <w:rsid w:val="009A463F"/>
    <w:rsid w:val="009D1485"/>
    <w:rsid w:val="009D1883"/>
    <w:rsid w:val="009D2099"/>
    <w:rsid w:val="009E0820"/>
    <w:rsid w:val="00A02DD6"/>
    <w:rsid w:val="00A03B7C"/>
    <w:rsid w:val="00A1487D"/>
    <w:rsid w:val="00A22217"/>
    <w:rsid w:val="00A33145"/>
    <w:rsid w:val="00A357AE"/>
    <w:rsid w:val="00A42CD9"/>
    <w:rsid w:val="00A51C7E"/>
    <w:rsid w:val="00A5378E"/>
    <w:rsid w:val="00A56594"/>
    <w:rsid w:val="00A6252B"/>
    <w:rsid w:val="00A63650"/>
    <w:rsid w:val="00A63DDD"/>
    <w:rsid w:val="00A66498"/>
    <w:rsid w:val="00A73F09"/>
    <w:rsid w:val="00A87AB0"/>
    <w:rsid w:val="00A9313F"/>
    <w:rsid w:val="00A93BB6"/>
    <w:rsid w:val="00AA04A8"/>
    <w:rsid w:val="00AA4377"/>
    <w:rsid w:val="00AB207B"/>
    <w:rsid w:val="00AC4982"/>
    <w:rsid w:val="00AC5D40"/>
    <w:rsid w:val="00AC76FB"/>
    <w:rsid w:val="00AD4394"/>
    <w:rsid w:val="00AD73A1"/>
    <w:rsid w:val="00AE4BA1"/>
    <w:rsid w:val="00AE5A12"/>
    <w:rsid w:val="00AF0E90"/>
    <w:rsid w:val="00AF20F3"/>
    <w:rsid w:val="00AF3E8B"/>
    <w:rsid w:val="00AF5662"/>
    <w:rsid w:val="00B009C4"/>
    <w:rsid w:val="00B06AB2"/>
    <w:rsid w:val="00B20AEC"/>
    <w:rsid w:val="00B22EBF"/>
    <w:rsid w:val="00B26A22"/>
    <w:rsid w:val="00B40E6B"/>
    <w:rsid w:val="00B54FAC"/>
    <w:rsid w:val="00B749A3"/>
    <w:rsid w:val="00B75316"/>
    <w:rsid w:val="00B8136A"/>
    <w:rsid w:val="00B81961"/>
    <w:rsid w:val="00B83D25"/>
    <w:rsid w:val="00B91DEB"/>
    <w:rsid w:val="00B937DF"/>
    <w:rsid w:val="00BB265B"/>
    <w:rsid w:val="00BC171C"/>
    <w:rsid w:val="00BC3FB7"/>
    <w:rsid w:val="00BC55BF"/>
    <w:rsid w:val="00BC69F8"/>
    <w:rsid w:val="00C01904"/>
    <w:rsid w:val="00C03214"/>
    <w:rsid w:val="00C039D5"/>
    <w:rsid w:val="00C05BBE"/>
    <w:rsid w:val="00C10915"/>
    <w:rsid w:val="00C21218"/>
    <w:rsid w:val="00C332BE"/>
    <w:rsid w:val="00C52E7E"/>
    <w:rsid w:val="00C52FF9"/>
    <w:rsid w:val="00C57527"/>
    <w:rsid w:val="00C614B3"/>
    <w:rsid w:val="00C618D7"/>
    <w:rsid w:val="00C672B1"/>
    <w:rsid w:val="00C75649"/>
    <w:rsid w:val="00C75AB9"/>
    <w:rsid w:val="00C76E96"/>
    <w:rsid w:val="00C83E7D"/>
    <w:rsid w:val="00C91CAC"/>
    <w:rsid w:val="00C940B5"/>
    <w:rsid w:val="00C94227"/>
    <w:rsid w:val="00C94F90"/>
    <w:rsid w:val="00CA059B"/>
    <w:rsid w:val="00CA5E16"/>
    <w:rsid w:val="00CE0B7A"/>
    <w:rsid w:val="00CE35F2"/>
    <w:rsid w:val="00CE7278"/>
    <w:rsid w:val="00D10C32"/>
    <w:rsid w:val="00D1343E"/>
    <w:rsid w:val="00D257A3"/>
    <w:rsid w:val="00D276B8"/>
    <w:rsid w:val="00D33043"/>
    <w:rsid w:val="00D40610"/>
    <w:rsid w:val="00D43538"/>
    <w:rsid w:val="00D469D1"/>
    <w:rsid w:val="00D47AFF"/>
    <w:rsid w:val="00D510CF"/>
    <w:rsid w:val="00D718B8"/>
    <w:rsid w:val="00D73552"/>
    <w:rsid w:val="00D90B4C"/>
    <w:rsid w:val="00D9788B"/>
    <w:rsid w:val="00DA772C"/>
    <w:rsid w:val="00DC1890"/>
    <w:rsid w:val="00DC79F1"/>
    <w:rsid w:val="00DD17C8"/>
    <w:rsid w:val="00DD1AE0"/>
    <w:rsid w:val="00DE0320"/>
    <w:rsid w:val="00DE6552"/>
    <w:rsid w:val="00DE71C3"/>
    <w:rsid w:val="00DF032A"/>
    <w:rsid w:val="00DF127E"/>
    <w:rsid w:val="00DF2F41"/>
    <w:rsid w:val="00DF68D9"/>
    <w:rsid w:val="00E154F3"/>
    <w:rsid w:val="00E15D25"/>
    <w:rsid w:val="00E225CF"/>
    <w:rsid w:val="00E2284F"/>
    <w:rsid w:val="00E23309"/>
    <w:rsid w:val="00E250D3"/>
    <w:rsid w:val="00E27C3B"/>
    <w:rsid w:val="00E33235"/>
    <w:rsid w:val="00E40587"/>
    <w:rsid w:val="00E41010"/>
    <w:rsid w:val="00E410B6"/>
    <w:rsid w:val="00E715AB"/>
    <w:rsid w:val="00E83ED8"/>
    <w:rsid w:val="00E87791"/>
    <w:rsid w:val="00E92203"/>
    <w:rsid w:val="00EA0FB4"/>
    <w:rsid w:val="00EA3161"/>
    <w:rsid w:val="00EA4AD2"/>
    <w:rsid w:val="00EA6F29"/>
    <w:rsid w:val="00EA701E"/>
    <w:rsid w:val="00EB2E69"/>
    <w:rsid w:val="00EB487A"/>
    <w:rsid w:val="00EC4F7A"/>
    <w:rsid w:val="00ED1C10"/>
    <w:rsid w:val="00ED64FD"/>
    <w:rsid w:val="00ED7778"/>
    <w:rsid w:val="00EE0990"/>
    <w:rsid w:val="00EE2A64"/>
    <w:rsid w:val="00EF3515"/>
    <w:rsid w:val="00EF5B63"/>
    <w:rsid w:val="00F01AFC"/>
    <w:rsid w:val="00F10671"/>
    <w:rsid w:val="00F13956"/>
    <w:rsid w:val="00F20AA6"/>
    <w:rsid w:val="00F327FF"/>
    <w:rsid w:val="00F345B6"/>
    <w:rsid w:val="00F4452A"/>
    <w:rsid w:val="00F4514B"/>
    <w:rsid w:val="00F46454"/>
    <w:rsid w:val="00F51B63"/>
    <w:rsid w:val="00F55CC1"/>
    <w:rsid w:val="00F6702D"/>
    <w:rsid w:val="00F67C76"/>
    <w:rsid w:val="00F76F3B"/>
    <w:rsid w:val="00FA342B"/>
    <w:rsid w:val="00FA44EE"/>
    <w:rsid w:val="00FB4F2E"/>
    <w:rsid w:val="00FC4D11"/>
    <w:rsid w:val="00FC684C"/>
    <w:rsid w:val="00FC7680"/>
    <w:rsid w:val="00FC7767"/>
    <w:rsid w:val="00FE2327"/>
    <w:rsid w:val="00FE3950"/>
    <w:rsid w:val="00FF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7CE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133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qFormat/>
    <w:rsid w:val="00013338"/>
    <w:pPr>
      <w:keepLines w:val="0"/>
      <w:spacing w:before="0" w:line="480" w:lineRule="auto"/>
      <w:outlineLvl w:val="1"/>
    </w:pPr>
    <w:rPr>
      <w:rFonts w:ascii="Times New Roman" w:eastAsia="Times New Roman" w:hAnsi="Times New Roman" w:cs="Arial"/>
      <w:b/>
      <w:iCs/>
      <w:color w:val="auto"/>
      <w:kern w:val="32"/>
      <w:sz w:val="24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unhideWhenUsed/>
    <w:rsid w:val="003575B3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3575B3"/>
    <w:pPr>
      <w:ind w:firstLine="720"/>
    </w:pPr>
    <w:rPr>
      <w:rFonts w:ascii="Times New Roman" w:eastAsia="Times New Roman" w:hAnsi="Times New Roman" w:cs="Times New Roman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575B3"/>
    <w:rPr>
      <w:rFonts w:ascii="Times New Roman" w:eastAsia="Times New Roman" w:hAnsi="Times New Roman" w:cs="Times New Roman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75B3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75B3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59"/>
    <w:rsid w:val="007C1C40"/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AF20F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p1">
    <w:name w:val="p1"/>
    <w:basedOn w:val="Standard"/>
    <w:rsid w:val="00AF20F3"/>
    <w:rPr>
      <w:rFonts w:ascii="Helvetica" w:eastAsia="Times New Roman" w:hAnsi="Helvetica" w:cs="Times New Roman"/>
      <w:sz w:val="16"/>
      <w:szCs w:val="16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66498"/>
    <w:pPr>
      <w:ind w:firstLine="0"/>
    </w:pPr>
    <w:rPr>
      <w:rFonts w:asciiTheme="minorHAnsi" w:eastAsiaTheme="minorHAnsi" w:hAnsiTheme="minorHAnsi" w:cstheme="minorBidi"/>
      <w:b/>
      <w:bCs/>
      <w:sz w:val="20"/>
      <w:szCs w:val="20"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6649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erarbeitung">
    <w:name w:val="Revision"/>
    <w:hidden/>
    <w:uiPriority w:val="99"/>
    <w:semiHidden/>
    <w:rsid w:val="00AC5D40"/>
  </w:style>
  <w:style w:type="paragraph" w:styleId="Listenabsatz">
    <w:name w:val="List Paragraph"/>
    <w:basedOn w:val="Standard"/>
    <w:uiPriority w:val="34"/>
    <w:qFormat/>
    <w:rsid w:val="00B22EBF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7D48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4854"/>
  </w:style>
  <w:style w:type="character" w:styleId="Seitenzahl">
    <w:name w:val="page number"/>
    <w:basedOn w:val="Absatz-Standardschriftart"/>
    <w:uiPriority w:val="99"/>
    <w:semiHidden/>
    <w:unhideWhenUsed/>
    <w:rsid w:val="007D4854"/>
  </w:style>
  <w:style w:type="paragraph" w:styleId="Kopfzeile">
    <w:name w:val="header"/>
    <w:basedOn w:val="Standard"/>
    <w:link w:val="KopfzeileZchn"/>
    <w:uiPriority w:val="99"/>
    <w:unhideWhenUsed/>
    <w:rsid w:val="008C6B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6B1F"/>
  </w:style>
  <w:style w:type="character" w:customStyle="1" w:styleId="berschrift2Zchn">
    <w:name w:val="Überschrift 2 Zchn"/>
    <w:basedOn w:val="Absatz-Standardschriftart"/>
    <w:link w:val="berschrift2"/>
    <w:rsid w:val="00013338"/>
    <w:rPr>
      <w:rFonts w:ascii="Times New Roman" w:eastAsia="Times New Roman" w:hAnsi="Times New Roman" w:cs="Arial"/>
      <w:b/>
      <w:iCs/>
      <w:kern w:val="32"/>
      <w:szCs w:val="28"/>
      <w:lang w:val="en-US"/>
    </w:rPr>
  </w:style>
  <w:style w:type="paragraph" w:styleId="Funotentext">
    <w:name w:val="footnote text"/>
    <w:basedOn w:val="Standard"/>
    <w:link w:val="FunotentextZchn"/>
    <w:uiPriority w:val="99"/>
    <w:unhideWhenUsed/>
    <w:rsid w:val="00013338"/>
    <w:pPr>
      <w:ind w:firstLine="720"/>
    </w:pPr>
    <w:rPr>
      <w:rFonts w:ascii="Times New Roman" w:eastAsia="Times New Roman" w:hAnsi="Times New Roman" w:cs="Times New Roman"/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13338"/>
    <w:rPr>
      <w:rFonts w:ascii="Times New Roman" w:eastAsia="Times New Roman" w:hAnsi="Times New Roman" w:cs="Times New Roman"/>
      <w:lang w:val="en-US"/>
    </w:rPr>
  </w:style>
  <w:style w:type="character" w:styleId="Funotenzeichen">
    <w:name w:val="footnote reference"/>
    <w:basedOn w:val="Absatz-Standardschriftart"/>
    <w:uiPriority w:val="99"/>
    <w:unhideWhenUsed/>
    <w:rsid w:val="00013338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3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Literaturverzeichnis1">
    <w:name w:val="Literaturverzeichnis1"/>
    <w:basedOn w:val="Standard"/>
    <w:rsid w:val="004F76A3"/>
    <w:pPr>
      <w:spacing w:line="480" w:lineRule="auto"/>
      <w:ind w:left="720" w:hanging="720"/>
    </w:pPr>
    <w:rPr>
      <w:rFonts w:ascii="Times New Roman" w:hAnsi="Times New Roman" w:cs="Times New Roman"/>
      <w:b/>
      <w:color w:val="000000" w:themeColor="text1"/>
      <w:lang w:val="en-US"/>
    </w:rPr>
  </w:style>
  <w:style w:type="paragraph" w:customStyle="1" w:styleId="Literaturverzeichnis2">
    <w:name w:val="Literaturverzeichnis2"/>
    <w:basedOn w:val="Standard"/>
    <w:rsid w:val="00B06AB2"/>
    <w:pPr>
      <w:tabs>
        <w:tab w:val="left" w:pos="500"/>
      </w:tabs>
      <w:ind w:left="504" w:hanging="504"/>
      <w:jc w:val="center"/>
      <w:outlineLvl w:val="0"/>
    </w:pPr>
    <w:rPr>
      <w:rFonts w:ascii="Times New Roman" w:hAnsi="Times New Roman" w:cs="Times New Roman"/>
      <w:b/>
      <w:color w:val="000000" w:themeColor="text1"/>
      <w:lang w:val="en-US"/>
    </w:rPr>
  </w:style>
  <w:style w:type="paragraph" w:customStyle="1" w:styleId="Literaturverzeichnis3">
    <w:name w:val="Literaturverzeichnis3"/>
    <w:basedOn w:val="Standard"/>
    <w:rsid w:val="005373BB"/>
    <w:pPr>
      <w:tabs>
        <w:tab w:val="left" w:pos="500"/>
      </w:tabs>
      <w:spacing w:after="240"/>
      <w:ind w:left="504" w:hanging="504"/>
      <w:jc w:val="center"/>
    </w:pPr>
    <w:rPr>
      <w:rFonts w:ascii="Arial" w:hAnsi="Arial" w:cs="Arial"/>
      <w:color w:val="000000" w:themeColor="text1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2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1706</Words>
  <Characters>10748</Characters>
  <Application>Microsoft Macintosh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Betsch</dc:creator>
  <cp:keywords/>
  <dc:description/>
  <cp:lastModifiedBy>Cornelia Betsch</cp:lastModifiedBy>
  <cp:revision>5</cp:revision>
  <cp:lastPrinted>2018-10-21T17:50:00Z</cp:lastPrinted>
  <dcterms:created xsi:type="dcterms:W3CDTF">2018-11-28T13:45:00Z</dcterms:created>
  <dcterms:modified xsi:type="dcterms:W3CDTF">2018-11-28T13:58:00Z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zotero-version="5.0.58"&gt;&lt;session id="RLcakJPF"/&gt;&lt;style id="http://www.zotero.org/styles/plos-medicine" hasBibliography="1" bibliographyStyleHasBeenSet="1"/&gt;&lt;prefs&gt;&lt;pref name="fieldType" value="Field"/&gt;&lt;pref name="automaticJournalAbb</vt:lpwstr>
  </property>
  <property fmtid="{D5CDD505-2E9C-101B-9397-08002B2CF9AE}" pid="3" name="ZOTERO_PREF_2">
    <vt:lpwstr>reviations" value="true"/&gt;&lt;pref name="delayCitationUpdates" value="true"/&gt;&lt;pref name="dontAskDelayCitationUpdates" value="true"/&gt;&lt;/prefs&gt;&lt;/data&gt;</vt:lpwstr>
  </property>
</Properties>
</file>