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D4" w:rsidRPr="00083358" w:rsidRDefault="00F336CB" w:rsidP="00C502DC">
      <w:pPr>
        <w:keepNext/>
        <w:ind w:left="720"/>
        <w:rPr>
          <w:rFonts w:ascii="Perpetua" w:hAnsi="Perpetua"/>
          <w:b/>
          <w:sz w:val="24"/>
          <w:szCs w:val="24"/>
        </w:rPr>
      </w:pPr>
      <w:r>
        <w:rPr>
          <w:rFonts w:ascii="Perpetua" w:hAnsi="Perpetua"/>
          <w:b/>
          <w:sz w:val="24"/>
          <w:szCs w:val="24"/>
        </w:rPr>
        <w:t>Supplementary</w:t>
      </w:r>
      <w:r w:rsidR="00097923" w:rsidRPr="00083358">
        <w:rPr>
          <w:rFonts w:ascii="Perpetua" w:hAnsi="Perpetua"/>
          <w:b/>
          <w:sz w:val="24"/>
          <w:szCs w:val="24"/>
        </w:rPr>
        <w:t xml:space="preserve"> </w:t>
      </w:r>
      <w:r>
        <w:rPr>
          <w:rFonts w:ascii="Perpetua" w:hAnsi="Perpetua"/>
          <w:b/>
          <w:sz w:val="24"/>
          <w:szCs w:val="24"/>
        </w:rPr>
        <w:t>Information</w:t>
      </w:r>
    </w:p>
    <w:p w:rsidR="004779E1" w:rsidRDefault="004779E1" w:rsidP="007C4709">
      <w:pPr>
        <w:spacing w:line="480" w:lineRule="auto"/>
        <w:rPr>
          <w:rFonts w:ascii="Perpetua" w:hAnsi="Perpetua"/>
          <w:sz w:val="24"/>
          <w:szCs w:val="24"/>
        </w:rPr>
      </w:pPr>
      <w:bookmarkStart w:id="0" w:name="_GoBack"/>
      <w:bookmarkEnd w:id="0"/>
    </w:p>
    <w:p w:rsidR="00935BD4" w:rsidRPr="00207B71" w:rsidRDefault="00935BD4" w:rsidP="00C502DC">
      <w:pPr>
        <w:keepNext/>
        <w:spacing w:line="480" w:lineRule="auto"/>
        <w:ind w:left="720"/>
        <w:rPr>
          <w:rFonts w:ascii="Perpetua" w:hAnsi="Perpetua"/>
          <w:b/>
          <w:sz w:val="24"/>
          <w:szCs w:val="24"/>
        </w:rPr>
      </w:pPr>
      <w:r w:rsidRPr="00083358">
        <w:rPr>
          <w:rFonts w:ascii="Perpetua" w:hAnsi="Perpetua"/>
          <w:b/>
          <w:sz w:val="24"/>
          <w:szCs w:val="24"/>
        </w:rPr>
        <w:t>S</w:t>
      </w:r>
      <w:r w:rsidR="009C58AC">
        <w:rPr>
          <w:rFonts w:ascii="Perpetua" w:hAnsi="Perpetua"/>
          <w:b/>
          <w:sz w:val="24"/>
          <w:szCs w:val="24"/>
        </w:rPr>
        <w:t>2</w:t>
      </w:r>
      <w:r w:rsidRPr="00083358">
        <w:rPr>
          <w:rFonts w:ascii="Perpetua" w:hAnsi="Perpetua"/>
          <w:b/>
          <w:sz w:val="24"/>
          <w:szCs w:val="24"/>
        </w:rPr>
        <w:t>. Sensitivity tests using alternative GHSL thresholds:</w:t>
      </w:r>
      <w:r w:rsidRPr="00083358">
        <w:rPr>
          <w:rFonts w:ascii="Perpetua" w:hAnsi="Perpetua"/>
          <w:sz w:val="24"/>
          <w:szCs w:val="24"/>
        </w:rPr>
        <w:t xml:space="preserve"> </w:t>
      </w:r>
      <w:r w:rsidRPr="00083358">
        <w:rPr>
          <w:rFonts w:ascii="Perpetua" w:hAnsi="Perpetua"/>
          <w:b/>
          <w:sz w:val="24"/>
          <w:szCs w:val="24"/>
        </w:rPr>
        <w:t>Estimates of population and land area</w:t>
      </w:r>
    </w:p>
    <w:p w:rsidR="00935BD4" w:rsidRDefault="00935BD4" w:rsidP="00C502DC">
      <w:pPr>
        <w:spacing w:line="480" w:lineRule="auto"/>
        <w:ind w:left="720"/>
        <w:rPr>
          <w:rFonts w:ascii="Perpetua" w:hAnsi="Perpetua"/>
          <w:sz w:val="24"/>
          <w:szCs w:val="24"/>
        </w:rPr>
      </w:pPr>
      <w:r w:rsidRPr="008366EC">
        <w:rPr>
          <w:rFonts w:ascii="Perpetua" w:hAnsi="Perpetua"/>
          <w:sz w:val="24"/>
          <w:szCs w:val="24"/>
        </w:rPr>
        <w:t xml:space="preserve">Tables </w:t>
      </w:r>
      <w:r w:rsidR="00600E12" w:rsidRPr="008366EC">
        <w:rPr>
          <w:rFonts w:ascii="Perpetua" w:hAnsi="Perpetua"/>
          <w:sz w:val="24"/>
          <w:szCs w:val="24"/>
        </w:rPr>
        <w:t>S1 and S2</w:t>
      </w:r>
      <w:r w:rsidRPr="008366EC">
        <w:rPr>
          <w:rFonts w:ascii="Perpetua" w:hAnsi="Perpetua"/>
          <w:sz w:val="24"/>
          <w:szCs w:val="24"/>
        </w:rPr>
        <w:t xml:space="preserve"> show population and land area in each urban class, and rural extents, for 1990-2010 at the 25% (Table S</w:t>
      </w:r>
      <w:r w:rsidR="00600E12" w:rsidRPr="008366EC">
        <w:rPr>
          <w:rFonts w:ascii="Perpetua" w:hAnsi="Perpetua"/>
          <w:sz w:val="24"/>
          <w:szCs w:val="24"/>
        </w:rPr>
        <w:t>1</w:t>
      </w:r>
      <w:r w:rsidRPr="008366EC">
        <w:rPr>
          <w:rFonts w:ascii="Perpetua" w:hAnsi="Perpetua"/>
          <w:sz w:val="24"/>
          <w:szCs w:val="24"/>
        </w:rPr>
        <w:t>) and 40% (Table S</w:t>
      </w:r>
      <w:r w:rsidR="00600E12" w:rsidRPr="008366EC">
        <w:rPr>
          <w:rFonts w:ascii="Perpetua" w:hAnsi="Perpetua"/>
          <w:sz w:val="24"/>
          <w:szCs w:val="24"/>
        </w:rPr>
        <w:t>2</w:t>
      </w:r>
      <w:r w:rsidRPr="008366EC">
        <w:rPr>
          <w:rFonts w:ascii="Perpetua" w:hAnsi="Perpetua"/>
          <w:sz w:val="24"/>
          <w:szCs w:val="24"/>
        </w:rPr>
        <w:t>) GHSL thresholds</w:t>
      </w:r>
      <w:r w:rsidRPr="00083358">
        <w:rPr>
          <w:rFonts w:ascii="Perpetua" w:hAnsi="Perpetua"/>
          <w:sz w:val="24"/>
          <w:szCs w:val="24"/>
        </w:rPr>
        <w:t>, to determine the sensitivity of our estimation to the specified threshold.  In general, as the GHSL threshold is lowered the total area and population designated as urban inclusive (</w:t>
      </w:r>
      <w:r w:rsidRPr="00083358">
        <w:rPr>
          <w:rFonts w:ascii="Perpetua" w:hAnsi="Perpetua"/>
          <w:i/>
          <w:sz w:val="24"/>
          <w:szCs w:val="24"/>
        </w:rPr>
        <w:t>UI</w:t>
      </w:r>
      <w:r w:rsidRPr="00083358">
        <w:rPr>
          <w:rFonts w:ascii="Perpetua" w:hAnsi="Perpetua"/>
          <w:sz w:val="24"/>
          <w:szCs w:val="24"/>
        </w:rPr>
        <w:t xml:space="preserve">) rises while population density falls, a function of increasing urban land (GHSL) into areas of lower population density.  </w:t>
      </w:r>
    </w:p>
    <w:p w:rsidR="001B7A7F" w:rsidRPr="00083358" w:rsidRDefault="000E308F" w:rsidP="000E308F">
      <w:pPr>
        <w:spacing w:line="480" w:lineRule="auto"/>
        <w:ind w:left="720"/>
        <w:rPr>
          <w:rFonts w:ascii="Perpetua" w:hAnsi="Perpetua"/>
          <w:sz w:val="24"/>
          <w:szCs w:val="24"/>
        </w:rPr>
      </w:pPr>
      <w:r>
        <w:rPr>
          <w:rFonts w:ascii="Perpetua" w:hAnsi="Perpetua"/>
          <w:sz w:val="24"/>
          <w:szCs w:val="24"/>
        </w:rPr>
        <w:tab/>
      </w:r>
      <w:r w:rsidR="00935BD4" w:rsidRPr="00083358">
        <w:rPr>
          <w:rFonts w:ascii="Perpetua" w:hAnsi="Perpetua"/>
          <w:sz w:val="24"/>
          <w:szCs w:val="24"/>
        </w:rPr>
        <w:t>At lower GHSL thresholds, the percent of the urban population living in areas of urban agreement (</w:t>
      </w:r>
      <w:proofErr w:type="spellStart"/>
      <w:r w:rsidR="00935BD4" w:rsidRPr="00083358">
        <w:rPr>
          <w:rFonts w:ascii="Perpetua" w:hAnsi="Perpetua"/>
          <w:i/>
          <w:sz w:val="24"/>
          <w:szCs w:val="24"/>
        </w:rPr>
        <w:t>UAg</w:t>
      </w:r>
      <w:proofErr w:type="spellEnd"/>
      <w:r w:rsidR="00935BD4" w:rsidRPr="00083358">
        <w:rPr>
          <w:rFonts w:ascii="Perpetua" w:hAnsi="Perpetua"/>
          <w:sz w:val="24"/>
          <w:szCs w:val="24"/>
        </w:rPr>
        <w:t>) increases, as does the percentage of population living in areas of built-up land only (</w:t>
      </w:r>
      <w:r w:rsidR="00935BD4" w:rsidRPr="00083358">
        <w:rPr>
          <w:rFonts w:ascii="Perpetua" w:hAnsi="Perpetua"/>
          <w:i/>
          <w:sz w:val="24"/>
          <w:szCs w:val="24"/>
        </w:rPr>
        <w:t>BULO</w:t>
      </w:r>
      <w:r w:rsidR="00935BD4" w:rsidRPr="00083358">
        <w:rPr>
          <w:rFonts w:ascii="Perpetua" w:hAnsi="Perpetua"/>
          <w:sz w:val="24"/>
          <w:szCs w:val="24"/>
        </w:rPr>
        <w:t xml:space="preserve">).  The percent of the population living in </w:t>
      </w:r>
      <w:r w:rsidR="00935BD4" w:rsidRPr="00083358">
        <w:rPr>
          <w:rFonts w:ascii="Perpetua" w:hAnsi="Perpetua"/>
          <w:i/>
          <w:sz w:val="24"/>
          <w:szCs w:val="24"/>
        </w:rPr>
        <w:t>UPO</w:t>
      </w:r>
      <w:r w:rsidR="00935BD4" w:rsidRPr="00083358">
        <w:rPr>
          <w:rFonts w:ascii="Perpetua" w:hAnsi="Perpetua"/>
          <w:sz w:val="24"/>
          <w:szCs w:val="24"/>
        </w:rPr>
        <w:t xml:space="preserve"> areas, those that are typically suburban or </w:t>
      </w:r>
      <w:proofErr w:type="spellStart"/>
      <w:r w:rsidR="00935BD4" w:rsidRPr="00083358">
        <w:rPr>
          <w:rFonts w:ascii="Perpetua" w:hAnsi="Perpetua"/>
          <w:sz w:val="24"/>
          <w:szCs w:val="24"/>
        </w:rPr>
        <w:t>peri</w:t>
      </w:r>
      <w:proofErr w:type="spellEnd"/>
      <w:r w:rsidR="00935BD4" w:rsidRPr="00083358">
        <w:rPr>
          <w:rFonts w:ascii="Perpetua" w:hAnsi="Perpetua"/>
          <w:sz w:val="24"/>
          <w:szCs w:val="24"/>
        </w:rPr>
        <w:t xml:space="preserve">-urban in nature, is much smaller at the 25% threshold (17.4%, in 2010) than at the 50% threshold (31.1%, in </w:t>
      </w:r>
      <w:r w:rsidR="00935BD4" w:rsidRPr="00E227FC">
        <w:rPr>
          <w:rFonts w:ascii="Perpetua" w:hAnsi="Perpetua"/>
          <w:sz w:val="24"/>
          <w:szCs w:val="24"/>
        </w:rPr>
        <w:t xml:space="preserve">2010, Table </w:t>
      </w:r>
      <w:r w:rsidR="00600E12" w:rsidRPr="00E227FC">
        <w:rPr>
          <w:rFonts w:ascii="Perpetua" w:hAnsi="Perpetua"/>
          <w:sz w:val="24"/>
          <w:szCs w:val="24"/>
        </w:rPr>
        <w:t>2</w:t>
      </w:r>
      <w:r w:rsidR="00935BD4" w:rsidRPr="00E227FC">
        <w:rPr>
          <w:rFonts w:ascii="Perpetua" w:hAnsi="Perpetua"/>
          <w:sz w:val="24"/>
          <w:szCs w:val="24"/>
        </w:rPr>
        <w:t>). In</w:t>
      </w:r>
      <w:r w:rsidR="00935BD4" w:rsidRPr="00083358">
        <w:rPr>
          <w:rFonts w:ascii="Perpetua" w:hAnsi="Perpetua"/>
          <w:sz w:val="24"/>
          <w:szCs w:val="24"/>
        </w:rPr>
        <w:t xml:space="preserve"> this way, the </w:t>
      </w:r>
      <w:r w:rsidR="00935BD4" w:rsidRPr="00083358">
        <w:rPr>
          <w:rFonts w:ascii="Perpetua" w:hAnsi="Perpetua"/>
          <w:i/>
          <w:sz w:val="24"/>
          <w:szCs w:val="24"/>
        </w:rPr>
        <w:t>UPO</w:t>
      </w:r>
      <w:r w:rsidR="00935BD4" w:rsidRPr="00083358">
        <w:rPr>
          <w:rFonts w:ascii="Perpetua" w:hAnsi="Perpetua"/>
          <w:sz w:val="24"/>
          <w:szCs w:val="24"/>
        </w:rPr>
        <w:t xml:space="preserve"> class is the most sensitive one to threshold changes, which is relevant because </w:t>
      </w:r>
      <w:r w:rsidR="00935BD4" w:rsidRPr="00083358">
        <w:rPr>
          <w:rFonts w:ascii="Perpetua" w:hAnsi="Perpetua"/>
          <w:i/>
          <w:sz w:val="24"/>
          <w:szCs w:val="24"/>
        </w:rPr>
        <w:t>UPO</w:t>
      </w:r>
      <w:r w:rsidR="00935BD4" w:rsidRPr="00083358">
        <w:rPr>
          <w:rFonts w:ascii="Perpetua" w:hAnsi="Perpetua"/>
          <w:sz w:val="24"/>
          <w:szCs w:val="24"/>
        </w:rPr>
        <w:t xml:space="preserve"> areas are those identified by the census as urban by not by the GHSL proxy.  Lower, more inclusive GHSL thresholds envelop more census blocks (and their population and land area), leading to both higher fractions of the population in the </w:t>
      </w:r>
      <w:proofErr w:type="spellStart"/>
      <w:r w:rsidR="00935BD4" w:rsidRPr="00083358">
        <w:rPr>
          <w:rFonts w:ascii="Perpetua" w:hAnsi="Perpetua"/>
          <w:i/>
          <w:sz w:val="24"/>
          <w:szCs w:val="24"/>
        </w:rPr>
        <w:t>UAg</w:t>
      </w:r>
      <w:proofErr w:type="spellEnd"/>
      <w:r w:rsidR="00935BD4" w:rsidRPr="00083358">
        <w:rPr>
          <w:rFonts w:ascii="Perpetua" w:hAnsi="Perpetua"/>
          <w:sz w:val="24"/>
          <w:szCs w:val="24"/>
        </w:rPr>
        <w:t xml:space="preserve"> and </w:t>
      </w:r>
      <w:r w:rsidR="00935BD4" w:rsidRPr="00083358">
        <w:rPr>
          <w:rFonts w:ascii="Perpetua" w:hAnsi="Perpetua"/>
          <w:i/>
          <w:sz w:val="24"/>
          <w:szCs w:val="24"/>
        </w:rPr>
        <w:t>BULO</w:t>
      </w:r>
      <w:r w:rsidR="00935BD4" w:rsidRPr="00083358">
        <w:rPr>
          <w:rFonts w:ascii="Perpetua" w:hAnsi="Perpetua"/>
          <w:sz w:val="24"/>
          <w:szCs w:val="24"/>
        </w:rPr>
        <w:t xml:space="preserve"> classes, but naturally reducing the population estimates in </w:t>
      </w:r>
      <w:r w:rsidR="00935BD4" w:rsidRPr="00083358">
        <w:rPr>
          <w:rFonts w:ascii="Perpetua" w:hAnsi="Perpetua"/>
          <w:i/>
          <w:sz w:val="24"/>
          <w:szCs w:val="24"/>
        </w:rPr>
        <w:t>UPO</w:t>
      </w:r>
      <w:r w:rsidR="00935BD4" w:rsidRPr="00083358">
        <w:rPr>
          <w:rFonts w:ascii="Perpetua" w:hAnsi="Perpetua"/>
          <w:sz w:val="24"/>
          <w:szCs w:val="24"/>
        </w:rPr>
        <w:t xml:space="preserve"> areas.  </w:t>
      </w:r>
    </w:p>
    <w:p w:rsidR="00935BD4" w:rsidRDefault="00935BD4" w:rsidP="00C502DC">
      <w:pPr>
        <w:spacing w:line="480" w:lineRule="auto"/>
        <w:ind w:left="720" w:firstLine="720"/>
        <w:rPr>
          <w:rFonts w:ascii="Perpetua" w:hAnsi="Perpetua"/>
          <w:sz w:val="24"/>
          <w:szCs w:val="24"/>
        </w:rPr>
      </w:pPr>
      <w:r w:rsidRPr="00083358">
        <w:rPr>
          <w:rFonts w:ascii="Perpetua" w:hAnsi="Perpetua"/>
          <w:sz w:val="24"/>
          <w:szCs w:val="24"/>
        </w:rPr>
        <w:t xml:space="preserve">At each threshold, trends across the three census periods are similar, with increasing values in urban inclusive population and area over time. Consistent with the 50% GHSL threshold, within the urban population, the portion living in areas of </w:t>
      </w:r>
      <w:proofErr w:type="spellStart"/>
      <w:r w:rsidRPr="00083358">
        <w:rPr>
          <w:rFonts w:ascii="Perpetua" w:hAnsi="Perpetua"/>
          <w:i/>
          <w:sz w:val="24"/>
          <w:szCs w:val="24"/>
        </w:rPr>
        <w:t>UAg</w:t>
      </w:r>
      <w:proofErr w:type="spellEnd"/>
      <w:r w:rsidRPr="00083358">
        <w:rPr>
          <w:rFonts w:ascii="Perpetua" w:hAnsi="Perpetua"/>
          <w:sz w:val="24"/>
          <w:szCs w:val="24"/>
        </w:rPr>
        <w:t xml:space="preserve"> is largely stable over time, while “suburban” populations (</w:t>
      </w:r>
      <w:r w:rsidRPr="00083358">
        <w:rPr>
          <w:rFonts w:ascii="Perpetua" w:hAnsi="Perpetua"/>
          <w:i/>
          <w:sz w:val="24"/>
          <w:szCs w:val="24"/>
        </w:rPr>
        <w:t>UPO</w:t>
      </w:r>
      <w:r w:rsidRPr="00083358">
        <w:rPr>
          <w:rFonts w:ascii="Perpetua" w:hAnsi="Perpetua"/>
          <w:sz w:val="24"/>
          <w:szCs w:val="24"/>
        </w:rPr>
        <w:t xml:space="preserve">) generally comprise a larger portion of the urban inclusive population over time.  Over time, the portion of urban land classified as </w:t>
      </w:r>
      <w:proofErr w:type="spellStart"/>
      <w:r w:rsidRPr="00083358">
        <w:rPr>
          <w:rFonts w:ascii="Perpetua" w:hAnsi="Perpetua"/>
          <w:i/>
          <w:sz w:val="24"/>
          <w:szCs w:val="24"/>
        </w:rPr>
        <w:t>UAg</w:t>
      </w:r>
      <w:proofErr w:type="spellEnd"/>
      <w:r w:rsidRPr="00083358">
        <w:rPr>
          <w:rFonts w:ascii="Perpetua" w:hAnsi="Perpetua"/>
          <w:sz w:val="24"/>
          <w:szCs w:val="24"/>
        </w:rPr>
        <w:t xml:space="preserve"> grows, while the portion defined as </w:t>
      </w:r>
      <w:r w:rsidRPr="00083358">
        <w:rPr>
          <w:rFonts w:ascii="Perpetua" w:hAnsi="Perpetua"/>
          <w:i/>
          <w:sz w:val="24"/>
          <w:szCs w:val="24"/>
        </w:rPr>
        <w:t>UPO</w:t>
      </w:r>
      <w:r w:rsidRPr="00083358">
        <w:rPr>
          <w:rFonts w:ascii="Perpetua" w:hAnsi="Perpetua"/>
          <w:sz w:val="24"/>
          <w:szCs w:val="24"/>
        </w:rPr>
        <w:t xml:space="preserve"> and </w:t>
      </w:r>
      <w:r w:rsidRPr="00083358">
        <w:rPr>
          <w:rFonts w:ascii="Perpetua" w:hAnsi="Perpetua"/>
          <w:i/>
          <w:sz w:val="24"/>
          <w:szCs w:val="24"/>
        </w:rPr>
        <w:t>BULO</w:t>
      </w:r>
      <w:r w:rsidRPr="00083358">
        <w:rPr>
          <w:rFonts w:ascii="Perpetua" w:hAnsi="Perpetua"/>
          <w:sz w:val="24"/>
          <w:szCs w:val="24"/>
        </w:rPr>
        <w:t xml:space="preserve"> decline. It is notable that even at the 25% GHSL </w:t>
      </w:r>
      <w:r w:rsidRPr="00083358">
        <w:rPr>
          <w:rFonts w:ascii="Perpetua" w:hAnsi="Perpetua"/>
          <w:sz w:val="24"/>
          <w:szCs w:val="24"/>
        </w:rPr>
        <w:lastRenderedPageBreak/>
        <w:t xml:space="preserve">threshold, only 4% of land area in 2010 would be classified as </w:t>
      </w:r>
      <w:r w:rsidRPr="00083358">
        <w:rPr>
          <w:rFonts w:ascii="Perpetua" w:hAnsi="Perpetua"/>
          <w:i/>
          <w:sz w:val="24"/>
          <w:szCs w:val="24"/>
        </w:rPr>
        <w:t>UI</w:t>
      </w:r>
      <w:r w:rsidRPr="00083358">
        <w:rPr>
          <w:rFonts w:ascii="Perpetua" w:hAnsi="Perpetua"/>
          <w:sz w:val="24"/>
          <w:szCs w:val="24"/>
        </w:rPr>
        <w:t xml:space="preserve">, up from 3.7% at the 50% threshold (Table </w:t>
      </w:r>
      <w:r w:rsidR="00600E12">
        <w:rPr>
          <w:rFonts w:ascii="Perpetua" w:hAnsi="Perpetua"/>
          <w:sz w:val="24"/>
          <w:szCs w:val="24"/>
        </w:rPr>
        <w:t>2</w:t>
      </w:r>
      <w:r w:rsidRPr="00083358">
        <w:rPr>
          <w:rFonts w:ascii="Perpetua" w:hAnsi="Perpetua"/>
          <w:sz w:val="24"/>
          <w:szCs w:val="24"/>
        </w:rPr>
        <w:t xml:space="preserve">). </w:t>
      </w:r>
    </w:p>
    <w:p w:rsidR="000E308F" w:rsidRPr="00083358" w:rsidRDefault="000E308F" w:rsidP="00C502DC">
      <w:pPr>
        <w:spacing w:line="480" w:lineRule="auto"/>
        <w:ind w:left="720" w:firstLine="720"/>
        <w:rPr>
          <w:rFonts w:ascii="Perpetua" w:hAnsi="Perpetua"/>
          <w:sz w:val="24"/>
          <w:szCs w:val="24"/>
        </w:rPr>
      </w:pPr>
    </w:p>
    <w:p w:rsidR="00F336CB" w:rsidRDefault="00F336CB">
      <w:pPr>
        <w:rPr>
          <w:rFonts w:ascii="Perpetua" w:hAnsi="Perpetua"/>
          <w:b/>
          <w:sz w:val="24"/>
          <w:szCs w:val="24"/>
        </w:rPr>
      </w:pPr>
    </w:p>
    <w:sectPr w:rsidR="00F336CB" w:rsidSect="000E308F">
      <w:footerReference w:type="default" r:id="rId8"/>
      <w:headerReference w:type="first" r:id="rId9"/>
      <w:footerReference w:type="first" r:id="rId10"/>
      <w:pgSz w:w="12240" w:h="15840"/>
      <w:pgMar w:top="993" w:right="1987" w:bottom="806" w:left="1080" w:header="360" w:footer="720" w:gutter="0"/>
      <w:lnNumType w:countBy="1" w:restart="continuou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AB3" w:rsidRDefault="000E3AB3">
      <w:r>
        <w:separator/>
      </w:r>
    </w:p>
  </w:endnote>
  <w:endnote w:type="continuationSeparator" w:id="0">
    <w:p w:rsidR="000E3AB3" w:rsidRDefault="000E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275" w:rsidRDefault="00257275">
    <w:pPr>
      <w:spacing w:after="26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275" w:rsidRDefault="00257275">
    <w:pPr>
      <w:pBdr>
        <w:top w:val="single" w:sz="4" w:space="1" w:color="000000"/>
      </w:pBdr>
      <w:rPr>
        <w:sz w:val="18"/>
        <w:szCs w:val="18"/>
      </w:rPr>
    </w:pPr>
    <w:r>
      <w:rPr>
        <w:i/>
        <w:sz w:val="18"/>
        <w:szCs w:val="18"/>
      </w:rPr>
      <w:t>Science Advances</w:t>
    </w:r>
    <w:r>
      <w:rPr>
        <w:sz w:val="18"/>
        <w:szCs w:val="18"/>
      </w:rPr>
      <w:t xml:space="preserve">                                               Manuscript Template                                                                                           Page </w:t>
    </w:r>
    <w:r>
      <w:rPr>
        <w:b/>
        <w:sz w:val="18"/>
        <w:szCs w:val="18"/>
      </w:rPr>
      <w:fldChar w:fldCharType="begin"/>
    </w:r>
    <w:r>
      <w:rPr>
        <w:b/>
        <w:sz w:val="18"/>
        <w:szCs w:val="18"/>
      </w:rPr>
      <w:instrText>PAGE</w:instrText>
    </w:r>
    <w:r>
      <w:rPr>
        <w:b/>
        <w:sz w:val="18"/>
        <w:szCs w:val="18"/>
      </w:rPr>
      <w:fldChar w:fldCharType="end"/>
    </w:r>
    <w:r>
      <w:rPr>
        <w:sz w:val="18"/>
        <w:szCs w:val="18"/>
      </w:rPr>
      <w:t xml:space="preserve"> of </w:t>
    </w:r>
    <w:r>
      <w:rPr>
        <w:b/>
        <w:sz w:val="18"/>
        <w:szCs w:val="18"/>
      </w:rPr>
      <w:fldChar w:fldCharType="begin"/>
    </w:r>
    <w:r>
      <w:rPr>
        <w:b/>
        <w:sz w:val="18"/>
        <w:szCs w:val="18"/>
      </w:rPr>
      <w:instrText>NUMPAGES</w:instrText>
    </w:r>
    <w:r>
      <w:rPr>
        <w:b/>
        <w:sz w:val="18"/>
        <w:szCs w:val="18"/>
      </w:rPr>
      <w:fldChar w:fldCharType="separate"/>
    </w:r>
    <w:r w:rsidR="000F3D79">
      <w:rPr>
        <w:b/>
        <w:noProof/>
        <w:sz w:val="18"/>
        <w:szCs w:val="18"/>
      </w:rPr>
      <w:t>1</w:t>
    </w:r>
    <w:r>
      <w:rPr>
        <w:b/>
        <w:sz w:val="18"/>
        <w:szCs w:val="18"/>
      </w:rPr>
      <w:fldChar w:fldCharType="end"/>
    </w:r>
  </w:p>
  <w:p w:rsidR="00257275" w:rsidRDefault="00257275">
    <w:pPr>
      <w:spacing w:after="26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AB3" w:rsidRDefault="000E3AB3">
      <w:r>
        <w:separator/>
      </w:r>
    </w:p>
  </w:footnote>
  <w:footnote w:type="continuationSeparator" w:id="0">
    <w:p w:rsidR="000E3AB3" w:rsidRDefault="000E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275" w:rsidRDefault="00257275">
    <w:pPr>
      <w:spacing w:before="432"/>
    </w:pPr>
    <w:r>
      <w:tab/>
    </w:r>
  </w:p>
  <w:tbl>
    <w:tblPr>
      <w:tblStyle w:val="a"/>
      <w:tblW w:w="13110" w:type="dxa"/>
      <w:tblInd w:w="738" w:type="dxa"/>
      <w:tblLayout w:type="fixed"/>
      <w:tblLook w:val="0000" w:firstRow="0" w:lastRow="0" w:firstColumn="0" w:lastColumn="0" w:noHBand="0" w:noVBand="0"/>
    </w:tblPr>
    <w:tblGrid>
      <w:gridCol w:w="6840"/>
      <w:gridCol w:w="6270"/>
    </w:tblGrid>
    <w:tr w:rsidR="00257275">
      <w:trPr>
        <w:trHeight w:val="900"/>
      </w:trPr>
      <w:tc>
        <w:tcPr>
          <w:tcW w:w="0" w:type="auto"/>
        </w:tcPr>
        <w:p w:rsidR="00257275" w:rsidRDefault="00257275">
          <w:pPr>
            <w:ind w:right="-86"/>
            <w:rPr>
              <w:rFonts w:ascii="Times" w:eastAsia="Times" w:hAnsi="Times" w:cs="Times"/>
            </w:rPr>
          </w:pPr>
        </w:p>
      </w:tc>
      <w:tc>
        <w:tcPr>
          <w:tcW w:w="0" w:type="auto"/>
          <w:vAlign w:val="center"/>
        </w:tcPr>
        <w:p w:rsidR="00257275" w:rsidRDefault="00257275">
          <w:pPr>
            <w:ind w:right="1008"/>
            <w:rPr>
              <w:sz w:val="36"/>
              <w:szCs w:val="36"/>
            </w:rPr>
          </w:pPr>
        </w:p>
      </w:tc>
    </w:tr>
  </w:tbl>
  <w:p w:rsidR="00257275" w:rsidRDefault="002572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3C44"/>
    <w:multiLevelType w:val="multilevel"/>
    <w:tmpl w:val="69149600"/>
    <w:lvl w:ilvl="0">
      <w:start w:val="1"/>
      <w:numFmt w:val="decimal"/>
      <w:lvlText w:val="%1."/>
      <w:lvlJc w:val="left"/>
      <w:pPr>
        <w:ind w:left="720" w:hanging="360"/>
      </w:pPr>
      <w:rPr>
        <w:rFonts w:ascii="Times New Roman" w:eastAsia="Times New Roman" w:hAnsi="Times New Roman" w:cs="Times New Roman"/>
        <w:b w:val="0"/>
        <w:sz w:val="24"/>
        <w:szCs w:val="24"/>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C5"/>
    <w:rsid w:val="000406B5"/>
    <w:rsid w:val="00040F2A"/>
    <w:rsid w:val="00052138"/>
    <w:rsid w:val="00064146"/>
    <w:rsid w:val="00067920"/>
    <w:rsid w:val="00070A3C"/>
    <w:rsid w:val="00071767"/>
    <w:rsid w:val="0007488E"/>
    <w:rsid w:val="00083358"/>
    <w:rsid w:val="00097923"/>
    <w:rsid w:val="000B4CB2"/>
    <w:rsid w:val="000C5309"/>
    <w:rsid w:val="000D1229"/>
    <w:rsid w:val="000D250E"/>
    <w:rsid w:val="000E308F"/>
    <w:rsid w:val="000E3AB3"/>
    <w:rsid w:val="000F3D79"/>
    <w:rsid w:val="00132852"/>
    <w:rsid w:val="00133BC0"/>
    <w:rsid w:val="0013598C"/>
    <w:rsid w:val="001401EE"/>
    <w:rsid w:val="0017214F"/>
    <w:rsid w:val="001B7A7F"/>
    <w:rsid w:val="001C0EC6"/>
    <w:rsid w:val="0020511E"/>
    <w:rsid w:val="00207B71"/>
    <w:rsid w:val="0021143B"/>
    <w:rsid w:val="0023202E"/>
    <w:rsid w:val="00257275"/>
    <w:rsid w:val="00265A9A"/>
    <w:rsid w:val="00270EC8"/>
    <w:rsid w:val="002F0F7F"/>
    <w:rsid w:val="00357F81"/>
    <w:rsid w:val="003A738B"/>
    <w:rsid w:val="003B39C5"/>
    <w:rsid w:val="003C2F49"/>
    <w:rsid w:val="0042178A"/>
    <w:rsid w:val="00477767"/>
    <w:rsid w:val="004779E1"/>
    <w:rsid w:val="004B69E8"/>
    <w:rsid w:val="004E7C54"/>
    <w:rsid w:val="00523F9B"/>
    <w:rsid w:val="00595579"/>
    <w:rsid w:val="005C317B"/>
    <w:rsid w:val="005D3073"/>
    <w:rsid w:val="005D751F"/>
    <w:rsid w:val="00600E12"/>
    <w:rsid w:val="00605DE7"/>
    <w:rsid w:val="00625203"/>
    <w:rsid w:val="00670154"/>
    <w:rsid w:val="006856AD"/>
    <w:rsid w:val="00687D3F"/>
    <w:rsid w:val="006C43B6"/>
    <w:rsid w:val="0072111B"/>
    <w:rsid w:val="00776778"/>
    <w:rsid w:val="007A3D3C"/>
    <w:rsid w:val="007C4709"/>
    <w:rsid w:val="007E2A5D"/>
    <w:rsid w:val="008100AB"/>
    <w:rsid w:val="00823704"/>
    <w:rsid w:val="00832173"/>
    <w:rsid w:val="008366EC"/>
    <w:rsid w:val="008415E4"/>
    <w:rsid w:val="008562CE"/>
    <w:rsid w:val="00866A51"/>
    <w:rsid w:val="00891F22"/>
    <w:rsid w:val="008B1F1E"/>
    <w:rsid w:val="00935BD4"/>
    <w:rsid w:val="00974C99"/>
    <w:rsid w:val="00984A5C"/>
    <w:rsid w:val="009A1E1F"/>
    <w:rsid w:val="009A51E6"/>
    <w:rsid w:val="009B0440"/>
    <w:rsid w:val="009C58AC"/>
    <w:rsid w:val="009E4A78"/>
    <w:rsid w:val="00A22B50"/>
    <w:rsid w:val="00A62A42"/>
    <w:rsid w:val="00A640C4"/>
    <w:rsid w:val="00AE1AEA"/>
    <w:rsid w:val="00AE7982"/>
    <w:rsid w:val="00B03850"/>
    <w:rsid w:val="00B0637B"/>
    <w:rsid w:val="00B20A73"/>
    <w:rsid w:val="00BA5160"/>
    <w:rsid w:val="00BD1604"/>
    <w:rsid w:val="00BD5C2D"/>
    <w:rsid w:val="00BE1D1D"/>
    <w:rsid w:val="00BE2052"/>
    <w:rsid w:val="00C502DC"/>
    <w:rsid w:val="00C77732"/>
    <w:rsid w:val="00C877CB"/>
    <w:rsid w:val="00C930E6"/>
    <w:rsid w:val="00CC4EA8"/>
    <w:rsid w:val="00CD795E"/>
    <w:rsid w:val="00CF0E31"/>
    <w:rsid w:val="00CF69B0"/>
    <w:rsid w:val="00D05C32"/>
    <w:rsid w:val="00D2573C"/>
    <w:rsid w:val="00D31646"/>
    <w:rsid w:val="00DC60B7"/>
    <w:rsid w:val="00DF0FDA"/>
    <w:rsid w:val="00DF5FC4"/>
    <w:rsid w:val="00E05B1C"/>
    <w:rsid w:val="00E227FC"/>
    <w:rsid w:val="00E239D4"/>
    <w:rsid w:val="00E959E2"/>
    <w:rsid w:val="00E97152"/>
    <w:rsid w:val="00F336CB"/>
    <w:rsid w:val="00F62254"/>
    <w:rsid w:val="00FA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82D5"/>
  <w15:docId w15:val="{CD8722AB-D369-4666-9FE0-CD5C3F14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D31646"/>
    <w:rPr>
      <w:sz w:val="16"/>
      <w:szCs w:val="16"/>
    </w:rPr>
  </w:style>
  <w:style w:type="paragraph" w:styleId="CommentText">
    <w:name w:val="annotation text"/>
    <w:basedOn w:val="Normal"/>
    <w:link w:val="CommentTextChar"/>
    <w:uiPriority w:val="99"/>
    <w:semiHidden/>
    <w:unhideWhenUsed/>
    <w:rsid w:val="00D31646"/>
  </w:style>
  <w:style w:type="character" w:customStyle="1" w:styleId="CommentTextChar">
    <w:name w:val="Comment Text Char"/>
    <w:basedOn w:val="DefaultParagraphFont"/>
    <w:link w:val="CommentText"/>
    <w:uiPriority w:val="99"/>
    <w:semiHidden/>
    <w:rsid w:val="00D31646"/>
  </w:style>
  <w:style w:type="paragraph" w:styleId="CommentSubject">
    <w:name w:val="annotation subject"/>
    <w:basedOn w:val="CommentText"/>
    <w:next w:val="CommentText"/>
    <w:link w:val="CommentSubjectChar"/>
    <w:uiPriority w:val="99"/>
    <w:semiHidden/>
    <w:unhideWhenUsed/>
    <w:rsid w:val="00D31646"/>
    <w:rPr>
      <w:b/>
      <w:bCs/>
    </w:rPr>
  </w:style>
  <w:style w:type="character" w:customStyle="1" w:styleId="CommentSubjectChar">
    <w:name w:val="Comment Subject Char"/>
    <w:basedOn w:val="CommentTextChar"/>
    <w:link w:val="CommentSubject"/>
    <w:uiPriority w:val="99"/>
    <w:semiHidden/>
    <w:rsid w:val="00D31646"/>
    <w:rPr>
      <w:b/>
      <w:bCs/>
    </w:rPr>
  </w:style>
  <w:style w:type="paragraph" w:styleId="BalloonText">
    <w:name w:val="Balloon Text"/>
    <w:basedOn w:val="Normal"/>
    <w:link w:val="BalloonTextChar"/>
    <w:uiPriority w:val="99"/>
    <w:semiHidden/>
    <w:unhideWhenUsed/>
    <w:rsid w:val="00D31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46"/>
    <w:rPr>
      <w:rFonts w:ascii="Segoe UI" w:hAnsi="Segoe UI" w:cs="Segoe UI"/>
      <w:sz w:val="18"/>
      <w:szCs w:val="18"/>
    </w:rPr>
  </w:style>
  <w:style w:type="character" w:styleId="Hyperlink">
    <w:name w:val="Hyperlink"/>
    <w:basedOn w:val="DefaultParagraphFont"/>
    <w:uiPriority w:val="99"/>
    <w:unhideWhenUsed/>
    <w:rsid w:val="00357F81"/>
    <w:rPr>
      <w:color w:val="0000FF" w:themeColor="hyperlink"/>
      <w:u w:val="single"/>
    </w:rPr>
  </w:style>
  <w:style w:type="paragraph" w:styleId="Caption">
    <w:name w:val="caption"/>
    <w:basedOn w:val="Normal"/>
    <w:next w:val="Normal"/>
    <w:uiPriority w:val="35"/>
    <w:unhideWhenUsed/>
    <w:qFormat/>
    <w:rsid w:val="00935BD4"/>
    <w:pPr>
      <w:pBdr>
        <w:top w:val="none" w:sz="0" w:space="0" w:color="auto"/>
        <w:left w:val="none" w:sz="0" w:space="0" w:color="auto"/>
        <w:bottom w:val="none" w:sz="0" w:space="0" w:color="auto"/>
        <w:right w:val="none" w:sz="0" w:space="0" w:color="auto"/>
        <w:between w:val="none" w:sz="0" w:space="0" w:color="auto"/>
      </w:pBdr>
      <w:spacing w:after="200"/>
    </w:pPr>
    <w:rPr>
      <w:rFonts w:asciiTheme="minorHAnsi" w:eastAsiaTheme="minorHAnsi" w:hAnsiTheme="minorHAnsi" w:cstheme="minorBidi"/>
      <w:i/>
      <w:iCs/>
      <w:color w:val="1F497D" w:themeColor="text2"/>
      <w:sz w:val="18"/>
      <w:szCs w:val="18"/>
    </w:rPr>
  </w:style>
  <w:style w:type="paragraph" w:styleId="Header">
    <w:name w:val="header"/>
    <w:basedOn w:val="Normal"/>
    <w:link w:val="HeaderChar"/>
    <w:uiPriority w:val="99"/>
    <w:unhideWhenUsed/>
    <w:rsid w:val="00083358"/>
    <w:pPr>
      <w:tabs>
        <w:tab w:val="center" w:pos="4680"/>
        <w:tab w:val="right" w:pos="9360"/>
      </w:tabs>
    </w:pPr>
  </w:style>
  <w:style w:type="character" w:customStyle="1" w:styleId="HeaderChar">
    <w:name w:val="Header Char"/>
    <w:basedOn w:val="DefaultParagraphFont"/>
    <w:link w:val="Header"/>
    <w:uiPriority w:val="99"/>
    <w:rsid w:val="00083358"/>
  </w:style>
  <w:style w:type="paragraph" w:styleId="Footer">
    <w:name w:val="footer"/>
    <w:basedOn w:val="Normal"/>
    <w:link w:val="FooterChar"/>
    <w:uiPriority w:val="99"/>
    <w:unhideWhenUsed/>
    <w:rsid w:val="00083358"/>
    <w:pPr>
      <w:tabs>
        <w:tab w:val="center" w:pos="4680"/>
        <w:tab w:val="right" w:pos="9360"/>
      </w:tabs>
    </w:pPr>
  </w:style>
  <w:style w:type="character" w:customStyle="1" w:styleId="FooterChar">
    <w:name w:val="Footer Char"/>
    <w:basedOn w:val="DefaultParagraphFont"/>
    <w:link w:val="Footer"/>
    <w:uiPriority w:val="99"/>
    <w:rsid w:val="00083358"/>
  </w:style>
  <w:style w:type="character" w:styleId="LineNumber">
    <w:name w:val="line number"/>
    <w:basedOn w:val="DefaultParagraphFont"/>
    <w:uiPriority w:val="99"/>
    <w:semiHidden/>
    <w:unhideWhenUsed/>
    <w:rsid w:val="00C5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6889">
      <w:bodyDiv w:val="1"/>
      <w:marLeft w:val="0"/>
      <w:marRight w:val="0"/>
      <w:marTop w:val="0"/>
      <w:marBottom w:val="0"/>
      <w:divBdr>
        <w:top w:val="none" w:sz="0" w:space="0" w:color="auto"/>
        <w:left w:val="none" w:sz="0" w:space="0" w:color="auto"/>
        <w:bottom w:val="none" w:sz="0" w:space="0" w:color="auto"/>
        <w:right w:val="none" w:sz="0" w:space="0" w:color="auto"/>
      </w:divBdr>
    </w:div>
    <w:div w:id="123276958">
      <w:bodyDiv w:val="1"/>
      <w:marLeft w:val="0"/>
      <w:marRight w:val="0"/>
      <w:marTop w:val="0"/>
      <w:marBottom w:val="0"/>
      <w:divBdr>
        <w:top w:val="none" w:sz="0" w:space="0" w:color="auto"/>
        <w:left w:val="none" w:sz="0" w:space="0" w:color="auto"/>
        <w:bottom w:val="none" w:sz="0" w:space="0" w:color="auto"/>
        <w:right w:val="none" w:sz="0" w:space="0" w:color="auto"/>
      </w:divBdr>
    </w:div>
    <w:div w:id="173418331">
      <w:bodyDiv w:val="1"/>
      <w:marLeft w:val="0"/>
      <w:marRight w:val="0"/>
      <w:marTop w:val="0"/>
      <w:marBottom w:val="0"/>
      <w:divBdr>
        <w:top w:val="none" w:sz="0" w:space="0" w:color="auto"/>
        <w:left w:val="none" w:sz="0" w:space="0" w:color="auto"/>
        <w:bottom w:val="none" w:sz="0" w:space="0" w:color="auto"/>
        <w:right w:val="none" w:sz="0" w:space="0" w:color="auto"/>
      </w:divBdr>
    </w:div>
    <w:div w:id="825512906">
      <w:bodyDiv w:val="1"/>
      <w:marLeft w:val="0"/>
      <w:marRight w:val="0"/>
      <w:marTop w:val="0"/>
      <w:marBottom w:val="0"/>
      <w:divBdr>
        <w:top w:val="none" w:sz="0" w:space="0" w:color="auto"/>
        <w:left w:val="none" w:sz="0" w:space="0" w:color="auto"/>
        <w:bottom w:val="none" w:sz="0" w:space="0" w:color="auto"/>
        <w:right w:val="none" w:sz="0" w:space="0" w:color="auto"/>
      </w:divBdr>
    </w:div>
    <w:div w:id="905260431">
      <w:bodyDiv w:val="1"/>
      <w:marLeft w:val="0"/>
      <w:marRight w:val="0"/>
      <w:marTop w:val="0"/>
      <w:marBottom w:val="0"/>
      <w:divBdr>
        <w:top w:val="none" w:sz="0" w:space="0" w:color="auto"/>
        <w:left w:val="none" w:sz="0" w:space="0" w:color="auto"/>
        <w:bottom w:val="none" w:sz="0" w:space="0" w:color="auto"/>
        <w:right w:val="none" w:sz="0" w:space="0" w:color="auto"/>
      </w:divBdr>
    </w:div>
    <w:div w:id="1096292440">
      <w:bodyDiv w:val="1"/>
      <w:marLeft w:val="0"/>
      <w:marRight w:val="0"/>
      <w:marTop w:val="0"/>
      <w:marBottom w:val="0"/>
      <w:divBdr>
        <w:top w:val="none" w:sz="0" w:space="0" w:color="auto"/>
        <w:left w:val="none" w:sz="0" w:space="0" w:color="auto"/>
        <w:bottom w:val="none" w:sz="0" w:space="0" w:color="auto"/>
        <w:right w:val="none" w:sz="0" w:space="0" w:color="auto"/>
      </w:divBdr>
    </w:div>
    <w:div w:id="1199854400">
      <w:bodyDiv w:val="1"/>
      <w:marLeft w:val="0"/>
      <w:marRight w:val="0"/>
      <w:marTop w:val="0"/>
      <w:marBottom w:val="0"/>
      <w:divBdr>
        <w:top w:val="none" w:sz="0" w:space="0" w:color="auto"/>
        <w:left w:val="none" w:sz="0" w:space="0" w:color="auto"/>
        <w:bottom w:val="none" w:sz="0" w:space="0" w:color="auto"/>
        <w:right w:val="none" w:sz="0" w:space="0" w:color="auto"/>
      </w:divBdr>
    </w:div>
    <w:div w:id="1321616613">
      <w:bodyDiv w:val="1"/>
      <w:marLeft w:val="0"/>
      <w:marRight w:val="0"/>
      <w:marTop w:val="0"/>
      <w:marBottom w:val="0"/>
      <w:divBdr>
        <w:top w:val="none" w:sz="0" w:space="0" w:color="auto"/>
        <w:left w:val="none" w:sz="0" w:space="0" w:color="auto"/>
        <w:bottom w:val="none" w:sz="0" w:space="0" w:color="auto"/>
        <w:right w:val="none" w:sz="0" w:space="0" w:color="auto"/>
      </w:divBdr>
    </w:div>
    <w:div w:id="1397555952">
      <w:bodyDiv w:val="1"/>
      <w:marLeft w:val="0"/>
      <w:marRight w:val="0"/>
      <w:marTop w:val="0"/>
      <w:marBottom w:val="0"/>
      <w:divBdr>
        <w:top w:val="none" w:sz="0" w:space="0" w:color="auto"/>
        <w:left w:val="none" w:sz="0" w:space="0" w:color="auto"/>
        <w:bottom w:val="none" w:sz="0" w:space="0" w:color="auto"/>
        <w:right w:val="none" w:sz="0" w:space="0" w:color="auto"/>
      </w:divBdr>
    </w:div>
    <w:div w:id="1557205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14660-C8A6-4876-9CE8-7BBEFC08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bjones</dc:creator>
  <cp:lastModifiedBy>dbalk</cp:lastModifiedBy>
  <cp:revision>3</cp:revision>
  <cp:lastPrinted>2018-11-27T00:24:00Z</cp:lastPrinted>
  <dcterms:created xsi:type="dcterms:W3CDTF">2018-11-30T19:41:00Z</dcterms:created>
  <dcterms:modified xsi:type="dcterms:W3CDTF">2018-11-30T19:41:00Z</dcterms:modified>
</cp:coreProperties>
</file>