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1E5D" w14:textId="77777777" w:rsidR="00554F3E" w:rsidRPr="0022167C" w:rsidRDefault="00554F3E" w:rsidP="00554F3E">
      <w:pPr>
        <w:rPr>
          <w:rFonts w:ascii="Cambria" w:hAnsi="Cambria"/>
          <w:b/>
          <w:bCs/>
          <w:sz w:val="22"/>
          <w:szCs w:val="22"/>
        </w:rPr>
      </w:pPr>
      <w:bookmarkStart w:id="0" w:name="_Toc484173800"/>
      <w:bookmarkStart w:id="1" w:name="_Hlk530422526"/>
      <w:r w:rsidRPr="0022167C">
        <w:rPr>
          <w:rFonts w:ascii="Cambria" w:hAnsi="Cambria"/>
          <w:b/>
          <w:bCs/>
          <w:sz w:val="22"/>
          <w:szCs w:val="22"/>
        </w:rPr>
        <w:t>S</w:t>
      </w:r>
      <w:r>
        <w:rPr>
          <w:rFonts w:ascii="Cambria" w:hAnsi="Cambria"/>
          <w:b/>
          <w:bCs/>
          <w:sz w:val="22"/>
          <w:szCs w:val="22"/>
        </w:rPr>
        <w:t>5 Table</w:t>
      </w:r>
      <w:r w:rsidRPr="0022167C">
        <w:rPr>
          <w:rFonts w:ascii="Cambria" w:hAnsi="Cambria"/>
          <w:b/>
          <w:bCs/>
          <w:sz w:val="22"/>
          <w:szCs w:val="22"/>
        </w:rPr>
        <w:t>: Guidelines with Institute of Medicine Standards (</w:t>
      </w:r>
      <w:r>
        <w:rPr>
          <w:rFonts w:ascii="Cambria" w:hAnsi="Cambria"/>
          <w:b/>
          <w:bCs/>
          <w:sz w:val="22"/>
          <w:szCs w:val="22"/>
        </w:rPr>
        <w:t>Y</w:t>
      </w:r>
      <w:r w:rsidRPr="0022167C">
        <w:rPr>
          <w:rFonts w:ascii="Cambria" w:hAnsi="Cambria"/>
          <w:b/>
          <w:bCs/>
          <w:sz w:val="22"/>
          <w:szCs w:val="22"/>
        </w:rPr>
        <w:t xml:space="preserve">es </w:t>
      </w:r>
      <w:r>
        <w:rPr>
          <w:rFonts w:ascii="Cambria" w:hAnsi="Cambria"/>
          <w:b/>
          <w:bCs/>
          <w:sz w:val="22"/>
          <w:szCs w:val="22"/>
        </w:rPr>
        <w:t>‘Y’, N</w:t>
      </w:r>
      <w:r w:rsidRPr="0022167C">
        <w:rPr>
          <w:rFonts w:ascii="Cambria" w:hAnsi="Cambria"/>
          <w:b/>
          <w:bCs/>
          <w:sz w:val="22"/>
          <w:szCs w:val="22"/>
        </w:rPr>
        <w:t>o</w:t>
      </w:r>
      <w:r>
        <w:rPr>
          <w:rFonts w:ascii="Cambria" w:hAnsi="Cambria"/>
          <w:b/>
          <w:bCs/>
          <w:sz w:val="22"/>
          <w:szCs w:val="22"/>
        </w:rPr>
        <w:t xml:space="preserve"> ‘N’</w:t>
      </w:r>
      <w:r w:rsidRPr="0022167C">
        <w:rPr>
          <w:rFonts w:ascii="Cambria" w:hAnsi="Cambria"/>
          <w:b/>
          <w:bCs/>
          <w:sz w:val="22"/>
          <w:szCs w:val="22"/>
        </w:rPr>
        <w:t>)</w:t>
      </w:r>
      <w:bookmarkEnd w:id="0"/>
      <w:r w:rsidRPr="0022167C">
        <w:rPr>
          <w:rFonts w:ascii="Cambria" w:hAnsi="Cambria"/>
          <w:b/>
          <w:bCs/>
          <w:sz w:val="22"/>
          <w:szCs w:val="22"/>
        </w:rPr>
        <w:t xml:space="preserve"> </w:t>
      </w:r>
    </w:p>
    <w:tbl>
      <w:tblPr>
        <w:tblStyle w:val="TableGrid"/>
        <w:tblW w:w="15027" w:type="dxa"/>
        <w:tblInd w:w="-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53"/>
        <w:gridCol w:w="1275"/>
        <w:gridCol w:w="1560"/>
        <w:gridCol w:w="1275"/>
        <w:gridCol w:w="1701"/>
        <w:gridCol w:w="1843"/>
        <w:gridCol w:w="1559"/>
        <w:gridCol w:w="1276"/>
        <w:gridCol w:w="992"/>
        <w:gridCol w:w="842"/>
        <w:gridCol w:w="851"/>
      </w:tblGrid>
      <w:tr w:rsidR="00554F3E" w:rsidRPr="00741763" w14:paraId="5639A41D" w14:textId="77777777" w:rsidTr="00D76D28">
        <w:trPr>
          <w:cnfStyle w:val="100000000000" w:firstRow="1" w:lastRow="0" w:firstColumn="0" w:lastColumn="0" w:oddVBand="0" w:evenVBand="0" w:oddHBand="0" w:evenHBand="0" w:firstRowFirstColumn="0" w:firstRowLastColumn="0" w:lastRowFirstColumn="0" w:lastRowLastColumn="0"/>
        </w:trPr>
        <w:tc>
          <w:tcPr>
            <w:tcW w:w="15027" w:type="dxa"/>
            <w:gridSpan w:val="11"/>
            <w:tcBorders>
              <w:bottom w:val="none" w:sz="0" w:space="0" w:color="auto"/>
            </w:tcBorders>
            <w:shd w:val="clear" w:color="auto" w:fill="auto"/>
          </w:tcPr>
          <w:bookmarkEnd w:id="1"/>
          <w:p w14:paraId="14608777" w14:textId="77777777" w:rsidR="00554F3E" w:rsidRPr="00D4649B" w:rsidRDefault="00554F3E" w:rsidP="00D76D28">
            <w:pPr>
              <w:jc w:val="center"/>
            </w:pPr>
            <w:r w:rsidRPr="00D4649B">
              <w:rPr>
                <w:rFonts w:cstheme="minorHAnsi"/>
                <w:color w:val="auto"/>
              </w:rPr>
              <w:t>IOM Standards</w:t>
            </w:r>
          </w:p>
        </w:tc>
      </w:tr>
      <w:tr w:rsidR="00554F3E" w:rsidRPr="00741763" w14:paraId="54FA7168" w14:textId="77777777" w:rsidTr="00D76D28">
        <w:tc>
          <w:tcPr>
            <w:tcW w:w="1853" w:type="dxa"/>
          </w:tcPr>
          <w:p w14:paraId="7C59DC1A" w14:textId="77777777" w:rsidR="00554F3E" w:rsidRPr="00CE2565" w:rsidRDefault="00554F3E" w:rsidP="00D76D28">
            <w:pPr>
              <w:rPr>
                <w:rFonts w:cstheme="minorHAnsi"/>
                <w:b/>
                <w:bCs/>
                <w:sz w:val="18"/>
                <w:szCs w:val="18"/>
              </w:rPr>
            </w:pPr>
            <w:r w:rsidRPr="00CE2565">
              <w:rPr>
                <w:rFonts w:cstheme="minorHAnsi"/>
                <w:b/>
                <w:bCs/>
                <w:sz w:val="18"/>
                <w:szCs w:val="18"/>
              </w:rPr>
              <w:t>Guideline</w:t>
            </w:r>
          </w:p>
        </w:tc>
        <w:tc>
          <w:tcPr>
            <w:tcW w:w="1275" w:type="dxa"/>
          </w:tcPr>
          <w:p w14:paraId="1E5DBD0B" w14:textId="77777777" w:rsidR="00554F3E" w:rsidRPr="00CE2565" w:rsidRDefault="00554F3E" w:rsidP="00D76D28">
            <w:pPr>
              <w:rPr>
                <w:rFonts w:cstheme="minorHAnsi"/>
                <w:b/>
                <w:bCs/>
                <w:sz w:val="18"/>
                <w:szCs w:val="18"/>
              </w:rPr>
            </w:pPr>
            <w:r w:rsidRPr="00CE2565">
              <w:rPr>
                <w:rFonts w:cstheme="minorHAnsi"/>
                <w:b/>
                <w:bCs/>
                <w:sz w:val="18"/>
                <w:szCs w:val="18"/>
              </w:rPr>
              <w:t>1.Establishing transparency</w:t>
            </w:r>
          </w:p>
        </w:tc>
        <w:tc>
          <w:tcPr>
            <w:tcW w:w="1560" w:type="dxa"/>
          </w:tcPr>
          <w:p w14:paraId="0D2A228B" w14:textId="77777777" w:rsidR="00554F3E" w:rsidRPr="00CE2565" w:rsidRDefault="00554F3E" w:rsidP="00D76D28">
            <w:pPr>
              <w:rPr>
                <w:rFonts w:cstheme="minorHAnsi"/>
                <w:b/>
                <w:bCs/>
                <w:sz w:val="18"/>
                <w:szCs w:val="18"/>
              </w:rPr>
            </w:pPr>
            <w:r w:rsidRPr="00CE2565">
              <w:rPr>
                <w:rFonts w:cstheme="minorHAnsi"/>
                <w:b/>
                <w:bCs/>
                <w:sz w:val="18"/>
                <w:szCs w:val="18"/>
              </w:rPr>
              <w:t>2.Management of conflict of</w:t>
            </w:r>
          </w:p>
          <w:p w14:paraId="247BF648" w14:textId="77777777" w:rsidR="00554F3E" w:rsidRPr="00CE2565" w:rsidRDefault="00554F3E" w:rsidP="00D76D28">
            <w:pPr>
              <w:rPr>
                <w:rFonts w:cstheme="minorHAnsi"/>
                <w:b/>
                <w:bCs/>
                <w:sz w:val="18"/>
                <w:szCs w:val="18"/>
              </w:rPr>
            </w:pPr>
            <w:r w:rsidRPr="00CE2565">
              <w:rPr>
                <w:rFonts w:cstheme="minorHAnsi"/>
                <w:b/>
                <w:bCs/>
                <w:sz w:val="18"/>
                <w:szCs w:val="18"/>
              </w:rPr>
              <w:t xml:space="preserve"> interest (COI)</w:t>
            </w:r>
          </w:p>
          <w:p w14:paraId="42A3DC15" w14:textId="77777777" w:rsidR="00554F3E" w:rsidRPr="00CE2565" w:rsidRDefault="00554F3E" w:rsidP="00D76D28">
            <w:pPr>
              <w:rPr>
                <w:rFonts w:cstheme="minorHAnsi"/>
                <w:b/>
                <w:bCs/>
                <w:sz w:val="18"/>
                <w:szCs w:val="18"/>
              </w:rPr>
            </w:pPr>
          </w:p>
        </w:tc>
        <w:tc>
          <w:tcPr>
            <w:tcW w:w="1275" w:type="dxa"/>
          </w:tcPr>
          <w:p w14:paraId="233EE6C0" w14:textId="77777777" w:rsidR="00554F3E" w:rsidRPr="00CE2565" w:rsidRDefault="00554F3E" w:rsidP="00D76D28">
            <w:pPr>
              <w:rPr>
                <w:rFonts w:cstheme="minorHAnsi"/>
                <w:b/>
                <w:bCs/>
                <w:sz w:val="18"/>
                <w:szCs w:val="18"/>
              </w:rPr>
            </w:pPr>
            <w:r w:rsidRPr="00CE2565">
              <w:rPr>
                <w:rFonts w:cstheme="minorHAnsi"/>
                <w:b/>
                <w:bCs/>
                <w:sz w:val="18"/>
                <w:szCs w:val="18"/>
              </w:rPr>
              <w:t>3.Guideline development group composition</w:t>
            </w:r>
          </w:p>
        </w:tc>
        <w:tc>
          <w:tcPr>
            <w:tcW w:w="1701" w:type="dxa"/>
          </w:tcPr>
          <w:p w14:paraId="3F27146A" w14:textId="77777777" w:rsidR="00554F3E" w:rsidRPr="00CE2565" w:rsidRDefault="00554F3E" w:rsidP="00D76D28">
            <w:pPr>
              <w:rPr>
                <w:rFonts w:cstheme="minorHAnsi"/>
                <w:b/>
                <w:bCs/>
                <w:sz w:val="18"/>
                <w:szCs w:val="18"/>
              </w:rPr>
            </w:pPr>
            <w:r w:rsidRPr="00CE2565">
              <w:rPr>
                <w:rFonts w:cstheme="minorHAnsi"/>
                <w:b/>
                <w:bCs/>
                <w:sz w:val="18"/>
                <w:szCs w:val="18"/>
              </w:rPr>
              <w:t>4.Clinical practice guideline systematic review intersection</w:t>
            </w:r>
          </w:p>
        </w:tc>
        <w:tc>
          <w:tcPr>
            <w:tcW w:w="1843" w:type="dxa"/>
          </w:tcPr>
          <w:p w14:paraId="5946F6FB" w14:textId="77777777" w:rsidR="00554F3E" w:rsidRPr="00CE2565" w:rsidRDefault="00554F3E" w:rsidP="00D76D28">
            <w:pPr>
              <w:rPr>
                <w:rFonts w:cstheme="minorHAnsi"/>
                <w:b/>
                <w:bCs/>
                <w:sz w:val="18"/>
                <w:szCs w:val="18"/>
              </w:rPr>
            </w:pPr>
            <w:r w:rsidRPr="00CE2565">
              <w:rPr>
                <w:rFonts w:cstheme="minorHAnsi"/>
                <w:b/>
                <w:bCs/>
                <w:sz w:val="18"/>
                <w:szCs w:val="18"/>
              </w:rPr>
              <w:t>5.Establishing evidence foundation for and rating strength of recommendations</w:t>
            </w:r>
          </w:p>
        </w:tc>
        <w:tc>
          <w:tcPr>
            <w:tcW w:w="1559" w:type="dxa"/>
          </w:tcPr>
          <w:p w14:paraId="127DD82C" w14:textId="77777777" w:rsidR="00554F3E" w:rsidRPr="00CE2565" w:rsidRDefault="00554F3E" w:rsidP="00D76D28">
            <w:pPr>
              <w:rPr>
                <w:rFonts w:cstheme="minorHAnsi"/>
                <w:b/>
                <w:bCs/>
                <w:sz w:val="18"/>
                <w:szCs w:val="18"/>
              </w:rPr>
            </w:pPr>
            <w:r w:rsidRPr="00CE2565">
              <w:rPr>
                <w:rFonts w:cstheme="minorHAnsi"/>
                <w:b/>
                <w:bCs/>
                <w:sz w:val="18"/>
                <w:szCs w:val="18"/>
              </w:rPr>
              <w:t>6.Articulatoin</w:t>
            </w:r>
          </w:p>
          <w:p w14:paraId="00DAD36D" w14:textId="77777777" w:rsidR="00554F3E" w:rsidRPr="00CE2565" w:rsidRDefault="00554F3E" w:rsidP="00D76D28">
            <w:pPr>
              <w:rPr>
                <w:rFonts w:cstheme="minorHAnsi"/>
                <w:b/>
                <w:bCs/>
                <w:sz w:val="18"/>
                <w:szCs w:val="18"/>
              </w:rPr>
            </w:pPr>
            <w:r w:rsidRPr="00CE2565">
              <w:rPr>
                <w:rFonts w:cstheme="minorHAnsi"/>
                <w:b/>
                <w:bCs/>
                <w:sz w:val="18"/>
                <w:szCs w:val="18"/>
              </w:rPr>
              <w:t xml:space="preserve"> of recommendation</w:t>
            </w:r>
          </w:p>
        </w:tc>
        <w:tc>
          <w:tcPr>
            <w:tcW w:w="1276" w:type="dxa"/>
          </w:tcPr>
          <w:p w14:paraId="65ED9BFE" w14:textId="77777777" w:rsidR="00554F3E" w:rsidRPr="00CE2565" w:rsidRDefault="00554F3E" w:rsidP="00D76D28">
            <w:pPr>
              <w:rPr>
                <w:rFonts w:cstheme="minorHAnsi"/>
                <w:b/>
                <w:bCs/>
                <w:sz w:val="18"/>
                <w:szCs w:val="18"/>
              </w:rPr>
            </w:pPr>
            <w:r w:rsidRPr="00CE2565">
              <w:rPr>
                <w:rFonts w:cstheme="minorHAnsi"/>
                <w:b/>
                <w:bCs/>
                <w:sz w:val="18"/>
                <w:szCs w:val="18"/>
              </w:rPr>
              <w:t>7.External review</w:t>
            </w:r>
          </w:p>
        </w:tc>
        <w:tc>
          <w:tcPr>
            <w:tcW w:w="992" w:type="dxa"/>
          </w:tcPr>
          <w:p w14:paraId="67863D3C" w14:textId="77777777" w:rsidR="00554F3E" w:rsidRPr="00CE2565" w:rsidRDefault="00554F3E" w:rsidP="00D76D28">
            <w:pPr>
              <w:rPr>
                <w:rFonts w:cstheme="minorHAnsi"/>
                <w:b/>
                <w:bCs/>
                <w:sz w:val="18"/>
                <w:szCs w:val="18"/>
              </w:rPr>
            </w:pPr>
            <w:r w:rsidRPr="00CE2565">
              <w:rPr>
                <w:rFonts w:cstheme="minorHAnsi"/>
                <w:b/>
                <w:bCs/>
                <w:sz w:val="18"/>
                <w:szCs w:val="18"/>
              </w:rPr>
              <w:t>8.</w:t>
            </w:r>
          </w:p>
          <w:p w14:paraId="23E8038F" w14:textId="77777777" w:rsidR="00554F3E" w:rsidRPr="00CE2565" w:rsidRDefault="00554F3E" w:rsidP="00D76D28">
            <w:pPr>
              <w:rPr>
                <w:rFonts w:cstheme="minorHAnsi"/>
                <w:b/>
                <w:bCs/>
                <w:sz w:val="18"/>
                <w:szCs w:val="18"/>
              </w:rPr>
            </w:pPr>
            <w:r w:rsidRPr="00CE2565">
              <w:rPr>
                <w:rFonts w:cstheme="minorHAnsi"/>
                <w:b/>
                <w:bCs/>
                <w:sz w:val="18"/>
                <w:szCs w:val="18"/>
              </w:rPr>
              <w:t>Updating</w:t>
            </w:r>
          </w:p>
        </w:tc>
        <w:tc>
          <w:tcPr>
            <w:tcW w:w="842" w:type="dxa"/>
          </w:tcPr>
          <w:p w14:paraId="16DD59D9" w14:textId="77777777" w:rsidR="00554F3E" w:rsidRDefault="00554F3E" w:rsidP="00D76D28">
            <w:pPr>
              <w:rPr>
                <w:rFonts w:cstheme="minorHAnsi"/>
                <w:b/>
                <w:bCs/>
                <w:sz w:val="18"/>
                <w:szCs w:val="18"/>
              </w:rPr>
            </w:pPr>
            <w:r>
              <w:rPr>
                <w:rFonts w:cstheme="minorHAnsi"/>
                <w:b/>
                <w:bCs/>
                <w:sz w:val="18"/>
                <w:szCs w:val="18"/>
              </w:rPr>
              <w:t>Overall</w:t>
            </w:r>
          </w:p>
          <w:p w14:paraId="44CC8597" w14:textId="77777777" w:rsidR="00554F3E" w:rsidRPr="00CE2565" w:rsidRDefault="00554F3E" w:rsidP="00D76D28">
            <w:pPr>
              <w:rPr>
                <w:rFonts w:cstheme="minorHAnsi"/>
                <w:b/>
                <w:bCs/>
                <w:sz w:val="18"/>
                <w:szCs w:val="18"/>
              </w:rPr>
            </w:pPr>
            <w:r>
              <w:rPr>
                <w:rFonts w:cstheme="minorHAnsi"/>
                <w:b/>
                <w:bCs/>
                <w:sz w:val="18"/>
                <w:szCs w:val="18"/>
              </w:rPr>
              <w:t>Score/8</w:t>
            </w:r>
          </w:p>
        </w:tc>
        <w:tc>
          <w:tcPr>
            <w:tcW w:w="851" w:type="dxa"/>
          </w:tcPr>
          <w:p w14:paraId="752DCEB0" w14:textId="77777777" w:rsidR="00554F3E" w:rsidRDefault="00554F3E" w:rsidP="00D76D28">
            <w:pPr>
              <w:rPr>
                <w:rFonts w:cstheme="minorHAnsi"/>
                <w:b/>
                <w:bCs/>
                <w:sz w:val="18"/>
                <w:szCs w:val="18"/>
              </w:rPr>
            </w:pPr>
            <w:r>
              <w:rPr>
                <w:rFonts w:cstheme="minorHAnsi"/>
                <w:b/>
                <w:bCs/>
                <w:sz w:val="18"/>
                <w:szCs w:val="18"/>
              </w:rPr>
              <w:t>High</w:t>
            </w:r>
          </w:p>
          <w:p w14:paraId="795F3829" w14:textId="77777777" w:rsidR="00554F3E" w:rsidRPr="00CE2565" w:rsidRDefault="00554F3E" w:rsidP="00D76D28">
            <w:pPr>
              <w:rPr>
                <w:rFonts w:cstheme="minorHAnsi"/>
                <w:b/>
                <w:bCs/>
                <w:sz w:val="18"/>
                <w:szCs w:val="18"/>
              </w:rPr>
            </w:pPr>
            <w:r>
              <w:rPr>
                <w:rFonts w:cstheme="minorHAnsi"/>
                <w:b/>
                <w:bCs/>
                <w:sz w:val="18"/>
                <w:szCs w:val="18"/>
              </w:rPr>
              <w:t>Qu</w:t>
            </w:r>
            <w:r w:rsidRPr="00CE2565">
              <w:rPr>
                <w:rFonts w:cstheme="minorHAnsi"/>
                <w:b/>
                <w:bCs/>
                <w:sz w:val="18"/>
                <w:szCs w:val="18"/>
              </w:rPr>
              <w:t>ality</w:t>
            </w:r>
          </w:p>
        </w:tc>
      </w:tr>
      <w:tr w:rsidR="00554F3E" w:rsidRPr="00741763" w14:paraId="5F4D64F0" w14:textId="77777777" w:rsidTr="00D76D28">
        <w:tc>
          <w:tcPr>
            <w:tcW w:w="1853" w:type="dxa"/>
            <w:shd w:val="clear" w:color="auto" w:fill="D9D9D9" w:themeFill="background1" w:themeFillShade="D9"/>
          </w:tcPr>
          <w:p w14:paraId="26DD8E01" w14:textId="77777777" w:rsidR="00554F3E" w:rsidRPr="00CE2565" w:rsidRDefault="00554F3E" w:rsidP="00D76D28">
            <w:pPr>
              <w:rPr>
                <w:b/>
                <w:bCs/>
                <w:sz w:val="18"/>
                <w:szCs w:val="18"/>
              </w:rPr>
            </w:pPr>
            <w:r w:rsidRPr="00CE2565">
              <w:rPr>
                <w:b/>
                <w:bCs/>
                <w:sz w:val="18"/>
                <w:szCs w:val="18"/>
              </w:rPr>
              <w:t xml:space="preserve">Osteoporosis Canada 2002 </w:t>
            </w:r>
            <w:r w:rsidRPr="00CE2565">
              <w:rPr>
                <w:b/>
                <w:bCs/>
                <w:sz w:val="18"/>
                <w:szCs w:val="18"/>
              </w:rPr>
              <w:fldChar w:fldCharType="begin" w:fldLock="1"/>
            </w:r>
            <w:r>
              <w:rPr>
                <w:b/>
                <w:bCs/>
                <w:sz w:val="18"/>
                <w:szCs w:val="18"/>
              </w:rPr>
              <w:instrText>ADDIN CSL_CITATION { "citationItems" : [ { "id" : "ITEM-1", "itemData" : { "ISSN" : "0820-3946", "PMID" : "12427685", "abstract" : "OBJECTIVE To revise and expand the 1996 Osteoporosis Society of Canada clinical practice guidelines for the management of osteoporosis, incorporating recent advances in diagnosis, prevention and management of osteoporosis, and to identify and assess the evidence supporting the recommendations. OPTIONS All aspects of osteoporosis care and its fracture complications - including classification, diagnosis, management and methods for screening, as well as prevention and reducing fracture risk - were reviewed, revised as required and expressed as a set of recommendations. OUTCOMES Strategies for identifying and evaluating those at high risk; the use of bone mineral density and biochemical markers in diagnosis and assessing response to management; recommendations regarding nutrition and physical activity; and the selection of pharmacologic therapy for the prevention and management of osteoporosis in men and women and for osteoporosis resulting from glucocorticoid treatment. EVIDENCE All recommendations were developed using a justifiable and reproducible process involving an explicit method for the evaluation and citation of supporting evidence. VALUES All recommendations were reviewed by members of the Scientific Advisory Council of the Osteoporosis Society of Canada, an expert steering committee and others, including family physicians, dietitians, therapists and representatives of various medical specialties involved in osteoporosis care (geriatric medicine, rheumatology, endocrinology, obstetrics and gynecology, nephrology, radiology) as well as methodologists from across Canada. BENEFITS, HARM AND COSTS Earlier diagnosis and prevention of fractures should decrease the medical, social and economic burdens of this disease. RECOMMENDATIONS This document outlines detailed recommendations pertaining to all aspects of osteoporosis. Strategies for identifying those at increased risk (i.e., those with at least one major or 2 minor risk factors) and screening with central dual-energy x-ray absorptiometry at age 65 years are recommended. Bisphosphonates and raloxifene are first-line therapies in the prevention and treatment of postmenopausal osteoporosis. Estrogen and progestin/progesterone is a first-line therapy in the prevention and a second-line therapy in the treatment of postmenopausal osteoporosis. Nasal calcitonin is a second-line therapy in the treatment of postmenopausal osteoporosis. Although not yet approved for use in Canada, hPTH(1-34) is expected to be\u2026", "author" : [ { "dropping-particle" : "", "family" : "Brown", "given" : "Jacques P", "non-dropping-particle" : "", "parse-names" : false, "suffix" : "" }, { "dropping-particle" : "", "family" : "Josse", "given" : "Robert G", "non-dropping-particle" : "", "parse-names" : false, "suffix" : "" }, { "dropping-particle" : "", "family" : "Scientific Advisory Council of the Osteoporosis Society of Canada", "given" : "", "non-dropping-particle" : "", "parse-names" : false, "suffix" : "" } ], "container-title" : "CMAJ : Canadian Medical Association journal = journal de l'Association medicale canadienne", "id" : "ITEM-1", "issue" : "10 Suppl", "issued" : { "date-parts" : [ [ "2002", "11", "12" ] ] }, "page" : "S1-34", "title" : "2002 clinical practice guidelines for the diagnosis and management of osteoporosis in Canada.", "type" : "article-journal", "volume" : "167" }, "uris" : [ "http://www.mendeley.com/documents/?uuid=f8e70e5f-f66c-3103-95fc-f6d5304e56fc" ] } ], "mendeley" : { "formattedCitation" : "&lt;sup&gt;55&lt;/sup&gt;", "plainTextFormattedCitation" : "55", "previouslyFormattedCitation" : "&lt;sup&gt;55&lt;/sup&gt;"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55</w:t>
            </w:r>
            <w:r w:rsidRPr="00CE2565">
              <w:rPr>
                <w:b/>
                <w:bCs/>
                <w:sz w:val="18"/>
                <w:szCs w:val="18"/>
              </w:rPr>
              <w:fldChar w:fldCharType="end"/>
            </w:r>
            <w:r w:rsidRPr="00CE2565">
              <w:rPr>
                <w:b/>
                <w:bCs/>
                <w:sz w:val="18"/>
                <w:szCs w:val="18"/>
              </w:rPr>
              <w:t>.</w:t>
            </w:r>
          </w:p>
        </w:tc>
        <w:tc>
          <w:tcPr>
            <w:tcW w:w="1275" w:type="dxa"/>
            <w:shd w:val="clear" w:color="auto" w:fill="D9D9D9" w:themeFill="background1" w:themeFillShade="D9"/>
          </w:tcPr>
          <w:p w14:paraId="1C9D936F"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60" w:type="dxa"/>
            <w:shd w:val="clear" w:color="auto" w:fill="D9D9D9" w:themeFill="background1" w:themeFillShade="D9"/>
          </w:tcPr>
          <w:p w14:paraId="642DBF58"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5" w:type="dxa"/>
            <w:shd w:val="clear" w:color="auto" w:fill="D9D9D9" w:themeFill="background1" w:themeFillShade="D9"/>
          </w:tcPr>
          <w:p w14:paraId="4A1291BF"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701" w:type="dxa"/>
            <w:shd w:val="clear" w:color="auto" w:fill="D9D9D9" w:themeFill="background1" w:themeFillShade="D9"/>
          </w:tcPr>
          <w:p w14:paraId="456E331D"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843" w:type="dxa"/>
            <w:shd w:val="clear" w:color="auto" w:fill="D9D9D9" w:themeFill="background1" w:themeFillShade="D9"/>
          </w:tcPr>
          <w:p w14:paraId="2FABBA80"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59" w:type="dxa"/>
            <w:shd w:val="clear" w:color="auto" w:fill="D9D9D9" w:themeFill="background1" w:themeFillShade="D9"/>
          </w:tcPr>
          <w:p w14:paraId="6A1E879B"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6" w:type="dxa"/>
            <w:shd w:val="clear" w:color="auto" w:fill="D9D9D9" w:themeFill="background1" w:themeFillShade="D9"/>
          </w:tcPr>
          <w:p w14:paraId="30452D9C"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shd w:val="clear" w:color="auto" w:fill="D9D9D9" w:themeFill="background1" w:themeFillShade="D9"/>
          </w:tcPr>
          <w:p w14:paraId="68F38D84"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842" w:type="dxa"/>
            <w:shd w:val="clear" w:color="auto" w:fill="D9D9D9" w:themeFill="background1" w:themeFillShade="D9"/>
          </w:tcPr>
          <w:p w14:paraId="6288E49B" w14:textId="77777777" w:rsidR="00554F3E" w:rsidRPr="00CE2565" w:rsidRDefault="00554F3E" w:rsidP="00D76D28">
            <w:pPr>
              <w:jc w:val="center"/>
              <w:rPr>
                <w:rFonts w:cstheme="minorHAnsi"/>
                <w:sz w:val="18"/>
                <w:szCs w:val="18"/>
              </w:rPr>
            </w:pPr>
            <w:r>
              <w:rPr>
                <w:rFonts w:cstheme="minorHAnsi"/>
                <w:sz w:val="18"/>
                <w:szCs w:val="18"/>
              </w:rPr>
              <w:t>5</w:t>
            </w:r>
          </w:p>
        </w:tc>
        <w:tc>
          <w:tcPr>
            <w:tcW w:w="851" w:type="dxa"/>
            <w:shd w:val="clear" w:color="auto" w:fill="D9D9D9" w:themeFill="background1" w:themeFillShade="D9"/>
          </w:tcPr>
          <w:p w14:paraId="38B6FE7A" w14:textId="77777777" w:rsidR="00554F3E" w:rsidRPr="00CE2565" w:rsidRDefault="00554F3E" w:rsidP="00D76D28">
            <w:pPr>
              <w:jc w:val="center"/>
              <w:rPr>
                <w:rFonts w:cstheme="minorHAnsi"/>
                <w:sz w:val="18"/>
                <w:szCs w:val="18"/>
              </w:rPr>
            </w:pPr>
            <w:r w:rsidRPr="00CE2565">
              <w:rPr>
                <w:rFonts w:cstheme="minorHAnsi"/>
                <w:sz w:val="18"/>
                <w:szCs w:val="18"/>
              </w:rPr>
              <w:sym w:font="Wingdings" w:char="F0FC"/>
            </w:r>
          </w:p>
        </w:tc>
      </w:tr>
      <w:tr w:rsidR="00554F3E" w:rsidRPr="00741763" w14:paraId="3055CFBD" w14:textId="77777777" w:rsidTr="00D76D28">
        <w:tc>
          <w:tcPr>
            <w:tcW w:w="1853" w:type="dxa"/>
            <w:shd w:val="clear" w:color="auto" w:fill="D9D9D9" w:themeFill="background1" w:themeFillShade="D9"/>
          </w:tcPr>
          <w:p w14:paraId="37262421" w14:textId="77777777" w:rsidR="00554F3E" w:rsidRPr="00CE2565" w:rsidRDefault="00554F3E" w:rsidP="00D76D28">
            <w:pPr>
              <w:rPr>
                <w:rFonts w:cstheme="minorHAnsi"/>
                <w:b/>
                <w:bCs/>
                <w:sz w:val="18"/>
                <w:szCs w:val="18"/>
              </w:rPr>
            </w:pPr>
            <w:r w:rsidRPr="00CE2565">
              <w:rPr>
                <w:b/>
                <w:bCs/>
                <w:sz w:val="18"/>
                <w:szCs w:val="18"/>
              </w:rPr>
              <w:t xml:space="preserve"> US Preventive Services Task force 2002 </w:t>
            </w:r>
            <w:r w:rsidRPr="00CE2565">
              <w:rPr>
                <w:b/>
                <w:bCs/>
                <w:sz w:val="18"/>
                <w:szCs w:val="18"/>
              </w:rPr>
              <w:fldChar w:fldCharType="begin" w:fldLock="1"/>
            </w:r>
            <w:r>
              <w:rPr>
                <w:b/>
                <w:bCs/>
                <w:sz w:val="18"/>
                <w:szCs w:val="18"/>
              </w:rPr>
              <w:instrText>ADDIN CSL_CITATION { "citationItems" : [ { "id" : "ITEM-1", "itemData" : { "DOI" : "10.7326/0003-4819-137-6-200209170-00006", "ISSN" : "0003-4819", "author" : [ { "dropping-particle" : "", "family" : "The US Preventive Services Task", "given" : "", "non-dropping-particle" : "", "parse-names" : false, "suffix" : "" } ], "container-title" : "Annals of Internal Medicine", "id" : "ITEM-1", "issue" : "6", "issued" : { "date-parts" : [ [ "2002", "9", "17" ] ] }, "page" : "I", "publisher" : "American College of Physicians", "title" : "Screening for Osteoporosis: Recommendations from the U.S. Preventive Services Task Force", "type" : "article-journal", "volume" : "137" }, "uris" : [ "http://www.mendeley.com/documents/?uuid=6ff667c2-9aab-3b58-971e-464859c92063" ] } ], "mendeley" : { "formattedCitation" : "&lt;sup&gt;56&lt;/sup&gt;", "plainTextFormattedCitation" : "56", "previouslyFormattedCitation" : "&lt;sup&gt;56&lt;/sup&gt;"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56</w:t>
            </w:r>
            <w:r w:rsidRPr="00CE2565">
              <w:rPr>
                <w:b/>
                <w:bCs/>
                <w:sz w:val="18"/>
                <w:szCs w:val="18"/>
              </w:rPr>
              <w:fldChar w:fldCharType="end"/>
            </w:r>
            <w:r w:rsidRPr="00CE2565">
              <w:rPr>
                <w:b/>
                <w:bCs/>
                <w:sz w:val="18"/>
                <w:szCs w:val="18"/>
              </w:rPr>
              <w:t>.</w:t>
            </w:r>
          </w:p>
        </w:tc>
        <w:tc>
          <w:tcPr>
            <w:tcW w:w="1275" w:type="dxa"/>
            <w:shd w:val="clear" w:color="auto" w:fill="D9D9D9" w:themeFill="background1" w:themeFillShade="D9"/>
          </w:tcPr>
          <w:p w14:paraId="4D44D0C4"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60" w:type="dxa"/>
            <w:shd w:val="clear" w:color="auto" w:fill="D9D9D9" w:themeFill="background1" w:themeFillShade="D9"/>
          </w:tcPr>
          <w:p w14:paraId="6409D3AE"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5" w:type="dxa"/>
            <w:shd w:val="clear" w:color="auto" w:fill="D9D9D9" w:themeFill="background1" w:themeFillShade="D9"/>
          </w:tcPr>
          <w:p w14:paraId="680AAA4D" w14:textId="77777777" w:rsidR="00554F3E" w:rsidRPr="00CE2565" w:rsidRDefault="00554F3E" w:rsidP="00D76D28">
            <w:pPr>
              <w:jc w:val="center"/>
              <w:rPr>
                <w:rFonts w:cstheme="minorHAnsi"/>
                <w:sz w:val="18"/>
                <w:szCs w:val="18"/>
              </w:rPr>
            </w:pPr>
            <w:r>
              <w:rPr>
                <w:rFonts w:cstheme="minorHAnsi"/>
                <w:sz w:val="18"/>
                <w:szCs w:val="18"/>
              </w:rPr>
              <w:t>N</w:t>
            </w:r>
          </w:p>
        </w:tc>
        <w:tc>
          <w:tcPr>
            <w:tcW w:w="1701" w:type="dxa"/>
            <w:shd w:val="clear" w:color="auto" w:fill="D9D9D9" w:themeFill="background1" w:themeFillShade="D9"/>
          </w:tcPr>
          <w:p w14:paraId="7C3441FB"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843" w:type="dxa"/>
            <w:shd w:val="clear" w:color="auto" w:fill="D9D9D9" w:themeFill="background1" w:themeFillShade="D9"/>
          </w:tcPr>
          <w:p w14:paraId="7BD43D9B"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59" w:type="dxa"/>
            <w:shd w:val="clear" w:color="auto" w:fill="D9D9D9" w:themeFill="background1" w:themeFillShade="D9"/>
          </w:tcPr>
          <w:p w14:paraId="184C543A"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6" w:type="dxa"/>
            <w:shd w:val="clear" w:color="auto" w:fill="D9D9D9" w:themeFill="background1" w:themeFillShade="D9"/>
          </w:tcPr>
          <w:p w14:paraId="434804B8"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992" w:type="dxa"/>
            <w:shd w:val="clear" w:color="auto" w:fill="D9D9D9" w:themeFill="background1" w:themeFillShade="D9"/>
          </w:tcPr>
          <w:p w14:paraId="3CE9E3E8" w14:textId="77777777" w:rsidR="00554F3E" w:rsidRPr="00CE2565" w:rsidRDefault="00554F3E" w:rsidP="00D76D28">
            <w:pPr>
              <w:jc w:val="center"/>
              <w:rPr>
                <w:rFonts w:cstheme="minorHAnsi"/>
                <w:sz w:val="18"/>
                <w:szCs w:val="18"/>
              </w:rPr>
            </w:pPr>
            <w:r>
              <w:rPr>
                <w:rFonts w:cstheme="minorHAnsi"/>
                <w:sz w:val="18"/>
                <w:szCs w:val="18"/>
              </w:rPr>
              <w:t>N</w:t>
            </w:r>
          </w:p>
        </w:tc>
        <w:tc>
          <w:tcPr>
            <w:tcW w:w="842" w:type="dxa"/>
            <w:shd w:val="clear" w:color="auto" w:fill="D9D9D9" w:themeFill="background1" w:themeFillShade="D9"/>
          </w:tcPr>
          <w:p w14:paraId="73D905AF" w14:textId="77777777" w:rsidR="00554F3E" w:rsidRPr="00CE2565" w:rsidRDefault="00554F3E" w:rsidP="00D76D28">
            <w:pPr>
              <w:jc w:val="center"/>
              <w:rPr>
                <w:rFonts w:cstheme="minorHAnsi"/>
                <w:sz w:val="18"/>
                <w:szCs w:val="18"/>
              </w:rPr>
            </w:pPr>
            <w:r>
              <w:rPr>
                <w:rFonts w:cstheme="minorHAnsi"/>
                <w:sz w:val="18"/>
                <w:szCs w:val="18"/>
              </w:rPr>
              <w:t>5</w:t>
            </w:r>
          </w:p>
        </w:tc>
        <w:tc>
          <w:tcPr>
            <w:tcW w:w="851" w:type="dxa"/>
            <w:shd w:val="clear" w:color="auto" w:fill="D9D9D9" w:themeFill="background1" w:themeFillShade="D9"/>
          </w:tcPr>
          <w:p w14:paraId="67BBF293" w14:textId="77777777" w:rsidR="00554F3E" w:rsidRPr="00CE2565" w:rsidRDefault="00554F3E" w:rsidP="00D76D28">
            <w:pPr>
              <w:jc w:val="center"/>
              <w:rPr>
                <w:rFonts w:cstheme="minorHAnsi"/>
                <w:sz w:val="18"/>
                <w:szCs w:val="18"/>
              </w:rPr>
            </w:pPr>
            <w:r w:rsidRPr="00CE2565">
              <w:rPr>
                <w:rFonts w:cstheme="minorHAnsi"/>
                <w:sz w:val="18"/>
                <w:szCs w:val="18"/>
              </w:rPr>
              <w:sym w:font="Wingdings" w:char="F0FC"/>
            </w:r>
          </w:p>
        </w:tc>
      </w:tr>
      <w:tr w:rsidR="00554F3E" w:rsidRPr="00741763" w14:paraId="5D8F3FED" w14:textId="77777777" w:rsidTr="00D76D28">
        <w:tc>
          <w:tcPr>
            <w:tcW w:w="1853" w:type="dxa"/>
          </w:tcPr>
          <w:p w14:paraId="670F536F" w14:textId="77777777" w:rsidR="00554F3E" w:rsidRPr="00CE2565" w:rsidRDefault="00554F3E" w:rsidP="00D76D28">
            <w:pPr>
              <w:rPr>
                <w:rFonts w:cstheme="minorHAnsi"/>
                <w:b/>
                <w:bCs/>
                <w:sz w:val="18"/>
                <w:szCs w:val="18"/>
              </w:rPr>
            </w:pPr>
            <w:r w:rsidRPr="00CE2565">
              <w:rPr>
                <w:b/>
                <w:bCs/>
                <w:sz w:val="18"/>
                <w:szCs w:val="18"/>
              </w:rPr>
              <w:t>Canadian Task Force on Preventive Health Care 2004</w:t>
            </w:r>
            <w:r w:rsidRPr="00CE2565">
              <w:rPr>
                <w:b/>
                <w:sz w:val="18"/>
                <w:szCs w:val="18"/>
              </w:rPr>
              <w:t xml:space="preserve"> </w:t>
            </w:r>
            <w:r w:rsidRPr="00CE2565">
              <w:rPr>
                <w:b/>
                <w:bCs/>
                <w:sz w:val="18"/>
                <w:szCs w:val="18"/>
              </w:rPr>
              <w:fldChar w:fldCharType="begin" w:fldLock="1"/>
            </w:r>
            <w:r>
              <w:rPr>
                <w:b/>
                <w:bCs/>
                <w:sz w:val="18"/>
                <w:szCs w:val="18"/>
              </w:rPr>
              <w:instrText>ADDIN CSL_CITATION { "citationItems" : [ { "id" : "ITEM-1", "itemData" : { "DOI" : "10.1503/cmaj.1030757", "ISSN" : "0820-3946", "PMID" : "15159360", "author" : [ { "dropping-particle" : "", "family" : "Cheung", "given" : "Angela M", "non-dropping-particle" : "", "parse-names" : false, "suffix" : "" }, { "dropping-particle" : "", "family" : "Feig", "given" : "Denice S", "non-dropping-particle" : "", "parse-names" : false, "suffix" : "" }, { "dropping-particle" : "", "family" : "Kapral", "given" : "Moira", "non-dropping-particle" : "", "parse-names" : false, "suffix" : "" }, { "dropping-particle" : "", "family" : "Diaz-Granados", "given" : "Natalia", "non-dropping-particle" : "", "parse-names" : false, "suffix" : "" }, { "dropping-particle" : "", "family" : "Dodin", "given" : "Sylvie", "non-dropping-particle" : "", "parse-names" : false, "suffix" : "" }, { "dropping-particle" : "", "family" : "Canadian Task Force on Preventive Health Care", "given" : "and The Canadian Task Force on Preventive Health", "non-dropping-particle" : "", "parse-names" : false, "suffix" : "" } ], "container-title" : "CMAJ : Canadian Medical Association journal = journal de l'Association medicale canadienne", "id" : "ITEM-1", "issue" : "11", "issued" : { "date-parts" : [ [ "2004", "5", "25" ] ] }, "page" : "1665-7", "publisher" : "Canadian Medical Association", "title" : "Prevention of osteoporosis and osteoporotic fractures in postmenopausal women: recommendation statement from the Canadian Task Force on Preventive Health Care.", "type" : "article-journal", "volume" : "170" }, "uris" : [ "http://www.mendeley.com/documents/?uuid=972910ed-71ee-3641-953e-959ab3baef17" ] } ], "mendeley" : { "formattedCitation" : "&lt;sup&gt;49&lt;/sup&gt;", "plainTextFormattedCitation" : "49", "previouslyFormattedCitation" : "&lt;sup&gt;49&lt;/sup&gt;"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49</w:t>
            </w:r>
            <w:r w:rsidRPr="00CE2565">
              <w:rPr>
                <w:b/>
                <w:bCs/>
                <w:sz w:val="18"/>
                <w:szCs w:val="18"/>
              </w:rPr>
              <w:fldChar w:fldCharType="end"/>
            </w:r>
          </w:p>
        </w:tc>
        <w:tc>
          <w:tcPr>
            <w:tcW w:w="1275" w:type="dxa"/>
          </w:tcPr>
          <w:p w14:paraId="5200B7FE"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560" w:type="dxa"/>
          </w:tcPr>
          <w:p w14:paraId="009F6FFB"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5" w:type="dxa"/>
          </w:tcPr>
          <w:p w14:paraId="7F97A874"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701" w:type="dxa"/>
          </w:tcPr>
          <w:p w14:paraId="782653CA"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843" w:type="dxa"/>
          </w:tcPr>
          <w:p w14:paraId="7169561B"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59" w:type="dxa"/>
          </w:tcPr>
          <w:p w14:paraId="71192F09"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6" w:type="dxa"/>
          </w:tcPr>
          <w:p w14:paraId="6E2E5564"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tcPr>
          <w:p w14:paraId="028ED78A"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842" w:type="dxa"/>
          </w:tcPr>
          <w:p w14:paraId="3CEF8680" w14:textId="77777777" w:rsidR="00554F3E" w:rsidRPr="00CE2565" w:rsidRDefault="00554F3E" w:rsidP="00D76D28">
            <w:pPr>
              <w:jc w:val="center"/>
              <w:rPr>
                <w:rFonts w:cstheme="minorHAnsi"/>
                <w:sz w:val="18"/>
                <w:szCs w:val="18"/>
              </w:rPr>
            </w:pPr>
            <w:r>
              <w:rPr>
                <w:rFonts w:cstheme="minorHAnsi"/>
                <w:sz w:val="18"/>
                <w:szCs w:val="18"/>
              </w:rPr>
              <w:t>3</w:t>
            </w:r>
          </w:p>
        </w:tc>
        <w:tc>
          <w:tcPr>
            <w:tcW w:w="851" w:type="dxa"/>
          </w:tcPr>
          <w:p w14:paraId="4C07AD46" w14:textId="77777777" w:rsidR="00554F3E" w:rsidRPr="00CE2565" w:rsidRDefault="00554F3E" w:rsidP="00D76D28">
            <w:pPr>
              <w:jc w:val="center"/>
              <w:rPr>
                <w:rFonts w:cstheme="minorHAnsi"/>
                <w:sz w:val="18"/>
                <w:szCs w:val="18"/>
              </w:rPr>
            </w:pPr>
          </w:p>
        </w:tc>
      </w:tr>
      <w:tr w:rsidR="00554F3E" w:rsidRPr="00741763" w14:paraId="0BE4FFDF" w14:textId="77777777" w:rsidTr="00D76D28">
        <w:tc>
          <w:tcPr>
            <w:tcW w:w="1853" w:type="dxa"/>
          </w:tcPr>
          <w:p w14:paraId="5B945DB5" w14:textId="77777777" w:rsidR="00554F3E" w:rsidRPr="00CE2565" w:rsidRDefault="00554F3E" w:rsidP="00D76D28">
            <w:pPr>
              <w:rPr>
                <w:rFonts w:cstheme="minorHAnsi"/>
                <w:b/>
                <w:bCs/>
                <w:sz w:val="18"/>
                <w:szCs w:val="18"/>
              </w:rPr>
            </w:pPr>
            <w:r w:rsidRPr="00CE2565">
              <w:rPr>
                <w:b/>
                <w:bCs/>
                <w:sz w:val="18"/>
                <w:szCs w:val="18"/>
              </w:rPr>
              <w:t xml:space="preserve">American University of Beirut Medical Center 2005 </w:t>
            </w:r>
            <w:r w:rsidRPr="00CE2565">
              <w:rPr>
                <w:b/>
                <w:bCs/>
                <w:sz w:val="18"/>
                <w:szCs w:val="18"/>
              </w:rPr>
              <w:fldChar w:fldCharType="begin" w:fldLock="1"/>
            </w:r>
            <w:r>
              <w:rPr>
                <w:b/>
                <w:bCs/>
                <w:sz w:val="18"/>
                <w:szCs w:val="18"/>
              </w:rPr>
              <w:instrText>ADDIN CSL_CITATION { "citationItems" : [ { "id" : "ITEM-1", "itemData" : { "ISSN" : "1094-6950", "PMID" : "15908702", "abstract" : "With the demographic explosion of the population worldwide, the human, social, and economic costs of osteoporosis will continue to rise. It is estimated that the magnitude of the problem might be even larger in developing countries, including those in the Middle East. Although several organizations and countries have developed or adapted guidelines to their local needs, as of today there are no guidelines for osteoporosis assessment in the Middle East. In April 2002, a panel of osteoporosis experts met and discussed practice guidelines for osteoporosis assessment and treatment in Lebanon. The process, which involved an overview of international guidelines as well as local data on osteoporosis, resulted in a draft for Lebanese guidelines that addressed three main questions: \"Who to test?\" \"What measures to use?\" and \"When to treat?\". Representatives from five major Lebanese societies (Endocrinology, Rheumatology, Orthopedics, Obstetrics and Gynecology, and Radiology) subsequently reviewed, discussed, and officially endorsed the guidelines after revisions. The Lebanese guidelines were also endorsed by the Eastern Mediterranean branch of the World Health Organization.", "author" : [ { "dropping-particle" : "", "family" : "Fuleihan", "given" : "Ghada El-Hajj", "non-dropping-particle" : "", "parse-names" : false, "suffix" : "" }, { "dropping-particle" : "", "family" : "Baddoura", "given" : "Rafic", "non-dropping-particle" : "", "parse-names" : false, "suffix" : "" }, { "dropping-particle" : "", "family" : "Awada", "given" : "Hassane", "non-dropping-particle" : "", "parse-names" : false, "suffix" : "" }, { "dropping-particle" : "", "family" : "Okais", "given" : "Jad", "non-dropping-particle" : "", "parse-names" : false, "suffix" : "" }, { "dropping-particle" : "", "family" : "Rizk", "given" : "Paul", "non-dropping-particle" : "", "parse-names" : false, "suffix" : "" }, { "dropping-particle" : "", "family" : "McClung", "given" : "Michael", "non-dropping-particle" : "", "parse-names" : false, "suffix" : "" } ], "container-title" : "Journal of clinical densitometry : the official journal of the International Society for Clinical Densitometry", "id" : "ITEM-1", "issue" : "2", "issued" : { "date-parts" : [ [ "2005" ] ] }, "page" : "148-63", "title" : "Lebanese guidelines for osteoporosis assessment and treatment: who to test? What measures to use? When to treat?", "type" : "article-journal", "volume" : "8" }, "uris" : [ "http://www.mendeley.com/documents/?uuid=3bd9ced3-9a22-38b0-a7a4-f122fca1d39c" ] } ], "mendeley" : { "formattedCitation" : "&lt;sup&gt;57&lt;/sup&gt;", "plainTextFormattedCitation" : "57", "previouslyFormattedCitation" : "&lt;sup&gt;57&lt;/sup&gt;"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57</w:t>
            </w:r>
            <w:r w:rsidRPr="00CE2565">
              <w:rPr>
                <w:b/>
                <w:bCs/>
                <w:sz w:val="18"/>
                <w:szCs w:val="18"/>
              </w:rPr>
              <w:fldChar w:fldCharType="end"/>
            </w:r>
            <w:r w:rsidRPr="00CE2565">
              <w:rPr>
                <w:b/>
                <w:bCs/>
                <w:sz w:val="18"/>
                <w:szCs w:val="18"/>
              </w:rPr>
              <w:t>.</w:t>
            </w:r>
          </w:p>
        </w:tc>
        <w:tc>
          <w:tcPr>
            <w:tcW w:w="1275" w:type="dxa"/>
          </w:tcPr>
          <w:p w14:paraId="65DBD732"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560" w:type="dxa"/>
          </w:tcPr>
          <w:p w14:paraId="3DDB8F54"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5" w:type="dxa"/>
          </w:tcPr>
          <w:p w14:paraId="2B164E27"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701" w:type="dxa"/>
          </w:tcPr>
          <w:p w14:paraId="11C0F055"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843" w:type="dxa"/>
          </w:tcPr>
          <w:p w14:paraId="31D0AF44"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59" w:type="dxa"/>
          </w:tcPr>
          <w:p w14:paraId="2DE09AFF"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6" w:type="dxa"/>
          </w:tcPr>
          <w:p w14:paraId="1CA6F391"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tcPr>
          <w:p w14:paraId="4BDACDBA"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842" w:type="dxa"/>
          </w:tcPr>
          <w:p w14:paraId="2413406C" w14:textId="77777777" w:rsidR="00554F3E" w:rsidRPr="00CE2565" w:rsidRDefault="00554F3E" w:rsidP="00D76D28">
            <w:pPr>
              <w:jc w:val="center"/>
              <w:rPr>
                <w:rFonts w:cstheme="minorHAnsi"/>
                <w:sz w:val="18"/>
                <w:szCs w:val="18"/>
              </w:rPr>
            </w:pPr>
            <w:r>
              <w:rPr>
                <w:rFonts w:cstheme="minorHAnsi"/>
                <w:sz w:val="18"/>
                <w:szCs w:val="18"/>
              </w:rPr>
              <w:t>4</w:t>
            </w:r>
          </w:p>
        </w:tc>
        <w:tc>
          <w:tcPr>
            <w:tcW w:w="851" w:type="dxa"/>
          </w:tcPr>
          <w:p w14:paraId="119B3FA3" w14:textId="77777777" w:rsidR="00554F3E" w:rsidRPr="00CE2565" w:rsidRDefault="00554F3E" w:rsidP="00D76D28">
            <w:pPr>
              <w:jc w:val="center"/>
              <w:rPr>
                <w:rFonts w:cstheme="minorHAnsi"/>
                <w:sz w:val="18"/>
                <w:szCs w:val="18"/>
              </w:rPr>
            </w:pPr>
          </w:p>
        </w:tc>
      </w:tr>
      <w:tr w:rsidR="00554F3E" w:rsidRPr="00741763" w14:paraId="6411C4E5" w14:textId="77777777" w:rsidTr="00D76D28">
        <w:tc>
          <w:tcPr>
            <w:tcW w:w="1853" w:type="dxa"/>
          </w:tcPr>
          <w:p w14:paraId="6B38D591" w14:textId="77777777" w:rsidR="00554F3E" w:rsidRPr="00CE2565" w:rsidRDefault="00554F3E" w:rsidP="00D76D28">
            <w:pPr>
              <w:rPr>
                <w:b/>
                <w:bCs/>
                <w:sz w:val="18"/>
                <w:szCs w:val="18"/>
              </w:rPr>
            </w:pPr>
            <w:r w:rsidRPr="00CE2565">
              <w:rPr>
                <w:b/>
                <w:bCs/>
                <w:sz w:val="18"/>
                <w:szCs w:val="18"/>
              </w:rPr>
              <w:t xml:space="preserve">Guidelines in Asia 2006 </w:t>
            </w:r>
            <w:r w:rsidRPr="00CE2565">
              <w:rPr>
                <w:b/>
                <w:bCs/>
                <w:sz w:val="18"/>
                <w:szCs w:val="18"/>
              </w:rPr>
              <w:fldChar w:fldCharType="begin" w:fldLock="1"/>
            </w:r>
            <w:r>
              <w:rPr>
                <w:b/>
                <w:bCs/>
                <w:sz w:val="18"/>
                <w:szCs w:val="18"/>
              </w:rPr>
              <w:instrText>ADDIN CSL_CITATION { "citationItems" : [ { "id" : "ITEM-1", "itemData" : { "DOI" : "10.1111/j.1479-8077.2006.00161.x", "ISSN" : "0219-4810", "author" : [ { "dropping-particle" : "", "family" : "LAU", "given" : "E. M. C.", "non-dropping-particle" : "", "parse-names" : false, "suffix" : "" }, { "dropping-particle" : "", "family" : "SAMBROOK", "given" : "P.", "non-dropping-particle" : "", "parse-names" : false, "suffix" : "" }, { "dropping-particle" : "", "family" : "SEEMAN", "given" : "E.", "non-dropping-particle" : "", "parse-names" : false, "suffix" : "" }, { "dropping-particle" : "", "family" : "LEONG", "given" : "K. H.", "non-dropping-particle" : "", "parse-names" : false, "suffix" : "" }, { "dropping-particle" : "", "family" : "LEUNG", "given" : "P. C.", "non-dropping-particle" : "", "parse-names" : false, "suffix" : "" }, { "dropping-particle" : "", "family" : "DELMAS", "given" : "P.", "non-dropping-particle" : "", "parse-names" : false, "suffix" : "" } ], "container-title" : "APLAR Journal of Rheumatology", "id" : "ITEM-1", "issue" : "1", "issued" : { "date-parts" : [ [ "2006", "4" ] ] }, "page" : "24-36", "publisher" : "Blackwell Publishing Asia", "title" : "Guidelines for diagnosing, prevention and treatment of osteoporosis in Asia", "type" : "article-journal", "volume" : "9" }, "uris" : [ "http://www.mendeley.com/documents/?uuid=06f6f399-8965-310b-924f-9deb04eb59c7" ] } ], "mendeley" : { "formattedCitation" : "&lt;sup&gt;48&lt;/sup&gt;", "plainTextFormattedCitation" : "48", "previouslyFormattedCitation" : "&lt;sup&gt;48&lt;/sup&gt;"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48</w:t>
            </w:r>
            <w:r w:rsidRPr="00CE2565">
              <w:rPr>
                <w:b/>
                <w:bCs/>
                <w:sz w:val="18"/>
                <w:szCs w:val="18"/>
              </w:rPr>
              <w:fldChar w:fldCharType="end"/>
            </w:r>
            <w:r w:rsidRPr="00CE2565">
              <w:rPr>
                <w:b/>
                <w:bCs/>
                <w:sz w:val="18"/>
                <w:szCs w:val="18"/>
              </w:rPr>
              <w:t>.</w:t>
            </w:r>
          </w:p>
          <w:p w14:paraId="7E66076B" w14:textId="77777777" w:rsidR="00554F3E" w:rsidRPr="00CE2565" w:rsidRDefault="00554F3E" w:rsidP="00D76D28">
            <w:pPr>
              <w:rPr>
                <w:rFonts w:cstheme="minorHAnsi"/>
                <w:b/>
                <w:bCs/>
                <w:sz w:val="18"/>
                <w:szCs w:val="18"/>
              </w:rPr>
            </w:pPr>
          </w:p>
        </w:tc>
        <w:tc>
          <w:tcPr>
            <w:tcW w:w="1275" w:type="dxa"/>
          </w:tcPr>
          <w:p w14:paraId="2B379BDE"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560" w:type="dxa"/>
          </w:tcPr>
          <w:p w14:paraId="0F636134"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5" w:type="dxa"/>
          </w:tcPr>
          <w:p w14:paraId="7294BB4A"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701" w:type="dxa"/>
          </w:tcPr>
          <w:p w14:paraId="4EE1F6F3"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843" w:type="dxa"/>
          </w:tcPr>
          <w:p w14:paraId="4DCBA5DD"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559" w:type="dxa"/>
          </w:tcPr>
          <w:p w14:paraId="18A6E41B"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6" w:type="dxa"/>
          </w:tcPr>
          <w:p w14:paraId="5589AAF6"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tcPr>
          <w:p w14:paraId="1D708054"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842" w:type="dxa"/>
          </w:tcPr>
          <w:p w14:paraId="7FF7CBA3" w14:textId="77777777" w:rsidR="00554F3E" w:rsidRPr="00CE2565" w:rsidRDefault="00554F3E" w:rsidP="00D76D28">
            <w:pPr>
              <w:jc w:val="center"/>
              <w:rPr>
                <w:rFonts w:cstheme="minorHAnsi"/>
                <w:sz w:val="18"/>
                <w:szCs w:val="18"/>
              </w:rPr>
            </w:pPr>
            <w:r>
              <w:rPr>
                <w:rFonts w:cstheme="minorHAnsi"/>
                <w:sz w:val="18"/>
                <w:szCs w:val="18"/>
              </w:rPr>
              <w:t>0</w:t>
            </w:r>
          </w:p>
        </w:tc>
        <w:tc>
          <w:tcPr>
            <w:tcW w:w="851" w:type="dxa"/>
          </w:tcPr>
          <w:p w14:paraId="604C2419" w14:textId="77777777" w:rsidR="00554F3E" w:rsidRPr="00CE2565" w:rsidRDefault="00554F3E" w:rsidP="00D76D28">
            <w:pPr>
              <w:jc w:val="center"/>
              <w:rPr>
                <w:rFonts w:cstheme="minorHAnsi"/>
                <w:sz w:val="18"/>
                <w:szCs w:val="18"/>
              </w:rPr>
            </w:pPr>
          </w:p>
        </w:tc>
      </w:tr>
      <w:tr w:rsidR="00554F3E" w:rsidRPr="00741763" w14:paraId="2EFC81E3" w14:textId="77777777" w:rsidTr="00D76D28">
        <w:tc>
          <w:tcPr>
            <w:tcW w:w="1853" w:type="dxa"/>
            <w:shd w:val="clear" w:color="auto" w:fill="D9D9D9" w:themeFill="background1" w:themeFillShade="D9"/>
          </w:tcPr>
          <w:p w14:paraId="18BB8206" w14:textId="77777777" w:rsidR="00554F3E" w:rsidRPr="00CE2565" w:rsidRDefault="00554F3E" w:rsidP="00D76D28">
            <w:pPr>
              <w:rPr>
                <w:rFonts w:cstheme="minorHAnsi"/>
                <w:b/>
                <w:bCs/>
                <w:sz w:val="18"/>
                <w:szCs w:val="18"/>
              </w:rPr>
            </w:pPr>
            <w:r w:rsidRPr="00CE2565">
              <w:rPr>
                <w:b/>
                <w:bCs/>
                <w:sz w:val="18"/>
                <w:szCs w:val="18"/>
              </w:rPr>
              <w:t xml:space="preserve">the American College of Physicians guidelines 2008 </w:t>
            </w:r>
            <w:r w:rsidRPr="00CE2565">
              <w:rPr>
                <w:b/>
                <w:bCs/>
                <w:noProof/>
                <w:sz w:val="18"/>
                <w:szCs w:val="18"/>
              </w:rPr>
              <w:fldChar w:fldCharType="begin" w:fldLock="1"/>
            </w:r>
            <w:r>
              <w:rPr>
                <w:b/>
                <w:bCs/>
                <w:noProof/>
                <w:sz w:val="18"/>
                <w:szCs w:val="18"/>
              </w:rPr>
              <w:instrText>ADDIN CSL_CITATION { "citationItems" : [ { "id" : "ITEM-1", "itemData" : { "ISSN" : "1539-3704", "PMID" : "18458281", "abstract" : "DESCRIPTION The American College of Physicians developed this guideline to present the available evidence on risk factors and screening tests for osteoporosis in men. METHODS Published literature on this topic was identified by using MEDLINE (1990 to July 2007). Reference mining was done on the retrieved articles, references of previous reviews, and solicited articles from experts. The inclusion criteria for the studies were measuring risk factors for low bone mineral density or osteoporotic fracture in men or comparing 2 different methods of assessment for the presence of osteoporosis in men. This guideline grades the evidence and recommendations by using the American College of Physicians' clinical practice guidelines grading system. RECOMMENDATION 1: The American College of Physicians recommends that clinicians periodically perform individualized assessment of risk factors for osteoporosis in older men (Grade: strong recommendation; moderate-quality evidence). RECOMMENDATION 2: The American College of Physicians recommends that clinicians obtain dual-energy x-ray absorptiometry for men who are at increased risk for osteoporosis and are candidates for drug therapy (Grade: strong recommendation; moderate-quality evidence). RECOMMENDATION 3: The American College of Physicians recommends further research to evaluate osteoporosis screening tests in men.", "author" : [ { "dropping-particle" : "", "family" : "Qaseem", "given" : "Amir", "non-dropping-particle" : "", "parse-names" : false, "suffix" : "" }, { "dropping-particle" : "", "family" : "Snow", "given" : "Vincenza", "non-dropping-particle" : "", "parse-names" : false, "suffix" : "" }, { "dropping-particle" : "", "family" : "Shekelle", "given" : "Paul", "non-dropping-particle" : "", "parse-names" : false, "suffix" : "" }, { "dropping-particle" : "", "family" : "Hopkins", "given" : "Robert", "non-dropping-particle" : "", "parse-names" : false, "suffix" : "" }, { "dropping-particle" : "", "family" : "Forciea", "given" : "Mary Ann", "non-dropping-particle" : "", "parse-names" : false, "suffix" : "" }, { "dropping-particle" : "", "family" : "Owens", "given" : "Douglas K", "non-dropping-particle" : "", "parse-names" : false, "suffix" : "" }, { "dropping-particle" : "", "family" : "Clinical Efficacy Assessment Subcommittee of the American College of Physicians", "given" : "", "non-dropping-particle" : "", "parse-names" : false, "suffix" : "" } ], "container-title" : "Annals of internal medicine", "id" : "ITEM-1", "issue" : "9", "issued" : { "date-parts" : [ [ "2008", "5", "6" ] ] }, "page" : "680-4", "title" : "Screening for osteoporosis in men: a clinical practice guideline from the American College of Physicians.", "type" : "article-journal", "volume" : "148" }, "uris" : [ "http://www.mendeley.com/documents/?uuid=3e4f27a9-ed81-3d25-977d-e664ad60f357" ] } ], "mendeley" : { "formattedCitation" : "&lt;sup&gt;58&lt;/sup&gt;", "plainTextFormattedCitation" : "58", "previouslyFormattedCitation" : "&lt;sup&gt;58&lt;/sup&gt;" }, "properties" : {  }, "schema" : "https://github.com/citation-style-language/schema/raw/master/csl-citation.json" }</w:instrText>
            </w:r>
            <w:r w:rsidRPr="00CE2565">
              <w:rPr>
                <w:b/>
                <w:bCs/>
                <w:noProof/>
                <w:sz w:val="18"/>
                <w:szCs w:val="18"/>
              </w:rPr>
              <w:fldChar w:fldCharType="separate"/>
            </w:r>
            <w:r w:rsidRPr="00C6554C">
              <w:rPr>
                <w:bCs/>
                <w:noProof/>
                <w:sz w:val="18"/>
                <w:szCs w:val="18"/>
                <w:vertAlign w:val="superscript"/>
              </w:rPr>
              <w:t>58</w:t>
            </w:r>
            <w:r w:rsidRPr="00CE2565">
              <w:rPr>
                <w:b/>
                <w:bCs/>
                <w:noProof/>
                <w:sz w:val="18"/>
                <w:szCs w:val="18"/>
              </w:rPr>
              <w:fldChar w:fldCharType="end"/>
            </w:r>
            <w:r w:rsidRPr="00CE2565">
              <w:rPr>
                <w:b/>
                <w:bCs/>
                <w:noProof/>
                <w:sz w:val="18"/>
                <w:szCs w:val="18"/>
              </w:rPr>
              <w:t>.</w:t>
            </w:r>
          </w:p>
        </w:tc>
        <w:tc>
          <w:tcPr>
            <w:tcW w:w="1275" w:type="dxa"/>
            <w:shd w:val="clear" w:color="auto" w:fill="D9D9D9" w:themeFill="background1" w:themeFillShade="D9"/>
          </w:tcPr>
          <w:p w14:paraId="6C77EB2E"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60" w:type="dxa"/>
            <w:shd w:val="clear" w:color="auto" w:fill="D9D9D9" w:themeFill="background1" w:themeFillShade="D9"/>
          </w:tcPr>
          <w:p w14:paraId="4F863D18"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5" w:type="dxa"/>
            <w:shd w:val="clear" w:color="auto" w:fill="D9D9D9" w:themeFill="background1" w:themeFillShade="D9"/>
          </w:tcPr>
          <w:p w14:paraId="6BE2A572"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701" w:type="dxa"/>
            <w:shd w:val="clear" w:color="auto" w:fill="D9D9D9" w:themeFill="background1" w:themeFillShade="D9"/>
          </w:tcPr>
          <w:p w14:paraId="70F1FD8C"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843" w:type="dxa"/>
            <w:shd w:val="clear" w:color="auto" w:fill="D9D9D9" w:themeFill="background1" w:themeFillShade="D9"/>
          </w:tcPr>
          <w:p w14:paraId="0E98DCDF"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59" w:type="dxa"/>
            <w:shd w:val="clear" w:color="auto" w:fill="D9D9D9" w:themeFill="background1" w:themeFillShade="D9"/>
          </w:tcPr>
          <w:p w14:paraId="195E17FA"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6" w:type="dxa"/>
            <w:shd w:val="clear" w:color="auto" w:fill="D9D9D9" w:themeFill="background1" w:themeFillShade="D9"/>
          </w:tcPr>
          <w:p w14:paraId="49CA97CE"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shd w:val="clear" w:color="auto" w:fill="D9D9D9" w:themeFill="background1" w:themeFillShade="D9"/>
          </w:tcPr>
          <w:p w14:paraId="7C2E8656" w14:textId="77777777" w:rsidR="00554F3E" w:rsidRPr="00CE2565" w:rsidRDefault="00554F3E" w:rsidP="00D76D28">
            <w:pPr>
              <w:jc w:val="center"/>
              <w:rPr>
                <w:rFonts w:cstheme="minorHAnsi"/>
                <w:sz w:val="18"/>
                <w:szCs w:val="18"/>
              </w:rPr>
            </w:pPr>
            <w:r>
              <w:rPr>
                <w:rFonts w:cstheme="minorHAnsi"/>
                <w:sz w:val="18"/>
                <w:szCs w:val="18"/>
              </w:rPr>
              <w:t>N</w:t>
            </w:r>
          </w:p>
        </w:tc>
        <w:tc>
          <w:tcPr>
            <w:tcW w:w="842" w:type="dxa"/>
            <w:shd w:val="clear" w:color="auto" w:fill="D9D9D9" w:themeFill="background1" w:themeFillShade="D9"/>
          </w:tcPr>
          <w:p w14:paraId="1FE47C8B" w14:textId="77777777" w:rsidR="00554F3E" w:rsidRPr="00CE2565" w:rsidRDefault="00554F3E" w:rsidP="00D76D28">
            <w:pPr>
              <w:jc w:val="center"/>
              <w:rPr>
                <w:rFonts w:cstheme="minorHAnsi"/>
                <w:sz w:val="18"/>
                <w:szCs w:val="18"/>
              </w:rPr>
            </w:pPr>
            <w:r>
              <w:rPr>
                <w:rFonts w:cstheme="minorHAnsi"/>
                <w:sz w:val="18"/>
                <w:szCs w:val="18"/>
              </w:rPr>
              <w:t>5</w:t>
            </w:r>
          </w:p>
        </w:tc>
        <w:tc>
          <w:tcPr>
            <w:tcW w:w="851" w:type="dxa"/>
            <w:shd w:val="clear" w:color="auto" w:fill="D9D9D9" w:themeFill="background1" w:themeFillShade="D9"/>
          </w:tcPr>
          <w:p w14:paraId="1B8A982C" w14:textId="77777777" w:rsidR="00554F3E" w:rsidRPr="00CE2565" w:rsidRDefault="00554F3E" w:rsidP="00D76D28">
            <w:pPr>
              <w:jc w:val="center"/>
              <w:rPr>
                <w:rFonts w:cstheme="minorHAnsi"/>
                <w:sz w:val="18"/>
                <w:szCs w:val="18"/>
              </w:rPr>
            </w:pPr>
            <w:r w:rsidRPr="00CE2565">
              <w:rPr>
                <w:rFonts w:cstheme="minorHAnsi"/>
                <w:sz w:val="18"/>
                <w:szCs w:val="18"/>
              </w:rPr>
              <w:sym w:font="Wingdings" w:char="F0FC"/>
            </w:r>
          </w:p>
        </w:tc>
      </w:tr>
      <w:tr w:rsidR="00554F3E" w:rsidRPr="00741763" w14:paraId="4D6DC2FB" w14:textId="77777777" w:rsidTr="00D76D28">
        <w:tc>
          <w:tcPr>
            <w:tcW w:w="1853" w:type="dxa"/>
          </w:tcPr>
          <w:p w14:paraId="280FBA42" w14:textId="77777777" w:rsidR="00554F3E" w:rsidRPr="00CE2565" w:rsidRDefault="00554F3E" w:rsidP="00D76D28">
            <w:pPr>
              <w:rPr>
                <w:b/>
                <w:bCs/>
                <w:sz w:val="18"/>
                <w:szCs w:val="18"/>
              </w:rPr>
            </w:pPr>
            <w:r w:rsidRPr="00CE2565">
              <w:rPr>
                <w:b/>
                <w:bCs/>
                <w:sz w:val="18"/>
                <w:szCs w:val="18"/>
              </w:rPr>
              <w:t xml:space="preserve">National Osteoporosis Foundation 2008 </w:t>
            </w:r>
            <w:r w:rsidRPr="00CE2565">
              <w:rPr>
                <w:b/>
                <w:bCs/>
                <w:sz w:val="18"/>
                <w:szCs w:val="18"/>
              </w:rPr>
              <w:fldChar w:fldCharType="begin" w:fldLock="1"/>
            </w:r>
            <w:r>
              <w:rPr>
                <w:b/>
                <w:bCs/>
                <w:sz w:val="18"/>
                <w:szCs w:val="18"/>
              </w:rPr>
              <w:instrText>ADDIN CSL_CITATION { "citationItems" : [ { "id" : "ITEM-1", "itemData" : { "abstract" : "It is expected that additional endorsements will be made as other medical societies complete their final review of the document. Attention Clinicians: It is important to note that the recommendations developed in this report are intended to serve as a reference point for clinical decision making with individual patients. They are not intended to be rigid standards, limits, or rules. They can be tailored to individual cases to incorporate personal facts that are beyond the scope of this guide. Because these are recommendations and not rigid standards, they should not be interpreted as quality standards. Nor should they be used to limit coverage for treatments. This guide was developed by an expert committee of the National Osteoporosis Foundation (NOF) in collaboration with a multi-specialty council of medical experts in the field of bone health convened by the NOF. Readers are urged to consult current prescribing information on any drug, device, or procedure discussed in this publication.", "author" : [ { "dropping-particle" : "al", "family" : "Hughes-Dawson Bess, Lidnsay", "given" : "Robert et", "non-dropping-particle" : "", "parse-names" : false, "suffix" : "" } ], "id" : "ITEM-1", "issued" : { "date-parts" : [ [ "2008" ] ] }, "number-of-pages" : "1-30", "publisher-place" : "Washigton. D.C.", "title" : "Clinician\u2019s Guide to Prevention and Treatment of Osteoporosis.", "type" : "report" }, "uris" : [ "http://www.mendeley.com/documents/?uuid=b4da10e6-1ccf-37c8-8ddb-a06d0df07fea" ] } ], "mendeley" : { "formattedCitation" : "&lt;sup&gt;53&lt;/sup&gt;", "plainTextFormattedCitation" : "53", "previouslyFormattedCitation" : "&lt;sup&gt;53&lt;/sup&gt;"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53</w:t>
            </w:r>
            <w:r w:rsidRPr="00CE2565">
              <w:rPr>
                <w:b/>
                <w:bCs/>
                <w:sz w:val="18"/>
                <w:szCs w:val="18"/>
              </w:rPr>
              <w:fldChar w:fldCharType="end"/>
            </w:r>
            <w:r w:rsidRPr="00CE2565">
              <w:rPr>
                <w:b/>
                <w:bCs/>
                <w:sz w:val="18"/>
                <w:szCs w:val="18"/>
              </w:rPr>
              <w:t>.</w:t>
            </w:r>
          </w:p>
        </w:tc>
        <w:tc>
          <w:tcPr>
            <w:tcW w:w="1275" w:type="dxa"/>
          </w:tcPr>
          <w:p w14:paraId="7E6932D1"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560" w:type="dxa"/>
          </w:tcPr>
          <w:p w14:paraId="24CF68A6"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5" w:type="dxa"/>
          </w:tcPr>
          <w:p w14:paraId="43EE715C"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701" w:type="dxa"/>
          </w:tcPr>
          <w:p w14:paraId="2D7FB415"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843" w:type="dxa"/>
          </w:tcPr>
          <w:p w14:paraId="172C656B"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559" w:type="dxa"/>
          </w:tcPr>
          <w:p w14:paraId="1D3B80E8"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6" w:type="dxa"/>
          </w:tcPr>
          <w:p w14:paraId="0ECCFF41"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tcPr>
          <w:p w14:paraId="69691237"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842" w:type="dxa"/>
          </w:tcPr>
          <w:p w14:paraId="7EECAB42" w14:textId="77777777" w:rsidR="00554F3E" w:rsidRPr="00CE2565" w:rsidRDefault="00554F3E" w:rsidP="00D76D28">
            <w:pPr>
              <w:jc w:val="center"/>
              <w:rPr>
                <w:rFonts w:cstheme="minorHAnsi"/>
                <w:sz w:val="18"/>
                <w:szCs w:val="18"/>
              </w:rPr>
            </w:pPr>
            <w:r>
              <w:rPr>
                <w:rFonts w:cstheme="minorHAnsi"/>
                <w:sz w:val="18"/>
                <w:szCs w:val="18"/>
              </w:rPr>
              <w:t>2</w:t>
            </w:r>
          </w:p>
        </w:tc>
        <w:tc>
          <w:tcPr>
            <w:tcW w:w="851" w:type="dxa"/>
          </w:tcPr>
          <w:p w14:paraId="5872F6AA" w14:textId="77777777" w:rsidR="00554F3E" w:rsidRPr="00CE2565" w:rsidRDefault="00554F3E" w:rsidP="00D76D28">
            <w:pPr>
              <w:jc w:val="center"/>
              <w:rPr>
                <w:rFonts w:cstheme="minorHAnsi"/>
                <w:sz w:val="18"/>
                <w:szCs w:val="18"/>
              </w:rPr>
            </w:pPr>
          </w:p>
        </w:tc>
      </w:tr>
      <w:tr w:rsidR="00554F3E" w:rsidRPr="00741763" w14:paraId="2587D17C" w14:textId="77777777" w:rsidTr="00D76D28">
        <w:tc>
          <w:tcPr>
            <w:tcW w:w="1853" w:type="dxa"/>
          </w:tcPr>
          <w:p w14:paraId="06DDEE41" w14:textId="77777777" w:rsidR="00554F3E" w:rsidRPr="00CE2565" w:rsidRDefault="00554F3E" w:rsidP="00D76D28">
            <w:pPr>
              <w:rPr>
                <w:b/>
                <w:bCs/>
                <w:sz w:val="18"/>
                <w:szCs w:val="18"/>
              </w:rPr>
            </w:pPr>
            <w:r w:rsidRPr="00CE2565">
              <w:rPr>
                <w:b/>
                <w:bCs/>
                <w:sz w:val="18"/>
                <w:szCs w:val="18"/>
              </w:rPr>
              <w:t xml:space="preserve">First Update of the Lebanese Guidelines 2008 </w:t>
            </w:r>
            <w:r w:rsidRPr="00CE2565">
              <w:rPr>
                <w:b/>
                <w:bCs/>
                <w:sz w:val="18"/>
                <w:szCs w:val="18"/>
              </w:rPr>
              <w:fldChar w:fldCharType="begin" w:fldLock="1"/>
            </w:r>
            <w:r>
              <w:rPr>
                <w:b/>
                <w:bCs/>
                <w:sz w:val="18"/>
                <w:szCs w:val="18"/>
              </w:rPr>
              <w:instrText>ADDIN CSL_CITATION { "citationItems" : [ { "id" : "ITEM-1", "itemData" : { "DOI" : "10.1016/j.jocd.2008.02.006", "ISSN" : "10946950", "PMID" : "18448373", "abstract" : "With the demographic explosion, the human, social, and economic costs of osteoporosis in developing countries, including the Middle East, will continue to rise. In 2002, the Lebanese Guidelines for Osteoporosis Assessment and Treatment were developed to optimize quality of osteoporosis care in Lebanon and the region. They were endorsed by 5 Lebanese medical scientific societies, and by the Eastern Mediterranean Regional Office branch of the World Health Organization (WHO). In April 2006, the Lebanese Society for Osteoporosis and Metabolic Bone Disorders (OSTEOS) led an initiative to update several recommendations detailed in the original document, based on relevant new local and international data. Data from a population-based sample of elderly Lebanese validated the following recommendations: fracture risk assessment, expressed as relative risk per standard deviation (RR/SD) decrease, was comparable in Lebanese subjects to similarly derived estimates from Western studies; the use of the NHANES database (hip), and the densitometer American database (spine) was as good, if not superior to the use of a Lebanese database for identifying subjects with prevalent vertebral fractures. The original recommendation regarding the use of a gender-specific western database, densitometer for spine and NHANES for T-score derivation for men, remains unchanged. For skeletal site selection, the update recommends measuring the spine and hip for women &lt; or =65 yr, hip only for subjects &gt;65 yr, and adding the forearm in conditions associated with cortical bone loss or in the case of inability to measure axial sites. The original recommendations for conservative management in premenopausal women were reiterated. This First Update of the Lebanese Osteoporosis Guidelines validates previous recommendations using evidence from a population-based sample of elderly Lebanese, and lays the ground for transitioning the Lebanese Osteoporosis Guidelines to the WHO global fracture risk assessment model.", "author" : [ { "dropping-particle" : "", "family" : "El-Hajj Fuleihan", "given" : "Ghada", "non-dropping-particle" : "", "parse-names" : false, "suffix" : "" }, { "dropping-particle" : "", "family" : "Baddoura", "given" : "Rafic", "non-dropping-particle" : "", "parse-names" : false, "suffix" : "" }, { "dropping-particle" : "", "family" : "Awada", "given" : "Hassane", "non-dropping-particle" : "", "parse-names" : false, "suffix" : "" }, { "dropping-particle" : "", "family" : "Arabi", "given" : "Asma", "non-dropping-particle" : "", "parse-names" : false, "suffix" : "" }, { "dropping-particle" : "", "family" : "Okais", "given" : "Jad", "non-dropping-particle" : "", "parse-names" : false, "suffix" : "" } ], "container-title" : "Journal of Clinical Densitometry", "id" : "ITEM-1", "issue" : "3", "issued" : { "date-parts" : [ [ "2008", "7" ] ] }, "page" : "383-396", "title" : "First Update of the Lebanese Guidelines for Osteoporosis Assessment and Treatment", "type" : "article-journal", "volume" : "11" }, "uris" : [ "http://www.mendeley.com/documents/?uuid=4786741f-5ec7-3b7f-bee6-e9cbc6528d60" ] } ], "mendeley" : { "formattedCitation" : "&lt;sup&gt;59&lt;/sup&gt;", "plainTextFormattedCitation" : "59", "previouslyFormattedCitation" : "&lt;sup&gt;59&lt;/sup&gt;"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59</w:t>
            </w:r>
            <w:r w:rsidRPr="00CE2565">
              <w:rPr>
                <w:b/>
                <w:bCs/>
                <w:sz w:val="18"/>
                <w:szCs w:val="18"/>
              </w:rPr>
              <w:fldChar w:fldCharType="end"/>
            </w:r>
            <w:r w:rsidRPr="00CE2565">
              <w:rPr>
                <w:b/>
                <w:bCs/>
                <w:sz w:val="18"/>
                <w:szCs w:val="18"/>
              </w:rPr>
              <w:t>.</w:t>
            </w:r>
          </w:p>
        </w:tc>
        <w:tc>
          <w:tcPr>
            <w:tcW w:w="1275" w:type="dxa"/>
          </w:tcPr>
          <w:p w14:paraId="0B09E9A4"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60" w:type="dxa"/>
          </w:tcPr>
          <w:p w14:paraId="1654EAA2"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5" w:type="dxa"/>
          </w:tcPr>
          <w:p w14:paraId="52BA0937"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701" w:type="dxa"/>
          </w:tcPr>
          <w:p w14:paraId="46005DF2"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843" w:type="dxa"/>
          </w:tcPr>
          <w:p w14:paraId="1720D406"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59" w:type="dxa"/>
          </w:tcPr>
          <w:p w14:paraId="6172AC1D"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6" w:type="dxa"/>
          </w:tcPr>
          <w:p w14:paraId="0741CEBF"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tcPr>
          <w:p w14:paraId="02A532AF"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842" w:type="dxa"/>
          </w:tcPr>
          <w:p w14:paraId="16960705" w14:textId="77777777" w:rsidR="00554F3E" w:rsidRPr="00CE2565" w:rsidRDefault="00554F3E" w:rsidP="00D76D28">
            <w:pPr>
              <w:jc w:val="center"/>
              <w:rPr>
                <w:rFonts w:cstheme="minorHAnsi"/>
                <w:sz w:val="18"/>
                <w:szCs w:val="18"/>
              </w:rPr>
            </w:pPr>
            <w:r>
              <w:rPr>
                <w:rFonts w:cstheme="minorHAnsi"/>
                <w:sz w:val="18"/>
                <w:szCs w:val="18"/>
              </w:rPr>
              <w:t>4</w:t>
            </w:r>
          </w:p>
        </w:tc>
        <w:tc>
          <w:tcPr>
            <w:tcW w:w="851" w:type="dxa"/>
          </w:tcPr>
          <w:p w14:paraId="1497FB13" w14:textId="77777777" w:rsidR="00554F3E" w:rsidRPr="00CE2565" w:rsidRDefault="00554F3E" w:rsidP="00D76D28">
            <w:pPr>
              <w:jc w:val="center"/>
              <w:rPr>
                <w:rFonts w:cstheme="minorHAnsi"/>
                <w:sz w:val="18"/>
                <w:szCs w:val="18"/>
              </w:rPr>
            </w:pPr>
          </w:p>
        </w:tc>
      </w:tr>
      <w:tr w:rsidR="00554F3E" w:rsidRPr="00741763" w14:paraId="4BACFC00" w14:textId="77777777" w:rsidTr="00D76D28">
        <w:tc>
          <w:tcPr>
            <w:tcW w:w="1853" w:type="dxa"/>
            <w:shd w:val="clear" w:color="auto" w:fill="D9D9D9" w:themeFill="background1" w:themeFillShade="D9"/>
          </w:tcPr>
          <w:p w14:paraId="667C43C2" w14:textId="77777777" w:rsidR="00554F3E" w:rsidRPr="00CE2565" w:rsidRDefault="00554F3E" w:rsidP="00D76D28">
            <w:pPr>
              <w:rPr>
                <w:b/>
                <w:bCs/>
                <w:sz w:val="18"/>
                <w:szCs w:val="18"/>
              </w:rPr>
            </w:pPr>
            <w:r w:rsidRPr="00CE2565">
              <w:rPr>
                <w:b/>
                <w:bCs/>
                <w:sz w:val="18"/>
                <w:szCs w:val="18"/>
              </w:rPr>
              <w:t xml:space="preserve">Singapore Clinical Guidelines 2009 </w:t>
            </w:r>
            <w:r w:rsidRPr="00CE2565">
              <w:rPr>
                <w:b/>
                <w:bCs/>
                <w:sz w:val="18"/>
                <w:szCs w:val="18"/>
              </w:rPr>
              <w:fldChar w:fldCharType="begin" w:fldLock="1"/>
            </w:r>
            <w:r>
              <w:rPr>
                <w:b/>
                <w:bCs/>
                <w:sz w:val="18"/>
                <w:szCs w:val="18"/>
              </w:rPr>
              <w:instrText>ADDIN CSL_CITATION { "citationItems" : [ { "id" : "ITEM-1", "itemData" : { "author" : [ { "dropping-particle" : "", "family" : "Ministry of Health", "given" : "", "non-dropping-particle" : "", "parse-names" : false, "suffix" : "" } ], "id" : "ITEM-1", "issued" : { "date-parts" : [ [ "2009" ] ] }, "number-of-pages" : "1-94", "publisher-place" : "Singapore", "title" : "Osteoporosis MOH Clinical Practice guidelines", "type" : "report" }, "uris" : [ "http://www.mendeley.com/documents/?uuid=6ba31cbf-d902-361e-a5a6-be6b48cd2746" ] } ], "mendeley" : { "formattedCitation" : "&lt;sup&gt;60&lt;/sup&gt;", "plainTextFormattedCitation" : "60", "previouslyFormattedCitation" : "&lt;sup&gt;60&lt;/sup&gt;"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60</w:t>
            </w:r>
            <w:r w:rsidRPr="00CE2565">
              <w:rPr>
                <w:b/>
                <w:bCs/>
                <w:sz w:val="18"/>
                <w:szCs w:val="18"/>
              </w:rPr>
              <w:fldChar w:fldCharType="end"/>
            </w:r>
          </w:p>
        </w:tc>
        <w:tc>
          <w:tcPr>
            <w:tcW w:w="1275" w:type="dxa"/>
            <w:shd w:val="clear" w:color="auto" w:fill="D9D9D9" w:themeFill="background1" w:themeFillShade="D9"/>
          </w:tcPr>
          <w:p w14:paraId="48404EC8"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60" w:type="dxa"/>
            <w:shd w:val="clear" w:color="auto" w:fill="D9D9D9" w:themeFill="background1" w:themeFillShade="D9"/>
          </w:tcPr>
          <w:p w14:paraId="661B184F"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5" w:type="dxa"/>
            <w:shd w:val="clear" w:color="auto" w:fill="D9D9D9" w:themeFill="background1" w:themeFillShade="D9"/>
          </w:tcPr>
          <w:p w14:paraId="38807DBE"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701" w:type="dxa"/>
            <w:shd w:val="clear" w:color="auto" w:fill="D9D9D9" w:themeFill="background1" w:themeFillShade="D9"/>
          </w:tcPr>
          <w:p w14:paraId="3464C335"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843" w:type="dxa"/>
            <w:shd w:val="clear" w:color="auto" w:fill="D9D9D9" w:themeFill="background1" w:themeFillShade="D9"/>
          </w:tcPr>
          <w:p w14:paraId="18A19249"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59" w:type="dxa"/>
            <w:shd w:val="clear" w:color="auto" w:fill="D9D9D9" w:themeFill="background1" w:themeFillShade="D9"/>
          </w:tcPr>
          <w:p w14:paraId="0975BFAF"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6" w:type="dxa"/>
            <w:shd w:val="clear" w:color="auto" w:fill="D9D9D9" w:themeFill="background1" w:themeFillShade="D9"/>
          </w:tcPr>
          <w:p w14:paraId="054742CB"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shd w:val="clear" w:color="auto" w:fill="D9D9D9" w:themeFill="background1" w:themeFillShade="D9"/>
          </w:tcPr>
          <w:p w14:paraId="19DA0B4A"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842" w:type="dxa"/>
            <w:shd w:val="clear" w:color="auto" w:fill="D9D9D9" w:themeFill="background1" w:themeFillShade="D9"/>
          </w:tcPr>
          <w:p w14:paraId="5CEFC96F" w14:textId="77777777" w:rsidR="00554F3E" w:rsidRPr="00CE2565" w:rsidRDefault="00554F3E" w:rsidP="00D76D28">
            <w:pPr>
              <w:jc w:val="center"/>
              <w:rPr>
                <w:rFonts w:cstheme="minorHAnsi"/>
                <w:sz w:val="18"/>
                <w:szCs w:val="18"/>
              </w:rPr>
            </w:pPr>
            <w:r>
              <w:rPr>
                <w:rFonts w:cstheme="minorHAnsi"/>
                <w:sz w:val="18"/>
                <w:szCs w:val="18"/>
              </w:rPr>
              <w:t>6</w:t>
            </w:r>
          </w:p>
        </w:tc>
        <w:tc>
          <w:tcPr>
            <w:tcW w:w="851" w:type="dxa"/>
            <w:shd w:val="clear" w:color="auto" w:fill="D9D9D9" w:themeFill="background1" w:themeFillShade="D9"/>
          </w:tcPr>
          <w:p w14:paraId="760F7FF6" w14:textId="77777777" w:rsidR="00554F3E" w:rsidRPr="00CE2565" w:rsidRDefault="00554F3E" w:rsidP="00D76D28">
            <w:pPr>
              <w:jc w:val="center"/>
              <w:rPr>
                <w:rFonts w:cstheme="minorHAnsi"/>
                <w:sz w:val="18"/>
                <w:szCs w:val="18"/>
              </w:rPr>
            </w:pPr>
            <w:r w:rsidRPr="00CE2565">
              <w:rPr>
                <w:rFonts w:cstheme="minorHAnsi"/>
                <w:sz w:val="18"/>
                <w:szCs w:val="18"/>
              </w:rPr>
              <w:sym w:font="Wingdings" w:char="F0FC"/>
            </w:r>
          </w:p>
        </w:tc>
      </w:tr>
      <w:tr w:rsidR="00554F3E" w:rsidRPr="00741763" w14:paraId="3B38C752" w14:textId="77777777" w:rsidTr="00D76D28">
        <w:tc>
          <w:tcPr>
            <w:tcW w:w="1853" w:type="dxa"/>
            <w:shd w:val="clear" w:color="auto" w:fill="D9D9D9" w:themeFill="background1" w:themeFillShade="D9"/>
          </w:tcPr>
          <w:p w14:paraId="464C5AC0" w14:textId="77777777" w:rsidR="00554F3E" w:rsidRPr="00CE2565" w:rsidRDefault="00554F3E" w:rsidP="00D76D28">
            <w:pPr>
              <w:rPr>
                <w:b/>
                <w:bCs/>
                <w:sz w:val="18"/>
                <w:szCs w:val="18"/>
              </w:rPr>
            </w:pPr>
            <w:r w:rsidRPr="00CE2565">
              <w:rPr>
                <w:b/>
                <w:bCs/>
                <w:sz w:val="18"/>
                <w:szCs w:val="18"/>
              </w:rPr>
              <w:t xml:space="preserve">Osteoporosis Canada 2010 </w:t>
            </w:r>
            <w:r w:rsidRPr="00CE2565">
              <w:rPr>
                <w:b/>
                <w:bCs/>
                <w:sz w:val="18"/>
                <w:szCs w:val="18"/>
              </w:rPr>
              <w:fldChar w:fldCharType="begin" w:fldLock="1"/>
            </w:r>
            <w:r>
              <w:rPr>
                <w:b/>
                <w:bCs/>
                <w:sz w:val="18"/>
                <w:szCs w:val="18"/>
              </w:rPr>
              <w:instrText>ADDIN CSL_CITATION { "citationItems" : [ { "id" : "ITEM-1", "itemData" : { "DOI" : "10.1503/cmaj.100771", "ISSN" : "0820-3946", "author" : [ { "dropping-particle" : "", "family" : "Papaioannou", "given" : "A.", "non-dropping-particle" : "", "parse-names" : false, "suffix" : "" }, { "dropping-particle" : "", "family" : "Morin", "given" : "S.", "non-dropping-particle" : "", "parse-names" : false, "suffix" : "" }, { "dropping-particle" : "", "family" : "Cheung", "given" : "A. M.", "non-dropping-particle" : "", "parse-names" : false, "suffix" : "" }, { "dropping-particle" : "", "family" : "Atkinson", "given" : "S.", "non-dropping-particle" : "", "parse-names" : false, "suffix" : "" }, { "dropping-particle" : "", "family" : "Brown", "given" : "J. P.", "non-dropping-particle" : "", "parse-names" : false, "suffix" : "" }, { "dropping-particle" : "", "family" : "Feldman", "given" : "S.", "non-dropping-particle" : "", "parse-names" : false, "suffix" : "" }, { "dropping-particle" : "", "family" : "Hanley", "given" : "D. A.", "non-dropping-particle" : "", "parse-names" : false, "suffix" : "" }, { "dropping-particle" : "", "family" : "Hodsman", "given" : "A.", "non-dropping-particle" : "", "parse-names" : false, "suffix" : "" }, { "dropping-particle" : "", "family" : "Jamal", "given" : "S. A.", "non-dropping-particle" : "", "parse-names" : false, "suffix" : "" }, { "dropping-particle" : "", "family" : "Kaiser", "given" : "S. M.", "non-dropping-particle" : "", "parse-names" : false, "suffix" : "" }, { "dropping-particle" : "", "family" : "Kvern", "given" : "B.", "non-dropping-particle" : "", "parse-names" : false, "suffix" : "" }, { "dropping-particle" : "", "family" : "Siminoski", "given" : "K.", "non-dropping-particle" : "", "parse-names" : false, "suffix" : "" }, { "dropping-particle" : "", "family" : "Leslie", "given" : "W. D.", "non-dropping-particle" : "", "parse-names" : false, "suffix" : "" } ], "container-title" : "Canadian Medical Association Journal", "id" : "ITEM-1", "issue" : "17", "issued" : { "date-parts" : [ [ "2010", "11", "23" ] ] }, "page" : "1864-1873", "title" : "2010 clinical practice guidelines for the diagnosis and management of osteoporosis in Canada: summary", "type" : "article-journal", "volume" : "182" }, "uris" : [ "http://www.mendeley.com/documents/?uuid=859db56b-9998-3971-a5c2-5b14e491b198" ] } ], "mendeley" : { "formattedCitation" : "&lt;sup&gt;46&lt;/sup&gt;", "plainTextFormattedCitation" : "46", "previouslyFormattedCitation" : "&lt;sup&gt;46&lt;/sup&gt;"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rPr>
              <w:t>46</w:t>
            </w:r>
            <w:r w:rsidRPr="00CE2565">
              <w:rPr>
                <w:b/>
                <w:bCs/>
                <w:sz w:val="18"/>
                <w:szCs w:val="18"/>
              </w:rPr>
              <w:fldChar w:fldCharType="end"/>
            </w:r>
            <w:r w:rsidRPr="00CE2565">
              <w:rPr>
                <w:b/>
                <w:bCs/>
                <w:sz w:val="18"/>
                <w:szCs w:val="18"/>
              </w:rPr>
              <w:t>.</w:t>
            </w:r>
          </w:p>
        </w:tc>
        <w:tc>
          <w:tcPr>
            <w:tcW w:w="1275" w:type="dxa"/>
            <w:shd w:val="clear" w:color="auto" w:fill="D9D9D9" w:themeFill="background1" w:themeFillShade="D9"/>
          </w:tcPr>
          <w:p w14:paraId="7A424DEA"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60" w:type="dxa"/>
            <w:shd w:val="clear" w:color="auto" w:fill="D9D9D9" w:themeFill="background1" w:themeFillShade="D9"/>
          </w:tcPr>
          <w:p w14:paraId="5CB405DD"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1275" w:type="dxa"/>
            <w:shd w:val="clear" w:color="auto" w:fill="D9D9D9" w:themeFill="background1" w:themeFillShade="D9"/>
          </w:tcPr>
          <w:p w14:paraId="0151D2DE"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701" w:type="dxa"/>
            <w:shd w:val="clear" w:color="auto" w:fill="D9D9D9" w:themeFill="background1" w:themeFillShade="D9"/>
          </w:tcPr>
          <w:p w14:paraId="3B13517C"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843" w:type="dxa"/>
            <w:shd w:val="clear" w:color="auto" w:fill="D9D9D9" w:themeFill="background1" w:themeFillShade="D9"/>
          </w:tcPr>
          <w:p w14:paraId="6F29DCC9"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559" w:type="dxa"/>
            <w:shd w:val="clear" w:color="auto" w:fill="D9D9D9" w:themeFill="background1" w:themeFillShade="D9"/>
          </w:tcPr>
          <w:p w14:paraId="3407EF0D" w14:textId="77777777" w:rsidR="00554F3E" w:rsidRPr="00CE2565" w:rsidRDefault="00554F3E" w:rsidP="00D76D28">
            <w:pPr>
              <w:jc w:val="center"/>
              <w:rPr>
                <w:rFonts w:cstheme="minorHAnsi"/>
                <w:sz w:val="18"/>
                <w:szCs w:val="18"/>
              </w:rPr>
            </w:pPr>
            <w:r w:rsidRPr="00CE2565">
              <w:rPr>
                <w:rFonts w:cstheme="minorHAnsi"/>
                <w:sz w:val="18"/>
                <w:szCs w:val="18"/>
              </w:rPr>
              <w:t>Y</w:t>
            </w:r>
          </w:p>
        </w:tc>
        <w:tc>
          <w:tcPr>
            <w:tcW w:w="1276" w:type="dxa"/>
            <w:shd w:val="clear" w:color="auto" w:fill="D9D9D9" w:themeFill="background1" w:themeFillShade="D9"/>
          </w:tcPr>
          <w:p w14:paraId="2F6A8C15"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992" w:type="dxa"/>
            <w:shd w:val="clear" w:color="auto" w:fill="D9D9D9" w:themeFill="background1" w:themeFillShade="D9"/>
          </w:tcPr>
          <w:p w14:paraId="258CCA9C" w14:textId="77777777" w:rsidR="00554F3E" w:rsidRPr="00CE2565" w:rsidRDefault="00554F3E" w:rsidP="00D76D28">
            <w:pPr>
              <w:jc w:val="center"/>
              <w:rPr>
                <w:rFonts w:cstheme="minorHAnsi"/>
                <w:sz w:val="18"/>
                <w:szCs w:val="18"/>
              </w:rPr>
            </w:pPr>
            <w:r w:rsidRPr="00CE2565">
              <w:rPr>
                <w:rFonts w:cstheme="minorHAnsi"/>
                <w:sz w:val="18"/>
                <w:szCs w:val="18"/>
              </w:rPr>
              <w:t>N</w:t>
            </w:r>
          </w:p>
        </w:tc>
        <w:tc>
          <w:tcPr>
            <w:tcW w:w="842" w:type="dxa"/>
            <w:shd w:val="clear" w:color="auto" w:fill="D9D9D9" w:themeFill="background1" w:themeFillShade="D9"/>
          </w:tcPr>
          <w:p w14:paraId="2545995E" w14:textId="77777777" w:rsidR="00554F3E" w:rsidRPr="00CE2565" w:rsidRDefault="00554F3E" w:rsidP="00D76D28">
            <w:pPr>
              <w:jc w:val="center"/>
              <w:rPr>
                <w:rFonts w:cstheme="minorHAnsi"/>
                <w:sz w:val="18"/>
                <w:szCs w:val="18"/>
              </w:rPr>
            </w:pPr>
            <w:r>
              <w:rPr>
                <w:rFonts w:cstheme="minorHAnsi"/>
                <w:sz w:val="18"/>
                <w:szCs w:val="18"/>
              </w:rPr>
              <w:t>5</w:t>
            </w:r>
          </w:p>
        </w:tc>
        <w:tc>
          <w:tcPr>
            <w:tcW w:w="851" w:type="dxa"/>
            <w:shd w:val="clear" w:color="auto" w:fill="D9D9D9" w:themeFill="background1" w:themeFillShade="D9"/>
          </w:tcPr>
          <w:p w14:paraId="7A1964B1" w14:textId="77777777" w:rsidR="00554F3E" w:rsidRPr="00CE2565" w:rsidRDefault="00554F3E" w:rsidP="00D76D28">
            <w:pPr>
              <w:jc w:val="center"/>
              <w:rPr>
                <w:rFonts w:cstheme="minorHAnsi"/>
                <w:sz w:val="18"/>
                <w:szCs w:val="18"/>
              </w:rPr>
            </w:pPr>
            <w:r w:rsidRPr="00CE2565">
              <w:rPr>
                <w:rFonts w:cstheme="minorHAnsi"/>
                <w:sz w:val="18"/>
                <w:szCs w:val="18"/>
              </w:rPr>
              <w:sym w:font="Wingdings" w:char="F0FC"/>
            </w:r>
          </w:p>
        </w:tc>
      </w:tr>
      <w:tr w:rsidR="00554F3E" w:rsidRPr="000926D0" w14:paraId="518FB694" w14:textId="77777777" w:rsidTr="00D76D28">
        <w:tc>
          <w:tcPr>
            <w:tcW w:w="1853" w:type="dxa"/>
          </w:tcPr>
          <w:p w14:paraId="0C4379B9" w14:textId="77777777" w:rsidR="00554F3E" w:rsidRPr="003F1B26" w:rsidRDefault="00554F3E" w:rsidP="00D76D28">
            <w:pPr>
              <w:rPr>
                <w:b/>
                <w:bCs/>
                <w:sz w:val="18"/>
                <w:szCs w:val="18"/>
                <w:lang w:val="fr-CA"/>
              </w:rPr>
            </w:pPr>
            <w:r w:rsidRPr="00CE2565">
              <w:rPr>
                <w:b/>
                <w:bCs/>
                <w:sz w:val="18"/>
                <w:szCs w:val="18"/>
              </w:rPr>
              <w:t xml:space="preserve">American Association of Clinical Endocrinologist AACE 2010 </w:t>
            </w:r>
            <w:r w:rsidRPr="00CE2565">
              <w:rPr>
                <w:b/>
                <w:bCs/>
                <w:sz w:val="18"/>
                <w:szCs w:val="18"/>
              </w:rPr>
              <w:fldChar w:fldCharType="begin" w:fldLock="1"/>
            </w:r>
            <w:r>
              <w:rPr>
                <w:b/>
                <w:bCs/>
                <w:sz w:val="18"/>
                <w:szCs w:val="18"/>
              </w:rPr>
              <w:instrText>ADDIN CSL_CITATION { "citationItems" : [ { "id" : "ITEM-1", "itemData" : { "abstract" : "American Association of Clinical Endocrinologists Medical Guidelines for Clinical Practice are systematically developed statements to assist health-care professionals in medical decision making for specific clinical conditions.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We encourage medical professionals to use this information in conjunction with their best clinical judgment. The presented recommendations may not be appropriate in all situations. Any decision by practitioners to apply these guidelines must be made in light of local resources and indi-vidual patient circumstances. Abbreviations: AACE = American Association of Clinical Endocrinologists; BEL \" best \" level; BMD = bone mineral density ; DXA = dual - energy x - ray absorptiometry; EL = evidence level ; FDA = US Food ; GI ; ISCD ; LSC = least significant change ; 25 (OH) D = 25 - hydroxyvitamin D ; ONJ = osteonecrosis of the jaw ; OPG = osteoprotegerin ; PA = posteroanterior ; PTH = parathyroid hormone ; R = recommendation ; RANK = receptor activator of nuclear factor - kb ; RANKL = RANK ligand ; SD = standard deviation ; WHI = Women ' s Health Initiative ; WHO = World Health", "author" : [ { "dropping-particle" : "", "family" : "Watts", "given" : "Nelson B", "non-dropping-particle" : "", "parse-names" : false, "suffix" : "" }, { "dropping-particle" : "", "family" : "Bilezikian", "given" : "John P", "non-dropping-particle" : "", "parse-names" : false, "suffix" : "" }, { "dropping-particle" : "", "family" : "Camacho", "given" : "Pauline M", "non-dropping-particle" : "", "parse-names" : false, "suffix" : "" }, { "dropping-particle" : "", "family" : "Greenspan", "given" : "Susan L", "non-dropping-particle" : "", "parse-names" : false, "suffix" : "" }, { "dropping-particle" : "", "family" : "Harris", "given" : "Steven T", "non-dropping-particle" : "", "parse-names" : false, "suffix" : "" }, { "dropping-particle" : "", "family" : "Hodgson", "given" : "Stephen F", "non-dropping-particle" : "", "parse-names" : false, "suffix" : "" }, { "dropping-particle" : "", "family" : "Kleerekoper", "given" : "Michael", "non-dropping-particle" : "", "parse-names" : false, "suffix" : "" }, { "dropping-particle" : "", "family" : "Luckey", "given" : "Marjorie M", "non-dropping-particle" : "", "parse-names" : false, "suffix" : "" }, { "dropping-particle" : "", "family" : "McClung", "given" : "Michael R", "non-dropping-particle" : "", "parse-names" : false, "suffix" : "" }, { "dropping-particle" : "", "family" : "Pessah Pollack", "given" : "Rachel", "non-dropping-particle" : "", "parse-names" : false, "suffix" : "" }, { "dropping-particle" : "", "family" : "Petak", "given" : "Steven M", "non-dropping-particle" : "", "parse-names" : false, "suffix" : "" }, { "dropping-particle" : "", "family" : "Pauline Camacho", "given" : "Mace M", "non-dropping-particle" : "", "parse-names" : false, "suffix" : "" }, { "dropping-particle" : "", "family" : "Susan Greenspan", "given" : "Face L", "non-dropping-particle" : "", "parse-names" : false, "suffix" : "" }, { "dropping-particle" : "", "family" : "Steven Harris", "given" : "Face T", "non-dropping-particle" : "", "parse-names" : false, "suffix" : "" }, { "dropping-particle" : "", "family" : "Stephen Hodgson", "given" : "Face F", "non-dropping-particle" : "", "parse-names" : false, "suffix" : "" }, { "dropping-particle" : "", "family" : "Michael Kleerekoper", "given" : "Mace", "non-dropping-particle" : "", "parse-names" : false, "suffix" : "" }, { "dropping-particle" : "", "family" : "Marjorie Luckey", "given" : "Mace M", "non-dropping-particle" : "", "parse-names" : false, "suffix" : "" }, { "dropping-particle" : "", "family" : "Michael McClung", "given" : "Face R", "non-dropping-particle" : "", "parse-names" : false, "suffix" : "" }, { "dropping-particle" : "", "family" : "Rachel Pessah Pollack", "given" : "Face", "non-dropping-particle" : "", "parse-names" : false, "suffix" : "" }, { "dropping-particle" : "", "family" : "Reviewers Donald Bergman", "given" : "FCLM A", "non-dropping-particle" : "", "parse-names" : false, "suffix" : "" }, { "dropping-particle" : "", "family" : "Neil Binkley", "given" : "Face", "non-dropping-particle" : "", "parse-names" : false, "suffix" : "" }, { "dropping-particle" : "", "family" : "Miller", "given" : "Paul D", "non-dropping-particle" : "", "parse-names" : false, "suffix" : "" } ], "container-title" : "Endocrine Practice", "id" : "ITEM-1", "issue" : "Suppl 3", "issued" : { "date-parts" : [ [ "2010" ] ] }, "page" : "1-37", "title" : "American Association of Clinical Endocrinologists medical guidelines for the diagnosis and treatment of postmenopausal osteoporosis", "type" : "article-journal", "volume" : "16" }, "uris" : [ "http://www.mendeley.com/documents/?uuid=7b19cbac-194a-35d6-ab88-1760923f6be0" ] } ], "mendeley" : { "formattedCitation" : "&lt;sup&gt;61&lt;/sup&gt;", "plainTextFormattedCitation" : "61", "previouslyFormattedCitation" : "&lt;sup&gt;61&lt;/sup&gt;"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lang w:val="fr-CA"/>
              </w:rPr>
              <w:t>61</w:t>
            </w:r>
            <w:r w:rsidRPr="00CE2565">
              <w:rPr>
                <w:b/>
                <w:bCs/>
                <w:sz w:val="18"/>
                <w:szCs w:val="18"/>
              </w:rPr>
              <w:fldChar w:fldCharType="end"/>
            </w:r>
          </w:p>
        </w:tc>
        <w:tc>
          <w:tcPr>
            <w:tcW w:w="1275" w:type="dxa"/>
          </w:tcPr>
          <w:p w14:paraId="13A15506"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N</w:t>
            </w:r>
          </w:p>
        </w:tc>
        <w:tc>
          <w:tcPr>
            <w:tcW w:w="1560" w:type="dxa"/>
          </w:tcPr>
          <w:p w14:paraId="2F477E1A"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N</w:t>
            </w:r>
          </w:p>
        </w:tc>
        <w:tc>
          <w:tcPr>
            <w:tcW w:w="1275" w:type="dxa"/>
          </w:tcPr>
          <w:p w14:paraId="64BD8AC1"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N</w:t>
            </w:r>
          </w:p>
        </w:tc>
        <w:tc>
          <w:tcPr>
            <w:tcW w:w="1701" w:type="dxa"/>
          </w:tcPr>
          <w:p w14:paraId="5680E9C0"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843" w:type="dxa"/>
          </w:tcPr>
          <w:p w14:paraId="2A944A36"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559" w:type="dxa"/>
          </w:tcPr>
          <w:p w14:paraId="15EFBCD5"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276" w:type="dxa"/>
          </w:tcPr>
          <w:p w14:paraId="292BE83C"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N</w:t>
            </w:r>
          </w:p>
        </w:tc>
        <w:tc>
          <w:tcPr>
            <w:tcW w:w="992" w:type="dxa"/>
          </w:tcPr>
          <w:p w14:paraId="147909C3"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N</w:t>
            </w:r>
          </w:p>
        </w:tc>
        <w:tc>
          <w:tcPr>
            <w:tcW w:w="842" w:type="dxa"/>
          </w:tcPr>
          <w:p w14:paraId="027827A7"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3</w:t>
            </w:r>
          </w:p>
        </w:tc>
        <w:tc>
          <w:tcPr>
            <w:tcW w:w="851" w:type="dxa"/>
          </w:tcPr>
          <w:p w14:paraId="5695F2C8" w14:textId="77777777" w:rsidR="00554F3E" w:rsidRPr="003F1B26" w:rsidRDefault="00554F3E" w:rsidP="00D76D28">
            <w:pPr>
              <w:jc w:val="center"/>
              <w:rPr>
                <w:rFonts w:cstheme="minorHAnsi"/>
                <w:sz w:val="18"/>
                <w:szCs w:val="18"/>
                <w:lang w:val="fr-CA"/>
              </w:rPr>
            </w:pPr>
          </w:p>
        </w:tc>
      </w:tr>
      <w:tr w:rsidR="00554F3E" w:rsidRPr="000926D0" w14:paraId="553C44EA" w14:textId="77777777" w:rsidTr="00D76D28">
        <w:tc>
          <w:tcPr>
            <w:tcW w:w="1853" w:type="dxa"/>
            <w:shd w:val="clear" w:color="auto" w:fill="D9D9D9" w:themeFill="background1" w:themeFillShade="D9"/>
          </w:tcPr>
          <w:p w14:paraId="115C2708" w14:textId="77777777" w:rsidR="00554F3E" w:rsidRPr="003F1B26" w:rsidRDefault="00554F3E" w:rsidP="00D76D28">
            <w:pPr>
              <w:rPr>
                <w:b/>
                <w:bCs/>
                <w:sz w:val="18"/>
                <w:szCs w:val="18"/>
                <w:lang w:val="fr-CA"/>
              </w:rPr>
            </w:pPr>
            <w:r w:rsidRPr="003F1B26">
              <w:rPr>
                <w:b/>
                <w:bCs/>
                <w:sz w:val="18"/>
                <w:szCs w:val="18"/>
                <w:lang w:val="fr-CA"/>
              </w:rPr>
              <w:t xml:space="preserve">The Australien Guidelines 2010 </w:t>
            </w:r>
            <w:r w:rsidRPr="00CE2565">
              <w:rPr>
                <w:b/>
                <w:bCs/>
                <w:sz w:val="18"/>
                <w:szCs w:val="18"/>
              </w:rPr>
              <w:fldChar w:fldCharType="begin" w:fldLock="1"/>
            </w:r>
            <w:r>
              <w:rPr>
                <w:b/>
                <w:bCs/>
                <w:sz w:val="18"/>
                <w:szCs w:val="18"/>
                <w:lang w:val="fr-CA"/>
              </w:rPr>
              <w:instrText>ADDIN CSL_CITATION { "citationItems" : [ { "id" : "ITEM-1", "itemData" : { "abstract" : "Osteoporosis (OP) is defined as a disease characterised by low bone mass and micro-architectural deterioration of bone tissue, leading to enhanced bone fragility and a consequent increase in fracture risk. It is diagnosed by a bone density test that usually measures the density at the hip and spine. The result is called a \u2018T-score,\u2019 and will be in the range of normal, osteopenia, or OP. | RACGP", "author" : [ { "dropping-particle" : "", "family" : "The Royal Australian College of General practicioners", "given" : "", "non-dropping-particle" : "", "parse-names" : false, "suffix" : "" } ], "id" : "ITEM-1", "issued" : { "date-parts" : [ [ "2010" ] ] }, "number-of-pages" : "1-83", "publisher" : "The Royal Australian College of General Practitioners", "publisher-place" : "Australia", "title" : "RACGP - Clinical guideline for the prevention and treatment of osteoporosis in postmenopausal women and older men", "type" : "report" }, "uris" : [ "http://www.mendeley.com/documents/?uuid=0def164b-3c2e-3031-81b2-b057b67eea2b" ] } ], "mendeley" : { "formattedCitation" : "&lt;sup&gt;44&lt;/sup&gt;", "plainTextFormattedCitation" : "44", "previouslyFormattedCitation" : "&lt;sup&gt;44&lt;/sup&gt;" }, "properties" : {  }, "schema" : "https://github.com/citation-style-language/schema/raw/master/csl-citation.json" }</w:instrText>
            </w:r>
            <w:r w:rsidRPr="00CE2565">
              <w:rPr>
                <w:b/>
                <w:bCs/>
                <w:sz w:val="18"/>
                <w:szCs w:val="18"/>
              </w:rPr>
              <w:fldChar w:fldCharType="separate"/>
            </w:r>
            <w:r w:rsidRPr="00C6554C">
              <w:rPr>
                <w:bCs/>
                <w:noProof/>
                <w:sz w:val="18"/>
                <w:szCs w:val="18"/>
                <w:vertAlign w:val="superscript"/>
                <w:lang w:val="fr-CA"/>
              </w:rPr>
              <w:t>44</w:t>
            </w:r>
            <w:r w:rsidRPr="00CE2565">
              <w:rPr>
                <w:b/>
                <w:bCs/>
                <w:sz w:val="18"/>
                <w:szCs w:val="18"/>
              </w:rPr>
              <w:fldChar w:fldCharType="end"/>
            </w:r>
          </w:p>
        </w:tc>
        <w:tc>
          <w:tcPr>
            <w:tcW w:w="1275" w:type="dxa"/>
            <w:shd w:val="clear" w:color="auto" w:fill="D9D9D9" w:themeFill="background1" w:themeFillShade="D9"/>
          </w:tcPr>
          <w:p w14:paraId="17521A87"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560" w:type="dxa"/>
            <w:shd w:val="clear" w:color="auto" w:fill="D9D9D9" w:themeFill="background1" w:themeFillShade="D9"/>
          </w:tcPr>
          <w:p w14:paraId="43D05E7F"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275" w:type="dxa"/>
            <w:shd w:val="clear" w:color="auto" w:fill="D9D9D9" w:themeFill="background1" w:themeFillShade="D9"/>
          </w:tcPr>
          <w:p w14:paraId="2BC6037B"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701" w:type="dxa"/>
            <w:shd w:val="clear" w:color="auto" w:fill="D9D9D9" w:themeFill="background1" w:themeFillShade="D9"/>
          </w:tcPr>
          <w:p w14:paraId="66805B40"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843" w:type="dxa"/>
            <w:shd w:val="clear" w:color="auto" w:fill="D9D9D9" w:themeFill="background1" w:themeFillShade="D9"/>
          </w:tcPr>
          <w:p w14:paraId="653990B9"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559" w:type="dxa"/>
            <w:shd w:val="clear" w:color="auto" w:fill="D9D9D9" w:themeFill="background1" w:themeFillShade="D9"/>
          </w:tcPr>
          <w:p w14:paraId="6C71E751"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1276" w:type="dxa"/>
            <w:shd w:val="clear" w:color="auto" w:fill="D9D9D9" w:themeFill="background1" w:themeFillShade="D9"/>
          </w:tcPr>
          <w:p w14:paraId="68C3EDA8"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992" w:type="dxa"/>
            <w:shd w:val="clear" w:color="auto" w:fill="D9D9D9" w:themeFill="background1" w:themeFillShade="D9"/>
          </w:tcPr>
          <w:p w14:paraId="3F814124"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Y</w:t>
            </w:r>
          </w:p>
        </w:tc>
        <w:tc>
          <w:tcPr>
            <w:tcW w:w="842" w:type="dxa"/>
            <w:shd w:val="clear" w:color="auto" w:fill="D9D9D9" w:themeFill="background1" w:themeFillShade="D9"/>
          </w:tcPr>
          <w:p w14:paraId="5CACC643" w14:textId="77777777" w:rsidR="00554F3E" w:rsidRPr="003F1B26" w:rsidRDefault="00554F3E" w:rsidP="00D76D28">
            <w:pPr>
              <w:jc w:val="center"/>
              <w:rPr>
                <w:rFonts w:cstheme="minorHAnsi"/>
                <w:sz w:val="18"/>
                <w:szCs w:val="18"/>
                <w:lang w:val="fr-CA"/>
              </w:rPr>
            </w:pPr>
            <w:r w:rsidRPr="003F1B26">
              <w:rPr>
                <w:rFonts w:cstheme="minorHAnsi"/>
                <w:sz w:val="18"/>
                <w:szCs w:val="18"/>
                <w:lang w:val="fr-CA"/>
              </w:rPr>
              <w:t>8</w:t>
            </w:r>
          </w:p>
        </w:tc>
        <w:tc>
          <w:tcPr>
            <w:tcW w:w="851" w:type="dxa"/>
            <w:shd w:val="clear" w:color="auto" w:fill="D9D9D9" w:themeFill="background1" w:themeFillShade="D9"/>
          </w:tcPr>
          <w:p w14:paraId="6B3EDD6A" w14:textId="77777777" w:rsidR="00554F3E" w:rsidRDefault="00554F3E" w:rsidP="00D76D28">
            <w:pPr>
              <w:jc w:val="center"/>
              <w:rPr>
                <w:rFonts w:cstheme="minorHAnsi"/>
                <w:sz w:val="18"/>
                <w:szCs w:val="18"/>
              </w:rPr>
            </w:pPr>
            <w:r w:rsidRPr="00CE2565">
              <w:rPr>
                <w:rFonts w:cstheme="minorHAnsi"/>
                <w:sz w:val="18"/>
                <w:szCs w:val="18"/>
              </w:rPr>
              <w:sym w:font="Wingdings" w:char="F0FC"/>
            </w:r>
          </w:p>
          <w:p w14:paraId="65C12CFB" w14:textId="77777777" w:rsidR="00554F3E" w:rsidRDefault="00554F3E" w:rsidP="00D76D28">
            <w:pPr>
              <w:jc w:val="center"/>
              <w:rPr>
                <w:rFonts w:cstheme="minorHAnsi"/>
                <w:sz w:val="18"/>
                <w:szCs w:val="18"/>
                <w:lang w:val="fr-CA"/>
              </w:rPr>
            </w:pPr>
          </w:p>
          <w:p w14:paraId="3EE79497" w14:textId="77777777" w:rsidR="00554F3E" w:rsidRPr="003F1B26" w:rsidRDefault="00554F3E" w:rsidP="00D76D28">
            <w:pPr>
              <w:jc w:val="center"/>
              <w:rPr>
                <w:rFonts w:cstheme="minorHAnsi"/>
                <w:sz w:val="18"/>
                <w:szCs w:val="18"/>
                <w:lang w:val="fr-CA"/>
              </w:rPr>
            </w:pPr>
          </w:p>
        </w:tc>
      </w:tr>
      <w:tr w:rsidR="00554F3E" w:rsidRPr="000926D0" w14:paraId="40E81736" w14:textId="77777777" w:rsidTr="00D76D28">
        <w:tc>
          <w:tcPr>
            <w:tcW w:w="1853" w:type="dxa"/>
            <w:shd w:val="clear" w:color="auto" w:fill="FFFFFF" w:themeFill="background1"/>
          </w:tcPr>
          <w:p w14:paraId="042C999B" w14:textId="77777777" w:rsidR="00554F3E" w:rsidRPr="003F1B26" w:rsidRDefault="00554F3E" w:rsidP="00D76D28">
            <w:pPr>
              <w:rPr>
                <w:b/>
                <w:bCs/>
                <w:sz w:val="18"/>
                <w:szCs w:val="18"/>
                <w:lang w:val="fr-CA"/>
              </w:rPr>
            </w:pPr>
            <w:r w:rsidRPr="00D4649B">
              <w:rPr>
                <w:rFonts w:cstheme="minorHAnsi"/>
                <w:b/>
                <w:bCs/>
                <w:sz w:val="18"/>
                <w:szCs w:val="18"/>
              </w:rPr>
              <w:lastRenderedPageBreak/>
              <w:t>Guideline</w:t>
            </w:r>
          </w:p>
        </w:tc>
        <w:tc>
          <w:tcPr>
            <w:tcW w:w="1275" w:type="dxa"/>
            <w:shd w:val="clear" w:color="auto" w:fill="FFFFFF" w:themeFill="background1"/>
          </w:tcPr>
          <w:p w14:paraId="3E0D858F" w14:textId="77777777" w:rsidR="00554F3E" w:rsidRPr="003F1B26" w:rsidRDefault="00554F3E" w:rsidP="00D76D28">
            <w:pPr>
              <w:jc w:val="center"/>
              <w:rPr>
                <w:rFonts w:cstheme="minorHAnsi"/>
                <w:sz w:val="18"/>
                <w:szCs w:val="18"/>
                <w:lang w:val="fr-CA"/>
              </w:rPr>
            </w:pPr>
            <w:r w:rsidRPr="00D4649B">
              <w:rPr>
                <w:rFonts w:cstheme="minorHAnsi"/>
                <w:b/>
                <w:bCs/>
                <w:sz w:val="18"/>
                <w:szCs w:val="18"/>
              </w:rPr>
              <w:t>1.Establishing transparency</w:t>
            </w:r>
          </w:p>
        </w:tc>
        <w:tc>
          <w:tcPr>
            <w:tcW w:w="1560" w:type="dxa"/>
            <w:shd w:val="clear" w:color="auto" w:fill="FFFFFF" w:themeFill="background1"/>
          </w:tcPr>
          <w:p w14:paraId="27C985E8" w14:textId="77777777" w:rsidR="00554F3E" w:rsidRPr="00D4649B" w:rsidRDefault="00554F3E" w:rsidP="00D76D28">
            <w:pPr>
              <w:rPr>
                <w:rFonts w:cstheme="minorHAnsi"/>
                <w:b/>
                <w:bCs/>
                <w:sz w:val="18"/>
                <w:szCs w:val="18"/>
              </w:rPr>
            </w:pPr>
            <w:r w:rsidRPr="00D4649B">
              <w:rPr>
                <w:rFonts w:cstheme="minorHAnsi"/>
                <w:b/>
                <w:bCs/>
                <w:sz w:val="18"/>
                <w:szCs w:val="18"/>
              </w:rPr>
              <w:t>2.Management of conflict of</w:t>
            </w:r>
          </w:p>
          <w:p w14:paraId="7922EFA4" w14:textId="77777777" w:rsidR="00554F3E" w:rsidRPr="00D4649B" w:rsidRDefault="00554F3E" w:rsidP="00D76D28">
            <w:pPr>
              <w:rPr>
                <w:rFonts w:cstheme="minorHAnsi"/>
                <w:b/>
                <w:bCs/>
                <w:sz w:val="18"/>
                <w:szCs w:val="18"/>
              </w:rPr>
            </w:pPr>
            <w:r w:rsidRPr="00D4649B">
              <w:rPr>
                <w:rFonts w:cstheme="minorHAnsi"/>
                <w:b/>
                <w:bCs/>
                <w:sz w:val="18"/>
                <w:szCs w:val="18"/>
              </w:rPr>
              <w:t xml:space="preserve"> interest (COI)</w:t>
            </w:r>
          </w:p>
          <w:p w14:paraId="4C506907" w14:textId="77777777" w:rsidR="00554F3E" w:rsidRPr="003F1B26" w:rsidRDefault="00554F3E" w:rsidP="00D76D28">
            <w:pPr>
              <w:jc w:val="center"/>
              <w:rPr>
                <w:rFonts w:cstheme="minorHAnsi"/>
                <w:sz w:val="18"/>
                <w:szCs w:val="18"/>
                <w:lang w:val="fr-CA"/>
              </w:rPr>
            </w:pPr>
          </w:p>
        </w:tc>
        <w:tc>
          <w:tcPr>
            <w:tcW w:w="1275" w:type="dxa"/>
            <w:shd w:val="clear" w:color="auto" w:fill="FFFFFF" w:themeFill="background1"/>
          </w:tcPr>
          <w:p w14:paraId="43DA1486" w14:textId="77777777" w:rsidR="00554F3E" w:rsidRPr="003F1B26" w:rsidRDefault="00554F3E" w:rsidP="00D76D28">
            <w:pPr>
              <w:jc w:val="center"/>
              <w:rPr>
                <w:rFonts w:cstheme="minorHAnsi"/>
                <w:sz w:val="18"/>
                <w:szCs w:val="18"/>
                <w:lang w:val="fr-CA"/>
              </w:rPr>
            </w:pPr>
            <w:r w:rsidRPr="00D4649B">
              <w:rPr>
                <w:rFonts w:cstheme="minorHAnsi"/>
                <w:b/>
                <w:bCs/>
                <w:sz w:val="18"/>
                <w:szCs w:val="18"/>
              </w:rPr>
              <w:t>3.Guideline development group composition</w:t>
            </w:r>
          </w:p>
        </w:tc>
        <w:tc>
          <w:tcPr>
            <w:tcW w:w="1701" w:type="dxa"/>
            <w:shd w:val="clear" w:color="auto" w:fill="FFFFFF" w:themeFill="background1"/>
          </w:tcPr>
          <w:p w14:paraId="2052307F" w14:textId="77777777" w:rsidR="00554F3E" w:rsidRPr="003F1B26" w:rsidRDefault="00554F3E" w:rsidP="00D76D28">
            <w:pPr>
              <w:jc w:val="center"/>
              <w:rPr>
                <w:rFonts w:cstheme="minorHAnsi"/>
                <w:sz w:val="18"/>
                <w:szCs w:val="18"/>
                <w:lang w:val="fr-CA"/>
              </w:rPr>
            </w:pPr>
            <w:r w:rsidRPr="00D4649B">
              <w:rPr>
                <w:rFonts w:cstheme="minorHAnsi"/>
                <w:b/>
                <w:bCs/>
                <w:sz w:val="18"/>
                <w:szCs w:val="18"/>
              </w:rPr>
              <w:t>4.Clinical practice guideline systematic review intersection</w:t>
            </w:r>
          </w:p>
        </w:tc>
        <w:tc>
          <w:tcPr>
            <w:tcW w:w="1843" w:type="dxa"/>
            <w:shd w:val="clear" w:color="auto" w:fill="FFFFFF" w:themeFill="background1"/>
          </w:tcPr>
          <w:p w14:paraId="0C1B4D7C" w14:textId="77777777" w:rsidR="00554F3E" w:rsidRPr="003F1B26" w:rsidRDefault="00554F3E" w:rsidP="00D76D28">
            <w:pPr>
              <w:jc w:val="center"/>
              <w:rPr>
                <w:rFonts w:cstheme="minorHAnsi"/>
                <w:sz w:val="18"/>
                <w:szCs w:val="18"/>
                <w:lang w:val="fr-CA"/>
              </w:rPr>
            </w:pPr>
            <w:r w:rsidRPr="00D4649B">
              <w:rPr>
                <w:rFonts w:cstheme="minorHAnsi"/>
                <w:b/>
                <w:bCs/>
                <w:sz w:val="18"/>
                <w:szCs w:val="18"/>
              </w:rPr>
              <w:t>5.Establishing evidence foundation for and rating strength of recommendations</w:t>
            </w:r>
          </w:p>
        </w:tc>
        <w:tc>
          <w:tcPr>
            <w:tcW w:w="1559" w:type="dxa"/>
            <w:shd w:val="clear" w:color="auto" w:fill="FFFFFF" w:themeFill="background1"/>
          </w:tcPr>
          <w:p w14:paraId="0E783D41" w14:textId="77777777" w:rsidR="00554F3E" w:rsidRPr="00D4649B" w:rsidRDefault="00554F3E" w:rsidP="00D76D28">
            <w:pPr>
              <w:rPr>
                <w:rFonts w:cstheme="minorHAnsi"/>
                <w:b/>
                <w:bCs/>
                <w:sz w:val="18"/>
                <w:szCs w:val="18"/>
              </w:rPr>
            </w:pPr>
            <w:r w:rsidRPr="00D4649B">
              <w:rPr>
                <w:rFonts w:cstheme="minorHAnsi"/>
                <w:b/>
                <w:bCs/>
                <w:sz w:val="18"/>
                <w:szCs w:val="18"/>
              </w:rPr>
              <w:t>6.Articulatoin</w:t>
            </w:r>
          </w:p>
          <w:p w14:paraId="35D2AAB9" w14:textId="77777777" w:rsidR="00554F3E" w:rsidRPr="003F1B26" w:rsidRDefault="00554F3E" w:rsidP="00D76D28">
            <w:pPr>
              <w:jc w:val="center"/>
              <w:rPr>
                <w:rFonts w:cstheme="minorHAnsi"/>
                <w:sz w:val="18"/>
                <w:szCs w:val="18"/>
                <w:lang w:val="fr-CA"/>
              </w:rPr>
            </w:pPr>
            <w:r w:rsidRPr="00D4649B">
              <w:rPr>
                <w:rFonts w:cstheme="minorHAnsi"/>
                <w:b/>
                <w:bCs/>
                <w:sz w:val="18"/>
                <w:szCs w:val="18"/>
              </w:rPr>
              <w:t xml:space="preserve"> of recommendation</w:t>
            </w:r>
          </w:p>
        </w:tc>
        <w:tc>
          <w:tcPr>
            <w:tcW w:w="1276" w:type="dxa"/>
            <w:shd w:val="clear" w:color="auto" w:fill="FFFFFF" w:themeFill="background1"/>
          </w:tcPr>
          <w:p w14:paraId="6DEC5951" w14:textId="77777777" w:rsidR="00554F3E" w:rsidRPr="003F1B26" w:rsidRDefault="00554F3E" w:rsidP="00D76D28">
            <w:pPr>
              <w:jc w:val="center"/>
              <w:rPr>
                <w:rFonts w:cstheme="minorHAnsi"/>
                <w:sz w:val="18"/>
                <w:szCs w:val="18"/>
                <w:lang w:val="fr-CA"/>
              </w:rPr>
            </w:pPr>
            <w:r w:rsidRPr="00D4649B">
              <w:rPr>
                <w:rFonts w:cstheme="minorHAnsi"/>
                <w:b/>
                <w:bCs/>
                <w:sz w:val="18"/>
                <w:szCs w:val="18"/>
              </w:rPr>
              <w:t>7.External review</w:t>
            </w:r>
          </w:p>
        </w:tc>
        <w:tc>
          <w:tcPr>
            <w:tcW w:w="992" w:type="dxa"/>
            <w:shd w:val="clear" w:color="auto" w:fill="FFFFFF" w:themeFill="background1"/>
          </w:tcPr>
          <w:p w14:paraId="1F2B57A9" w14:textId="77777777" w:rsidR="00554F3E" w:rsidRPr="00D4649B" w:rsidRDefault="00554F3E" w:rsidP="00D76D28">
            <w:pPr>
              <w:rPr>
                <w:rFonts w:cstheme="minorHAnsi"/>
                <w:b/>
                <w:bCs/>
                <w:sz w:val="18"/>
                <w:szCs w:val="18"/>
              </w:rPr>
            </w:pPr>
            <w:r w:rsidRPr="00D4649B">
              <w:rPr>
                <w:rFonts w:cstheme="minorHAnsi"/>
                <w:b/>
                <w:bCs/>
                <w:sz w:val="18"/>
                <w:szCs w:val="18"/>
              </w:rPr>
              <w:t>8.</w:t>
            </w:r>
          </w:p>
          <w:p w14:paraId="5CCEC323" w14:textId="77777777" w:rsidR="00554F3E" w:rsidRPr="003F1B26" w:rsidRDefault="00554F3E" w:rsidP="00D76D28">
            <w:pPr>
              <w:jc w:val="center"/>
              <w:rPr>
                <w:rFonts w:cstheme="minorHAnsi"/>
                <w:sz w:val="18"/>
                <w:szCs w:val="18"/>
                <w:lang w:val="fr-CA"/>
              </w:rPr>
            </w:pPr>
            <w:r w:rsidRPr="00D4649B">
              <w:rPr>
                <w:rFonts w:cstheme="minorHAnsi"/>
                <w:b/>
                <w:bCs/>
                <w:sz w:val="18"/>
                <w:szCs w:val="18"/>
              </w:rPr>
              <w:t>Updating</w:t>
            </w:r>
          </w:p>
        </w:tc>
        <w:tc>
          <w:tcPr>
            <w:tcW w:w="842" w:type="dxa"/>
            <w:shd w:val="clear" w:color="auto" w:fill="FFFFFF" w:themeFill="background1"/>
          </w:tcPr>
          <w:p w14:paraId="03210044" w14:textId="77777777" w:rsidR="00554F3E" w:rsidRPr="00D4649B" w:rsidRDefault="00554F3E" w:rsidP="00D76D28">
            <w:pPr>
              <w:rPr>
                <w:rFonts w:cstheme="minorHAnsi"/>
                <w:b/>
                <w:bCs/>
                <w:sz w:val="18"/>
                <w:szCs w:val="18"/>
              </w:rPr>
            </w:pPr>
            <w:r w:rsidRPr="00D4649B">
              <w:rPr>
                <w:rFonts w:cstheme="minorHAnsi"/>
                <w:b/>
                <w:bCs/>
                <w:sz w:val="18"/>
                <w:szCs w:val="18"/>
              </w:rPr>
              <w:t>Total</w:t>
            </w:r>
          </w:p>
          <w:p w14:paraId="2413EF6C" w14:textId="77777777" w:rsidR="00554F3E" w:rsidRPr="003F1B26" w:rsidRDefault="00554F3E" w:rsidP="00D76D28">
            <w:pPr>
              <w:jc w:val="center"/>
              <w:rPr>
                <w:rFonts w:cstheme="minorHAnsi"/>
                <w:sz w:val="18"/>
                <w:szCs w:val="18"/>
                <w:lang w:val="fr-CA"/>
              </w:rPr>
            </w:pPr>
            <w:r w:rsidRPr="00D4649B">
              <w:rPr>
                <w:rFonts w:cstheme="minorHAnsi"/>
                <w:b/>
                <w:bCs/>
                <w:sz w:val="18"/>
                <w:szCs w:val="18"/>
              </w:rPr>
              <w:t>Score/8</w:t>
            </w:r>
          </w:p>
        </w:tc>
        <w:tc>
          <w:tcPr>
            <w:tcW w:w="851" w:type="dxa"/>
            <w:shd w:val="clear" w:color="auto" w:fill="FFFFFF" w:themeFill="background1"/>
          </w:tcPr>
          <w:p w14:paraId="2BD4B6FD" w14:textId="77777777" w:rsidR="00554F3E" w:rsidRPr="00D4649B" w:rsidRDefault="00554F3E" w:rsidP="00D76D28">
            <w:pPr>
              <w:rPr>
                <w:rFonts w:cstheme="minorHAnsi"/>
                <w:b/>
                <w:bCs/>
                <w:sz w:val="18"/>
                <w:szCs w:val="18"/>
              </w:rPr>
            </w:pPr>
            <w:r w:rsidRPr="00D4649B">
              <w:rPr>
                <w:rFonts w:cstheme="minorHAnsi"/>
                <w:b/>
                <w:bCs/>
                <w:sz w:val="18"/>
                <w:szCs w:val="18"/>
              </w:rPr>
              <w:t>High</w:t>
            </w:r>
          </w:p>
          <w:p w14:paraId="1A7CCD99" w14:textId="77777777" w:rsidR="00554F3E" w:rsidRPr="00CE2565" w:rsidRDefault="00554F3E" w:rsidP="00D76D28">
            <w:pPr>
              <w:jc w:val="center"/>
              <w:rPr>
                <w:rFonts w:cstheme="minorHAnsi"/>
                <w:sz w:val="18"/>
                <w:szCs w:val="18"/>
              </w:rPr>
            </w:pPr>
            <w:r w:rsidRPr="00D4649B">
              <w:rPr>
                <w:rFonts w:cstheme="minorHAnsi"/>
                <w:b/>
                <w:bCs/>
                <w:sz w:val="18"/>
                <w:szCs w:val="18"/>
              </w:rPr>
              <w:t>Quality</w:t>
            </w:r>
          </w:p>
        </w:tc>
      </w:tr>
      <w:tr w:rsidR="00554F3E" w:rsidRPr="000926D0" w14:paraId="559FC18B" w14:textId="77777777" w:rsidTr="00D76D28">
        <w:tc>
          <w:tcPr>
            <w:tcW w:w="1853" w:type="dxa"/>
            <w:shd w:val="clear" w:color="auto" w:fill="D9D9D9" w:themeFill="background1" w:themeFillShade="D9"/>
          </w:tcPr>
          <w:p w14:paraId="22CF480A" w14:textId="77777777" w:rsidR="00554F3E" w:rsidRPr="003F1B26" w:rsidRDefault="00554F3E" w:rsidP="00D76D28">
            <w:pPr>
              <w:rPr>
                <w:b/>
                <w:bCs/>
                <w:sz w:val="18"/>
                <w:szCs w:val="18"/>
                <w:lang w:val="fr-CA"/>
              </w:rPr>
            </w:pPr>
            <w:r w:rsidRPr="00D4649B">
              <w:rPr>
                <w:b/>
                <w:bCs/>
                <w:sz w:val="18"/>
                <w:szCs w:val="18"/>
              </w:rPr>
              <w:t xml:space="preserve">South Africa guidelines 2010 </w:t>
            </w:r>
            <w:r w:rsidRPr="00D4649B">
              <w:rPr>
                <w:b/>
                <w:bCs/>
                <w:sz w:val="18"/>
                <w:szCs w:val="18"/>
              </w:rPr>
              <w:fldChar w:fldCharType="begin" w:fldLock="1"/>
            </w:r>
            <w:r>
              <w:rPr>
                <w:b/>
                <w:bCs/>
                <w:sz w:val="18"/>
                <w:szCs w:val="18"/>
              </w:rPr>
              <w:instrText>ADDIN CSL_CITATION { "citationItems" : [ { "id" : "ITEM-1", "itemData" : { "author" : [ { "dropping-particle" : "", "family" : "Hough", "given" : "Stephen", "non-dropping-particle" : "", "parse-names" : false, "suffix" : "" }, { "dropping-particle" : "", "family" : "Ascott-Evans", "given" : "Brynne H", "non-dropping-particle" : "", "parse-names" : false, "suffix" : "" }, { "dropping-particle" : "", "family" : "Brown", "given" : "Susan L", "non-dropping-particle" : "", "parse-names" : false, "suffix" : "" }, { "dropping-particle" : "", "family" : "Cassim", "given" : "Bilkish", "non-dropping-particle" : "", "parse-names" : false, "suffix" : "" }, { "dropping-particle" : "", "family" : "Villiers", "given" : "Tobie J", "non-dropping-particle" : "De", "parse-names" : false, "suffix" : "" }, { "dropping-particle" : "", "family" : "Lipschitz", "given" : "Stan", "non-dropping-particle" : "", "parse-names" : false, "suffix" : "" }, { "dropping-particle" : "", "family" : "Pettifor", "given" : "John M", "non-dropping-particle" : "", "parse-names" : false, "suffix" : "" }, { "dropping-particle" : "", "family" : "Sonnendecker", "given" : "Ernst Ww", "non-dropping-particle" : "", "parse-names" : false, "suffix" : "" } ], "container-title" : "JEMDSA", "id" : "ITEM-1", "issue" : "3 (supplement 1)", "issued" : { "date-parts" : [ [ "2010" ] ] }, "page" : "1-200", "title" : "NOFSA Guideline for the Diagnosis and Management of Osteoporosis", "type" : "article-journal", "volume" : "15" }, "uris" : [ "http://www.mendeley.com/documents/?uuid=ddef52b2-6427-3853-9ab8-9ec5b4ae2f93" ] } ], "mendeley" : { "formattedCitation" : "&lt;sup&gt;62&lt;/sup&gt;", "plainTextFormattedCitation" : "62", "previouslyFormattedCitation" : "&lt;sup&gt;62&lt;/sup&gt;" }, "properties" : {  }, "schema" : "https://github.com/citation-style-language/schema/raw/master/csl-citation.json" }</w:instrText>
            </w:r>
            <w:r w:rsidRPr="00D4649B">
              <w:rPr>
                <w:b/>
                <w:bCs/>
                <w:sz w:val="18"/>
                <w:szCs w:val="18"/>
              </w:rPr>
              <w:fldChar w:fldCharType="separate"/>
            </w:r>
            <w:r w:rsidRPr="00C6554C">
              <w:rPr>
                <w:bCs/>
                <w:noProof/>
                <w:sz w:val="18"/>
                <w:szCs w:val="18"/>
                <w:vertAlign w:val="superscript"/>
              </w:rPr>
              <w:t>62</w:t>
            </w:r>
            <w:r w:rsidRPr="00D4649B">
              <w:rPr>
                <w:b/>
                <w:bCs/>
                <w:sz w:val="18"/>
                <w:szCs w:val="18"/>
              </w:rPr>
              <w:fldChar w:fldCharType="end"/>
            </w:r>
          </w:p>
        </w:tc>
        <w:tc>
          <w:tcPr>
            <w:tcW w:w="1275" w:type="dxa"/>
            <w:shd w:val="clear" w:color="auto" w:fill="D9D9D9" w:themeFill="background1" w:themeFillShade="D9"/>
          </w:tcPr>
          <w:p w14:paraId="050B5DCF" w14:textId="77777777" w:rsidR="00554F3E" w:rsidRPr="003F1B26" w:rsidRDefault="00554F3E" w:rsidP="00D76D28">
            <w:pPr>
              <w:jc w:val="center"/>
              <w:rPr>
                <w:rFonts w:cstheme="minorHAnsi"/>
                <w:sz w:val="18"/>
                <w:szCs w:val="18"/>
                <w:lang w:val="fr-CA"/>
              </w:rPr>
            </w:pPr>
            <w:r w:rsidRPr="00CE2565">
              <w:rPr>
                <w:rFonts w:cstheme="minorHAnsi"/>
                <w:sz w:val="18"/>
                <w:szCs w:val="18"/>
              </w:rPr>
              <w:t>Y</w:t>
            </w:r>
          </w:p>
        </w:tc>
        <w:tc>
          <w:tcPr>
            <w:tcW w:w="1560" w:type="dxa"/>
            <w:shd w:val="clear" w:color="auto" w:fill="D9D9D9" w:themeFill="background1" w:themeFillShade="D9"/>
          </w:tcPr>
          <w:p w14:paraId="201A8E31" w14:textId="77777777" w:rsidR="00554F3E" w:rsidRPr="003F1B26" w:rsidRDefault="00554F3E" w:rsidP="00D76D28">
            <w:pPr>
              <w:jc w:val="center"/>
              <w:rPr>
                <w:rFonts w:cstheme="minorHAnsi"/>
                <w:sz w:val="18"/>
                <w:szCs w:val="18"/>
                <w:lang w:val="fr-CA"/>
              </w:rPr>
            </w:pPr>
            <w:r w:rsidRPr="00CE2565">
              <w:rPr>
                <w:rFonts w:cstheme="minorHAnsi"/>
                <w:sz w:val="18"/>
                <w:szCs w:val="18"/>
              </w:rPr>
              <w:t>N</w:t>
            </w:r>
          </w:p>
        </w:tc>
        <w:tc>
          <w:tcPr>
            <w:tcW w:w="1275" w:type="dxa"/>
            <w:shd w:val="clear" w:color="auto" w:fill="D9D9D9" w:themeFill="background1" w:themeFillShade="D9"/>
          </w:tcPr>
          <w:p w14:paraId="35CDA5EC" w14:textId="77777777" w:rsidR="00554F3E" w:rsidRPr="003F1B26" w:rsidRDefault="00554F3E" w:rsidP="00D76D28">
            <w:pPr>
              <w:jc w:val="center"/>
              <w:rPr>
                <w:rFonts w:cstheme="minorHAnsi"/>
                <w:sz w:val="18"/>
                <w:szCs w:val="18"/>
                <w:lang w:val="fr-CA"/>
              </w:rPr>
            </w:pPr>
            <w:r w:rsidRPr="00CE2565">
              <w:rPr>
                <w:rFonts w:cstheme="minorHAnsi"/>
                <w:sz w:val="18"/>
                <w:szCs w:val="18"/>
              </w:rPr>
              <w:t>Y</w:t>
            </w:r>
          </w:p>
        </w:tc>
        <w:tc>
          <w:tcPr>
            <w:tcW w:w="1701" w:type="dxa"/>
            <w:shd w:val="clear" w:color="auto" w:fill="D9D9D9" w:themeFill="background1" w:themeFillShade="D9"/>
          </w:tcPr>
          <w:p w14:paraId="2D632A73" w14:textId="77777777" w:rsidR="00554F3E" w:rsidRPr="003F1B26" w:rsidRDefault="00554F3E" w:rsidP="00D76D28">
            <w:pPr>
              <w:jc w:val="center"/>
              <w:rPr>
                <w:rFonts w:cstheme="minorHAnsi"/>
                <w:sz w:val="18"/>
                <w:szCs w:val="18"/>
                <w:lang w:val="fr-CA"/>
              </w:rPr>
            </w:pPr>
            <w:r w:rsidRPr="00CE2565">
              <w:rPr>
                <w:rFonts w:cstheme="minorHAnsi"/>
                <w:sz w:val="18"/>
                <w:szCs w:val="18"/>
              </w:rPr>
              <w:t>Y</w:t>
            </w:r>
          </w:p>
        </w:tc>
        <w:tc>
          <w:tcPr>
            <w:tcW w:w="1843" w:type="dxa"/>
            <w:shd w:val="clear" w:color="auto" w:fill="D9D9D9" w:themeFill="background1" w:themeFillShade="D9"/>
          </w:tcPr>
          <w:p w14:paraId="50603DD7" w14:textId="77777777" w:rsidR="00554F3E" w:rsidRPr="003F1B26" w:rsidRDefault="00554F3E" w:rsidP="00D76D28">
            <w:pPr>
              <w:jc w:val="center"/>
              <w:rPr>
                <w:rFonts w:cstheme="minorHAnsi"/>
                <w:sz w:val="18"/>
                <w:szCs w:val="18"/>
                <w:lang w:val="fr-CA"/>
              </w:rPr>
            </w:pPr>
            <w:r w:rsidRPr="00CE2565">
              <w:rPr>
                <w:rFonts w:cstheme="minorHAnsi"/>
                <w:sz w:val="18"/>
                <w:szCs w:val="18"/>
              </w:rPr>
              <w:t>Y</w:t>
            </w:r>
          </w:p>
        </w:tc>
        <w:tc>
          <w:tcPr>
            <w:tcW w:w="1559" w:type="dxa"/>
            <w:shd w:val="clear" w:color="auto" w:fill="D9D9D9" w:themeFill="background1" w:themeFillShade="D9"/>
          </w:tcPr>
          <w:p w14:paraId="17314690" w14:textId="77777777" w:rsidR="00554F3E" w:rsidRPr="003F1B26" w:rsidRDefault="00554F3E" w:rsidP="00D76D28">
            <w:pPr>
              <w:jc w:val="center"/>
              <w:rPr>
                <w:rFonts w:cstheme="minorHAnsi"/>
                <w:sz w:val="18"/>
                <w:szCs w:val="18"/>
                <w:lang w:val="fr-CA"/>
              </w:rPr>
            </w:pPr>
            <w:r w:rsidRPr="00CE2565">
              <w:rPr>
                <w:rFonts w:cstheme="minorHAnsi"/>
                <w:sz w:val="18"/>
                <w:szCs w:val="18"/>
              </w:rPr>
              <w:t>Y</w:t>
            </w:r>
          </w:p>
        </w:tc>
        <w:tc>
          <w:tcPr>
            <w:tcW w:w="1276" w:type="dxa"/>
            <w:shd w:val="clear" w:color="auto" w:fill="D9D9D9" w:themeFill="background1" w:themeFillShade="D9"/>
          </w:tcPr>
          <w:p w14:paraId="586CB38A" w14:textId="77777777" w:rsidR="00554F3E" w:rsidRPr="003F1B26" w:rsidRDefault="00554F3E" w:rsidP="00D76D28">
            <w:pPr>
              <w:jc w:val="center"/>
              <w:rPr>
                <w:rFonts w:cstheme="minorHAnsi"/>
                <w:sz w:val="18"/>
                <w:szCs w:val="18"/>
                <w:lang w:val="fr-CA"/>
              </w:rPr>
            </w:pPr>
            <w:r w:rsidRPr="00CE2565">
              <w:rPr>
                <w:rFonts w:cstheme="minorHAnsi"/>
                <w:sz w:val="18"/>
                <w:szCs w:val="18"/>
              </w:rPr>
              <w:t>N</w:t>
            </w:r>
          </w:p>
        </w:tc>
        <w:tc>
          <w:tcPr>
            <w:tcW w:w="992" w:type="dxa"/>
            <w:shd w:val="clear" w:color="auto" w:fill="D9D9D9" w:themeFill="background1" w:themeFillShade="D9"/>
          </w:tcPr>
          <w:p w14:paraId="5D309BEF" w14:textId="77777777" w:rsidR="00554F3E" w:rsidRPr="003F1B26" w:rsidRDefault="00554F3E" w:rsidP="00D76D28">
            <w:pPr>
              <w:jc w:val="center"/>
              <w:rPr>
                <w:rFonts w:cstheme="minorHAnsi"/>
                <w:sz w:val="18"/>
                <w:szCs w:val="18"/>
                <w:lang w:val="fr-CA"/>
              </w:rPr>
            </w:pPr>
            <w:r w:rsidRPr="00CE2565">
              <w:rPr>
                <w:rFonts w:cstheme="minorHAnsi"/>
                <w:sz w:val="18"/>
                <w:szCs w:val="18"/>
              </w:rPr>
              <w:t>N</w:t>
            </w:r>
          </w:p>
        </w:tc>
        <w:tc>
          <w:tcPr>
            <w:tcW w:w="842" w:type="dxa"/>
            <w:shd w:val="clear" w:color="auto" w:fill="D9D9D9" w:themeFill="background1" w:themeFillShade="D9"/>
          </w:tcPr>
          <w:p w14:paraId="2CDB01C2" w14:textId="77777777" w:rsidR="00554F3E" w:rsidRPr="003F1B26" w:rsidRDefault="00554F3E" w:rsidP="00D76D28">
            <w:pPr>
              <w:jc w:val="center"/>
              <w:rPr>
                <w:rFonts w:cstheme="minorHAnsi"/>
                <w:sz w:val="18"/>
                <w:szCs w:val="18"/>
                <w:lang w:val="fr-CA"/>
              </w:rPr>
            </w:pPr>
            <w:r>
              <w:rPr>
                <w:rFonts w:cstheme="minorHAnsi"/>
                <w:sz w:val="18"/>
                <w:szCs w:val="18"/>
              </w:rPr>
              <w:t>5</w:t>
            </w:r>
          </w:p>
        </w:tc>
        <w:tc>
          <w:tcPr>
            <w:tcW w:w="851" w:type="dxa"/>
            <w:shd w:val="clear" w:color="auto" w:fill="D9D9D9" w:themeFill="background1" w:themeFillShade="D9"/>
          </w:tcPr>
          <w:p w14:paraId="68DF3276" w14:textId="77777777" w:rsidR="00554F3E" w:rsidRPr="00CE2565" w:rsidRDefault="00554F3E" w:rsidP="00D76D28">
            <w:pPr>
              <w:jc w:val="center"/>
              <w:rPr>
                <w:rFonts w:cstheme="minorHAnsi"/>
                <w:sz w:val="18"/>
                <w:szCs w:val="18"/>
              </w:rPr>
            </w:pPr>
            <w:r w:rsidRPr="00CE2565">
              <w:rPr>
                <w:rFonts w:cstheme="minorHAnsi"/>
                <w:sz w:val="18"/>
                <w:szCs w:val="18"/>
              </w:rPr>
              <w:sym w:font="Wingdings" w:char="F0FC"/>
            </w:r>
          </w:p>
        </w:tc>
      </w:tr>
      <w:tr w:rsidR="00554F3E" w:rsidRPr="000926D0" w14:paraId="63C6EDF6" w14:textId="77777777" w:rsidTr="00D76D28">
        <w:tc>
          <w:tcPr>
            <w:tcW w:w="1853" w:type="dxa"/>
            <w:shd w:val="clear" w:color="auto" w:fill="FFFFFF" w:themeFill="background1"/>
          </w:tcPr>
          <w:p w14:paraId="6CD0C1D1" w14:textId="77777777" w:rsidR="00554F3E" w:rsidRPr="00D4649B" w:rsidRDefault="00554F3E" w:rsidP="00D76D28">
            <w:pPr>
              <w:rPr>
                <w:b/>
                <w:bCs/>
                <w:sz w:val="18"/>
                <w:szCs w:val="18"/>
              </w:rPr>
            </w:pPr>
            <w:r w:rsidRPr="00D4649B">
              <w:rPr>
                <w:b/>
                <w:bCs/>
                <w:sz w:val="18"/>
                <w:szCs w:val="18"/>
              </w:rPr>
              <w:t xml:space="preserve">Greece National Medicine Agency 2011 </w:t>
            </w:r>
            <w:r w:rsidRPr="00D4649B">
              <w:rPr>
                <w:b/>
                <w:bCs/>
                <w:sz w:val="18"/>
                <w:szCs w:val="18"/>
              </w:rPr>
              <w:fldChar w:fldCharType="begin" w:fldLock="1"/>
            </w:r>
            <w:r>
              <w:rPr>
                <w:b/>
                <w:bCs/>
                <w:sz w:val="18"/>
                <w:szCs w:val="18"/>
              </w:rPr>
              <w:instrText>ADDIN CSL_CITATION { "citationItems" : [ { "id" : "ITEM-1", "itemData" : { "ISSN" : "1108-7161", "PMID" : "22373950", "author" : [ { "dropping-particle" : "", "family" : "Makras", "given" : "P", "non-dropping-particle" : "", "parse-names" : false, "suffix" : "" }, { "dropping-particle" : "", "family" : "Vaiopoulos", "given" : "G", "non-dropping-particle" : "", "parse-names" : false, "suffix" : "" }, { "dropping-particle" : "", "family" : "Lyritis", "given" : "G P", "non-dropping-particle" : "", "parse-names" : false, "suffix" : "" }, { "dropping-particle" : "", "family" : "Greek National Medicine Agency", "given" : "", "non-dropping-particle" : "", "parse-names" : false, "suffix" : "" } ], "container-title" : "Journal of musculoskeletal &amp; neuronal interactions", "id" : "ITEM-1", "issue" : "1", "issued" : { "date-parts" : [ [ "2012", "3" ] ] }, "page" : "38-42", "title" : "2011 guidelines for the diagnosis and treatment of osteoporosis in Greece.", "type" : "article-journal", "volume" : "12" }, "uris" : [ "http://www.mendeley.com/documents/?uuid=93f4d236-95d9-3e63-9660-0217673e9bcf" ] } ], "mendeley" : { "formattedCitation" : "&lt;sup&gt;63&lt;/sup&gt;", "plainTextFormattedCitation" : "63", "previouslyFormattedCitation" : "&lt;sup&gt;63&lt;/sup&gt;" }, "properties" : {  }, "schema" : "https://github.com/citation-style-language/schema/raw/master/csl-citation.json" }</w:instrText>
            </w:r>
            <w:r w:rsidRPr="00D4649B">
              <w:rPr>
                <w:b/>
                <w:bCs/>
                <w:sz w:val="18"/>
                <w:szCs w:val="18"/>
              </w:rPr>
              <w:fldChar w:fldCharType="separate"/>
            </w:r>
            <w:r w:rsidRPr="00C6554C">
              <w:rPr>
                <w:bCs/>
                <w:noProof/>
                <w:sz w:val="18"/>
                <w:szCs w:val="18"/>
                <w:vertAlign w:val="superscript"/>
              </w:rPr>
              <w:t>63</w:t>
            </w:r>
            <w:r w:rsidRPr="00D4649B">
              <w:rPr>
                <w:b/>
                <w:bCs/>
                <w:sz w:val="18"/>
                <w:szCs w:val="18"/>
              </w:rPr>
              <w:fldChar w:fldCharType="end"/>
            </w:r>
          </w:p>
        </w:tc>
        <w:tc>
          <w:tcPr>
            <w:tcW w:w="1275" w:type="dxa"/>
            <w:shd w:val="clear" w:color="auto" w:fill="FFFFFF" w:themeFill="background1"/>
          </w:tcPr>
          <w:p w14:paraId="1FA86457" w14:textId="77777777" w:rsidR="00554F3E" w:rsidRPr="00CE2565" w:rsidRDefault="00554F3E" w:rsidP="00D76D28">
            <w:pPr>
              <w:jc w:val="center"/>
              <w:rPr>
                <w:rFonts w:cstheme="minorHAnsi"/>
                <w:sz w:val="18"/>
                <w:szCs w:val="18"/>
              </w:rPr>
            </w:pPr>
            <w:r w:rsidRPr="000B4DF4">
              <w:rPr>
                <w:rFonts w:cstheme="minorHAnsi"/>
                <w:sz w:val="18"/>
                <w:szCs w:val="18"/>
              </w:rPr>
              <w:t>N</w:t>
            </w:r>
          </w:p>
        </w:tc>
        <w:tc>
          <w:tcPr>
            <w:tcW w:w="1560" w:type="dxa"/>
            <w:shd w:val="clear" w:color="auto" w:fill="FFFFFF" w:themeFill="background1"/>
          </w:tcPr>
          <w:p w14:paraId="1A1E295C" w14:textId="77777777" w:rsidR="00554F3E" w:rsidRPr="00CE2565" w:rsidRDefault="00554F3E" w:rsidP="00D76D28">
            <w:pPr>
              <w:jc w:val="center"/>
              <w:rPr>
                <w:rFonts w:cstheme="minorHAnsi"/>
                <w:sz w:val="18"/>
                <w:szCs w:val="18"/>
              </w:rPr>
            </w:pPr>
            <w:r w:rsidRPr="000B4DF4">
              <w:rPr>
                <w:rFonts w:cstheme="minorHAnsi"/>
                <w:sz w:val="18"/>
                <w:szCs w:val="18"/>
              </w:rPr>
              <w:t>N</w:t>
            </w:r>
          </w:p>
        </w:tc>
        <w:tc>
          <w:tcPr>
            <w:tcW w:w="1275" w:type="dxa"/>
            <w:shd w:val="clear" w:color="auto" w:fill="FFFFFF" w:themeFill="background1"/>
          </w:tcPr>
          <w:p w14:paraId="12257A67" w14:textId="77777777" w:rsidR="00554F3E" w:rsidRPr="00CE2565" w:rsidRDefault="00554F3E" w:rsidP="00D76D28">
            <w:pPr>
              <w:jc w:val="center"/>
              <w:rPr>
                <w:rFonts w:cstheme="minorHAnsi"/>
                <w:sz w:val="18"/>
                <w:szCs w:val="18"/>
              </w:rPr>
            </w:pPr>
            <w:r w:rsidRPr="000B4DF4">
              <w:rPr>
                <w:rFonts w:cstheme="minorHAnsi"/>
                <w:sz w:val="18"/>
                <w:szCs w:val="18"/>
              </w:rPr>
              <w:t>N</w:t>
            </w:r>
          </w:p>
        </w:tc>
        <w:tc>
          <w:tcPr>
            <w:tcW w:w="1701" w:type="dxa"/>
            <w:shd w:val="clear" w:color="auto" w:fill="FFFFFF" w:themeFill="background1"/>
          </w:tcPr>
          <w:p w14:paraId="42D57BF0" w14:textId="77777777" w:rsidR="00554F3E" w:rsidRPr="00CE2565" w:rsidRDefault="00554F3E" w:rsidP="00D76D28">
            <w:pPr>
              <w:jc w:val="center"/>
              <w:rPr>
                <w:rFonts w:cstheme="minorHAnsi"/>
                <w:sz w:val="18"/>
                <w:szCs w:val="18"/>
              </w:rPr>
            </w:pPr>
            <w:r w:rsidRPr="000B4DF4">
              <w:rPr>
                <w:rFonts w:cstheme="minorHAnsi"/>
                <w:sz w:val="18"/>
                <w:szCs w:val="18"/>
              </w:rPr>
              <w:t>N</w:t>
            </w:r>
          </w:p>
        </w:tc>
        <w:tc>
          <w:tcPr>
            <w:tcW w:w="1843" w:type="dxa"/>
            <w:shd w:val="clear" w:color="auto" w:fill="FFFFFF" w:themeFill="background1"/>
          </w:tcPr>
          <w:p w14:paraId="13007AB6" w14:textId="77777777" w:rsidR="00554F3E" w:rsidRPr="00CE2565" w:rsidRDefault="00554F3E" w:rsidP="00D76D28">
            <w:pPr>
              <w:jc w:val="center"/>
              <w:rPr>
                <w:rFonts w:cstheme="minorHAnsi"/>
                <w:sz w:val="18"/>
                <w:szCs w:val="18"/>
              </w:rPr>
            </w:pPr>
            <w:r w:rsidRPr="000B4DF4">
              <w:rPr>
                <w:rFonts w:cstheme="minorHAnsi"/>
                <w:sz w:val="18"/>
                <w:szCs w:val="18"/>
              </w:rPr>
              <w:t>N</w:t>
            </w:r>
          </w:p>
        </w:tc>
        <w:tc>
          <w:tcPr>
            <w:tcW w:w="1559" w:type="dxa"/>
            <w:shd w:val="clear" w:color="auto" w:fill="FFFFFF" w:themeFill="background1"/>
          </w:tcPr>
          <w:p w14:paraId="14704766" w14:textId="77777777" w:rsidR="00554F3E" w:rsidRPr="00CE2565" w:rsidRDefault="00554F3E" w:rsidP="00D76D28">
            <w:pPr>
              <w:jc w:val="center"/>
              <w:rPr>
                <w:rFonts w:cstheme="minorHAnsi"/>
                <w:sz w:val="18"/>
                <w:szCs w:val="18"/>
              </w:rPr>
            </w:pPr>
            <w:r w:rsidRPr="000B4DF4">
              <w:rPr>
                <w:rFonts w:cstheme="minorHAnsi"/>
                <w:sz w:val="18"/>
                <w:szCs w:val="18"/>
              </w:rPr>
              <w:t>N</w:t>
            </w:r>
          </w:p>
        </w:tc>
        <w:tc>
          <w:tcPr>
            <w:tcW w:w="1276" w:type="dxa"/>
            <w:shd w:val="clear" w:color="auto" w:fill="FFFFFF" w:themeFill="background1"/>
          </w:tcPr>
          <w:p w14:paraId="326FDF22" w14:textId="77777777" w:rsidR="00554F3E" w:rsidRPr="00CE2565" w:rsidRDefault="00554F3E" w:rsidP="00D76D28">
            <w:pPr>
              <w:jc w:val="center"/>
              <w:rPr>
                <w:rFonts w:cstheme="minorHAnsi"/>
                <w:sz w:val="18"/>
                <w:szCs w:val="18"/>
              </w:rPr>
            </w:pPr>
            <w:r>
              <w:rPr>
                <w:rFonts w:cstheme="minorHAnsi"/>
                <w:sz w:val="18"/>
                <w:szCs w:val="18"/>
              </w:rPr>
              <w:t>N</w:t>
            </w:r>
          </w:p>
        </w:tc>
        <w:tc>
          <w:tcPr>
            <w:tcW w:w="992" w:type="dxa"/>
            <w:shd w:val="clear" w:color="auto" w:fill="FFFFFF" w:themeFill="background1"/>
          </w:tcPr>
          <w:p w14:paraId="08CFF558" w14:textId="77777777" w:rsidR="00554F3E" w:rsidRPr="00CE2565" w:rsidRDefault="00554F3E" w:rsidP="00D76D28">
            <w:pPr>
              <w:jc w:val="center"/>
              <w:rPr>
                <w:rFonts w:cstheme="minorHAnsi"/>
                <w:sz w:val="18"/>
                <w:szCs w:val="18"/>
              </w:rPr>
            </w:pPr>
            <w:r w:rsidRPr="000B4DF4">
              <w:rPr>
                <w:rFonts w:cstheme="minorHAnsi"/>
                <w:sz w:val="18"/>
                <w:szCs w:val="18"/>
              </w:rPr>
              <w:t>N</w:t>
            </w:r>
          </w:p>
        </w:tc>
        <w:tc>
          <w:tcPr>
            <w:tcW w:w="842" w:type="dxa"/>
            <w:shd w:val="clear" w:color="auto" w:fill="FFFFFF" w:themeFill="background1"/>
          </w:tcPr>
          <w:p w14:paraId="2D03EA37" w14:textId="77777777" w:rsidR="00554F3E" w:rsidRDefault="00554F3E" w:rsidP="00D76D28">
            <w:pPr>
              <w:jc w:val="center"/>
              <w:rPr>
                <w:rFonts w:cstheme="minorHAnsi"/>
                <w:sz w:val="18"/>
                <w:szCs w:val="18"/>
              </w:rPr>
            </w:pPr>
            <w:r>
              <w:rPr>
                <w:rFonts w:cstheme="minorHAnsi"/>
                <w:sz w:val="18"/>
                <w:szCs w:val="18"/>
              </w:rPr>
              <w:t>0</w:t>
            </w:r>
          </w:p>
        </w:tc>
        <w:tc>
          <w:tcPr>
            <w:tcW w:w="851" w:type="dxa"/>
            <w:shd w:val="clear" w:color="auto" w:fill="FFFFFF" w:themeFill="background1"/>
          </w:tcPr>
          <w:p w14:paraId="0A3D1122" w14:textId="77777777" w:rsidR="00554F3E" w:rsidRPr="00CE2565" w:rsidRDefault="00554F3E" w:rsidP="00D76D28">
            <w:pPr>
              <w:jc w:val="center"/>
              <w:rPr>
                <w:rFonts w:cstheme="minorHAnsi"/>
                <w:sz w:val="18"/>
                <w:szCs w:val="18"/>
              </w:rPr>
            </w:pPr>
          </w:p>
        </w:tc>
      </w:tr>
      <w:tr w:rsidR="00554F3E" w:rsidRPr="000926D0" w14:paraId="18AE93C2" w14:textId="77777777" w:rsidTr="00D76D28">
        <w:tc>
          <w:tcPr>
            <w:tcW w:w="1853" w:type="dxa"/>
            <w:shd w:val="clear" w:color="auto" w:fill="D9D9D9" w:themeFill="background1" w:themeFillShade="D9"/>
          </w:tcPr>
          <w:p w14:paraId="61A3E170" w14:textId="77777777" w:rsidR="00554F3E" w:rsidRPr="00D4649B" w:rsidRDefault="00554F3E" w:rsidP="00D76D28">
            <w:pPr>
              <w:rPr>
                <w:b/>
                <w:bCs/>
                <w:sz w:val="18"/>
                <w:szCs w:val="18"/>
              </w:rPr>
            </w:pPr>
            <w:r w:rsidRPr="00D4649B">
              <w:rPr>
                <w:b/>
                <w:bCs/>
                <w:sz w:val="18"/>
                <w:szCs w:val="18"/>
              </w:rPr>
              <w:t xml:space="preserve">USPSTF 2011 </w:t>
            </w:r>
            <w:r w:rsidRPr="00D4649B">
              <w:rPr>
                <w:b/>
                <w:bCs/>
                <w:sz w:val="18"/>
                <w:szCs w:val="18"/>
              </w:rPr>
              <w:fldChar w:fldCharType="begin" w:fldLock="1"/>
            </w:r>
            <w:r>
              <w:rPr>
                <w:b/>
                <w:bCs/>
                <w:sz w:val="18"/>
                <w:szCs w:val="18"/>
              </w:rPr>
              <w:instrText>ADDIN CSL_CITATION { "citationItems" : [ { "id" : "ITEM-1", "itemData" : { "DOI" : "10.7326/0003-4819-154-5-201103010-00307", "ISSN" : "0003-4819", "PMID" : "21242341", "abstract" : "DESCRIPTION Update of the 2002 U.S. Preventive Services Task Force (USPSTF) recommendation on screening for osteoporosis. METHODS The USPSTF evaluated evidence on the diagnostic accuracy of risk assessment instruments for osteoporosis and fractures, the performance of dual-energy x-ray absorptiometry and peripheral bone measurement tests in predicting fractures, the harms of screening for osteoporosis, and the benefits and harms of drug therapy for osteoporosis in women and men. RECOMMENDATIONS The USPSTF recommends screening for osteoporosis in women aged 65 years or older and in younger women whose fracture risk is equal to or greater than that of a 65-year-old white woman who has no additional risk factors. (Grade B recommendation) The USPSTF concludes that the current evidence is insufficient to assess the balance of benefits and harms of screening for osteoporosis in men. (I statement).", "author" : [ { "dropping-particle" : "", "family" : "U.S. Preventive Services Task Force", "given" : "", "non-dropping-particle" : "", "parse-names" : false, "suffix" : "" } ], "container-title" : "Annals of Internal Medicine", "id" : "ITEM-1", "issue" : "5", "issued" : { "date-parts" : [ [ "2011", "3", "1" ] ] }, "page" : "356", "title" : "Screening for Osteoporosis: U.S. Preventive Services Task Force Recommendation Statement", "type" : "article-journal", "volume" : "154" }, "uris" : [ "http://www.mendeley.com/documents/?uuid=196d74c8-6d60-3bd1-b0dd-0c7361e8af91" ] } ], "mendeley" : { "formattedCitation" : "&lt;sup&gt;64&lt;/sup&gt;", "plainTextFormattedCitation" : "64", "previouslyFormattedCitation" : "&lt;sup&gt;64&lt;/sup&gt;" }, "properties" : {  }, "schema" : "https://github.com/citation-style-language/schema/raw/master/csl-citation.json" }</w:instrText>
            </w:r>
            <w:r w:rsidRPr="00D4649B">
              <w:rPr>
                <w:b/>
                <w:bCs/>
                <w:sz w:val="18"/>
                <w:szCs w:val="18"/>
              </w:rPr>
              <w:fldChar w:fldCharType="separate"/>
            </w:r>
            <w:r w:rsidRPr="00C6554C">
              <w:rPr>
                <w:bCs/>
                <w:noProof/>
                <w:sz w:val="18"/>
                <w:szCs w:val="18"/>
                <w:vertAlign w:val="superscript"/>
              </w:rPr>
              <w:t>64</w:t>
            </w:r>
            <w:r w:rsidRPr="00D4649B">
              <w:rPr>
                <w:b/>
                <w:bCs/>
                <w:sz w:val="18"/>
                <w:szCs w:val="18"/>
              </w:rPr>
              <w:fldChar w:fldCharType="end"/>
            </w:r>
          </w:p>
          <w:p w14:paraId="670C752E" w14:textId="77777777" w:rsidR="00554F3E" w:rsidRPr="00D4649B" w:rsidRDefault="00554F3E" w:rsidP="00D76D28">
            <w:pPr>
              <w:rPr>
                <w:b/>
                <w:bCs/>
                <w:sz w:val="18"/>
                <w:szCs w:val="18"/>
              </w:rPr>
            </w:pPr>
          </w:p>
        </w:tc>
        <w:tc>
          <w:tcPr>
            <w:tcW w:w="1275" w:type="dxa"/>
            <w:shd w:val="clear" w:color="auto" w:fill="D9D9D9" w:themeFill="background1" w:themeFillShade="D9"/>
          </w:tcPr>
          <w:p w14:paraId="63F84A56"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60" w:type="dxa"/>
            <w:shd w:val="clear" w:color="auto" w:fill="D9D9D9" w:themeFill="background1" w:themeFillShade="D9"/>
          </w:tcPr>
          <w:p w14:paraId="4748C345"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shd w:val="clear" w:color="auto" w:fill="D9D9D9" w:themeFill="background1" w:themeFillShade="D9"/>
          </w:tcPr>
          <w:p w14:paraId="4D781BD6"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701" w:type="dxa"/>
            <w:shd w:val="clear" w:color="auto" w:fill="D9D9D9" w:themeFill="background1" w:themeFillShade="D9"/>
          </w:tcPr>
          <w:p w14:paraId="13D0BE8E"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843" w:type="dxa"/>
            <w:shd w:val="clear" w:color="auto" w:fill="D9D9D9" w:themeFill="background1" w:themeFillShade="D9"/>
          </w:tcPr>
          <w:p w14:paraId="4A2B10F2"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59" w:type="dxa"/>
            <w:shd w:val="clear" w:color="auto" w:fill="D9D9D9" w:themeFill="background1" w:themeFillShade="D9"/>
          </w:tcPr>
          <w:p w14:paraId="7135F911"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6" w:type="dxa"/>
            <w:shd w:val="clear" w:color="auto" w:fill="D9D9D9" w:themeFill="background1" w:themeFillShade="D9"/>
          </w:tcPr>
          <w:p w14:paraId="3EA0E342" w14:textId="77777777" w:rsidR="00554F3E" w:rsidRDefault="00554F3E" w:rsidP="00D76D28">
            <w:pPr>
              <w:jc w:val="center"/>
              <w:rPr>
                <w:rFonts w:cstheme="minorHAnsi"/>
                <w:sz w:val="18"/>
                <w:szCs w:val="18"/>
              </w:rPr>
            </w:pPr>
            <w:r>
              <w:rPr>
                <w:rFonts w:cstheme="minorHAnsi"/>
                <w:sz w:val="18"/>
                <w:szCs w:val="18"/>
              </w:rPr>
              <w:t xml:space="preserve">Y </w:t>
            </w:r>
          </w:p>
        </w:tc>
        <w:tc>
          <w:tcPr>
            <w:tcW w:w="992" w:type="dxa"/>
            <w:shd w:val="clear" w:color="auto" w:fill="D9D9D9" w:themeFill="background1" w:themeFillShade="D9"/>
          </w:tcPr>
          <w:p w14:paraId="3D3B2BF9"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842" w:type="dxa"/>
            <w:shd w:val="clear" w:color="auto" w:fill="D9D9D9" w:themeFill="background1" w:themeFillShade="D9"/>
          </w:tcPr>
          <w:p w14:paraId="2212D6DC" w14:textId="77777777" w:rsidR="00554F3E" w:rsidRDefault="00554F3E" w:rsidP="00D76D28">
            <w:pPr>
              <w:jc w:val="center"/>
              <w:rPr>
                <w:rFonts w:cstheme="minorHAnsi"/>
                <w:sz w:val="18"/>
                <w:szCs w:val="18"/>
              </w:rPr>
            </w:pPr>
            <w:r>
              <w:rPr>
                <w:rFonts w:cstheme="minorHAnsi"/>
                <w:sz w:val="18"/>
                <w:szCs w:val="18"/>
              </w:rPr>
              <w:t>6</w:t>
            </w:r>
          </w:p>
        </w:tc>
        <w:tc>
          <w:tcPr>
            <w:tcW w:w="851" w:type="dxa"/>
            <w:shd w:val="clear" w:color="auto" w:fill="D9D9D9" w:themeFill="background1" w:themeFillShade="D9"/>
          </w:tcPr>
          <w:p w14:paraId="47C982E0" w14:textId="77777777" w:rsidR="00554F3E" w:rsidRPr="00CE2565" w:rsidRDefault="00554F3E" w:rsidP="00D76D28">
            <w:pPr>
              <w:jc w:val="center"/>
              <w:rPr>
                <w:rFonts w:cstheme="minorHAnsi"/>
                <w:sz w:val="18"/>
                <w:szCs w:val="18"/>
              </w:rPr>
            </w:pPr>
            <w:r w:rsidRPr="000B4DF4">
              <w:rPr>
                <w:rFonts w:cstheme="minorHAnsi"/>
                <w:sz w:val="18"/>
                <w:szCs w:val="18"/>
              </w:rPr>
              <w:sym w:font="Wingdings" w:char="F0FC"/>
            </w:r>
          </w:p>
        </w:tc>
      </w:tr>
      <w:tr w:rsidR="00554F3E" w:rsidRPr="000926D0" w14:paraId="097EAA53" w14:textId="77777777" w:rsidTr="00D76D28">
        <w:tc>
          <w:tcPr>
            <w:tcW w:w="1853" w:type="dxa"/>
            <w:shd w:val="clear" w:color="auto" w:fill="D9D9D9" w:themeFill="background1" w:themeFillShade="D9"/>
          </w:tcPr>
          <w:p w14:paraId="7C673EC8" w14:textId="77777777" w:rsidR="00554F3E" w:rsidRPr="00D4649B" w:rsidRDefault="00554F3E" w:rsidP="00D76D28">
            <w:pPr>
              <w:rPr>
                <w:b/>
                <w:bCs/>
                <w:sz w:val="18"/>
                <w:szCs w:val="18"/>
              </w:rPr>
            </w:pPr>
            <w:r w:rsidRPr="00D4649B">
              <w:rPr>
                <w:rFonts w:asciiTheme="majorHAnsi" w:hAnsiTheme="majorHAnsi" w:cstheme="majorHAnsi"/>
                <w:b/>
                <w:bCs/>
                <w:sz w:val="18"/>
                <w:szCs w:val="18"/>
              </w:rPr>
              <w:t xml:space="preserve">University of Michigan Health System Guideline 2011 </w:t>
            </w:r>
            <w:r w:rsidRPr="00D4649B">
              <w:rPr>
                <w:rFonts w:asciiTheme="majorHAnsi" w:hAnsiTheme="majorHAnsi" w:cstheme="majorHAnsi"/>
                <w:b/>
                <w:bCs/>
                <w:sz w:val="18"/>
                <w:szCs w:val="18"/>
              </w:rPr>
              <w:fldChar w:fldCharType="begin" w:fldLock="1"/>
            </w:r>
            <w:r>
              <w:rPr>
                <w:rFonts w:asciiTheme="majorHAnsi" w:hAnsiTheme="majorHAnsi" w:cstheme="majorHAnsi"/>
                <w:b/>
                <w:bCs/>
                <w:sz w:val="18"/>
                <w:szCs w:val="18"/>
              </w:rPr>
              <w:instrText>ADDIN CSL_CITATION { "citationItems" : [ { "id" : "ITEM-1", "itemData" : { "abstract" : "Patient population: Postmenopausal women and persons at risk for secondary osteoporosis related to long-term glucocorticoid use, organ transplant, or other medical conditions. Objective: Decrease osteoporotic fractures and their associated morbidity and mortality.", "author" : [ { "dropping-particle" : "", "family" : "Lash", "given" : "Robert W", "non-dropping-particle" : "", "parse-names" : false, "suffix" : "" }, { "dropping-particle" : "", "family" : "Harrison", "given" : "R", "non-dropping-particle" : "Van", "parse-names" : false, "suffix" : "" }, { "dropping-particle" : "", "family" : "McCort", "given" : "Jane T", "non-dropping-particle" : "", "parse-names" : false, "suffix" : "" }, { "dropping-particle" : "", "family" : "Nicholson", "given" : "Jane M", "non-dropping-particle" : "", "parse-names" : false, "suffix" : "" }, { "dropping-particle" : "", "family" : "Standiford", "given" : "Connie J", "non-dropping-particle" : "", "parse-names" : false, "suffix" : "" }, { "dropping-particle" : "", "family" : "Greenberg", "given" : "Grant", "non-dropping-particle" : "", "parse-names" : false, "suffix" : "" }, { "dropping-particle" : "", "family" : "Harrison", "given" : "Mhsa R", "non-dropping-particle" : "Van", "parse-names" : false, "suffix" : "" } ], "id" : "ITEM-1", "issued" : { "date-parts" : [ [ "2011" ] ] }, "title" : "Guidelines for Clinical Care Ambulatory Osteoporosis Guideline Team Team Lead Ambulatory Clinical Guidelines Oversight Osteoporosis: Prevention and Treatment", "type" : "article-journal" }, "uris" : [ "http://www.mendeley.com/documents/?uuid=a927e357-6b80-3b6f-9ea3-85b085b21cea" ] } ], "mendeley" : { "formattedCitation" : "&lt;sup&gt;65&lt;/sup&gt;", "plainTextFormattedCitation" : "65", "previouslyFormattedCitation" : "&lt;sup&gt;65&lt;/sup&gt;" }, "properties" : {  }, "schema" : "https://github.com/citation-style-language/schema/raw/master/csl-citation.json" }</w:instrText>
            </w:r>
            <w:r w:rsidRPr="00D4649B">
              <w:rPr>
                <w:rFonts w:asciiTheme="majorHAnsi" w:hAnsiTheme="majorHAnsi" w:cstheme="majorHAnsi"/>
                <w:b/>
                <w:bCs/>
                <w:sz w:val="18"/>
                <w:szCs w:val="18"/>
              </w:rPr>
              <w:fldChar w:fldCharType="separate"/>
            </w:r>
            <w:r w:rsidRPr="00C6554C">
              <w:rPr>
                <w:rFonts w:asciiTheme="majorHAnsi" w:hAnsiTheme="majorHAnsi" w:cstheme="majorHAnsi"/>
                <w:bCs/>
                <w:noProof/>
                <w:sz w:val="18"/>
                <w:szCs w:val="18"/>
                <w:vertAlign w:val="superscript"/>
              </w:rPr>
              <w:t>65</w:t>
            </w:r>
            <w:r w:rsidRPr="00D4649B">
              <w:rPr>
                <w:rFonts w:asciiTheme="majorHAnsi" w:hAnsiTheme="majorHAnsi" w:cstheme="majorHAnsi"/>
                <w:b/>
                <w:bCs/>
                <w:sz w:val="18"/>
                <w:szCs w:val="18"/>
              </w:rPr>
              <w:fldChar w:fldCharType="end"/>
            </w:r>
          </w:p>
        </w:tc>
        <w:tc>
          <w:tcPr>
            <w:tcW w:w="1275" w:type="dxa"/>
            <w:shd w:val="clear" w:color="auto" w:fill="D9D9D9" w:themeFill="background1" w:themeFillShade="D9"/>
          </w:tcPr>
          <w:p w14:paraId="1FE07F89" w14:textId="77777777" w:rsidR="00554F3E" w:rsidRPr="000B4DF4" w:rsidRDefault="00554F3E" w:rsidP="00D76D28">
            <w:pPr>
              <w:jc w:val="center"/>
              <w:rPr>
                <w:rFonts w:cstheme="minorHAnsi"/>
                <w:sz w:val="18"/>
                <w:szCs w:val="18"/>
              </w:rPr>
            </w:pPr>
          </w:p>
          <w:p w14:paraId="02896E6F"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60" w:type="dxa"/>
            <w:shd w:val="clear" w:color="auto" w:fill="D9D9D9" w:themeFill="background1" w:themeFillShade="D9"/>
          </w:tcPr>
          <w:p w14:paraId="6D5E4C9F" w14:textId="77777777" w:rsidR="00554F3E" w:rsidRPr="000B4DF4" w:rsidRDefault="00554F3E" w:rsidP="00D76D28">
            <w:pPr>
              <w:jc w:val="center"/>
              <w:rPr>
                <w:rFonts w:cstheme="minorHAnsi"/>
                <w:sz w:val="18"/>
                <w:szCs w:val="18"/>
              </w:rPr>
            </w:pPr>
          </w:p>
          <w:p w14:paraId="55AE67B9"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shd w:val="clear" w:color="auto" w:fill="D9D9D9" w:themeFill="background1" w:themeFillShade="D9"/>
          </w:tcPr>
          <w:p w14:paraId="1ECE0DA2" w14:textId="77777777" w:rsidR="00554F3E" w:rsidRPr="000B4DF4" w:rsidRDefault="00554F3E" w:rsidP="00D76D28">
            <w:pPr>
              <w:jc w:val="center"/>
              <w:rPr>
                <w:rFonts w:cstheme="minorHAnsi"/>
                <w:sz w:val="18"/>
                <w:szCs w:val="18"/>
              </w:rPr>
            </w:pPr>
          </w:p>
          <w:p w14:paraId="61EDC921"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701" w:type="dxa"/>
            <w:shd w:val="clear" w:color="auto" w:fill="D9D9D9" w:themeFill="background1" w:themeFillShade="D9"/>
          </w:tcPr>
          <w:p w14:paraId="7A49E98D" w14:textId="77777777" w:rsidR="00554F3E" w:rsidRPr="000B4DF4" w:rsidRDefault="00554F3E" w:rsidP="00D76D28">
            <w:pPr>
              <w:jc w:val="center"/>
              <w:rPr>
                <w:rFonts w:cstheme="minorHAnsi"/>
                <w:sz w:val="18"/>
                <w:szCs w:val="18"/>
              </w:rPr>
            </w:pPr>
          </w:p>
          <w:p w14:paraId="0091BC04"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843" w:type="dxa"/>
            <w:shd w:val="clear" w:color="auto" w:fill="D9D9D9" w:themeFill="background1" w:themeFillShade="D9"/>
          </w:tcPr>
          <w:p w14:paraId="71E6873E" w14:textId="77777777" w:rsidR="00554F3E" w:rsidRPr="000B4DF4" w:rsidRDefault="00554F3E" w:rsidP="00D76D28">
            <w:pPr>
              <w:jc w:val="center"/>
              <w:rPr>
                <w:rFonts w:cstheme="minorHAnsi"/>
                <w:sz w:val="18"/>
                <w:szCs w:val="18"/>
              </w:rPr>
            </w:pPr>
          </w:p>
          <w:p w14:paraId="33DF52A8"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559" w:type="dxa"/>
            <w:shd w:val="clear" w:color="auto" w:fill="D9D9D9" w:themeFill="background1" w:themeFillShade="D9"/>
          </w:tcPr>
          <w:p w14:paraId="1972C316" w14:textId="77777777" w:rsidR="00554F3E" w:rsidRPr="000B4DF4" w:rsidRDefault="00554F3E" w:rsidP="00D76D28">
            <w:pPr>
              <w:jc w:val="center"/>
              <w:rPr>
                <w:rFonts w:cstheme="minorHAnsi"/>
                <w:sz w:val="18"/>
                <w:szCs w:val="18"/>
              </w:rPr>
            </w:pPr>
          </w:p>
          <w:p w14:paraId="62B2E47A"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6" w:type="dxa"/>
            <w:shd w:val="clear" w:color="auto" w:fill="D9D9D9" w:themeFill="background1" w:themeFillShade="D9"/>
          </w:tcPr>
          <w:p w14:paraId="03F41316" w14:textId="77777777" w:rsidR="00554F3E" w:rsidRPr="000B4DF4" w:rsidRDefault="00554F3E" w:rsidP="00D76D28">
            <w:pPr>
              <w:jc w:val="center"/>
              <w:rPr>
                <w:rFonts w:cstheme="minorHAnsi"/>
                <w:sz w:val="18"/>
                <w:szCs w:val="18"/>
              </w:rPr>
            </w:pPr>
          </w:p>
          <w:p w14:paraId="458CE2A6" w14:textId="77777777" w:rsidR="00554F3E" w:rsidRDefault="00554F3E" w:rsidP="00D76D28">
            <w:pPr>
              <w:jc w:val="center"/>
              <w:rPr>
                <w:rFonts w:cstheme="minorHAnsi"/>
                <w:sz w:val="18"/>
                <w:szCs w:val="18"/>
              </w:rPr>
            </w:pPr>
            <w:r>
              <w:rPr>
                <w:rFonts w:cstheme="minorHAnsi"/>
                <w:sz w:val="18"/>
                <w:szCs w:val="18"/>
              </w:rPr>
              <w:t>Y</w:t>
            </w:r>
          </w:p>
        </w:tc>
        <w:tc>
          <w:tcPr>
            <w:tcW w:w="992" w:type="dxa"/>
            <w:shd w:val="clear" w:color="auto" w:fill="D9D9D9" w:themeFill="background1" w:themeFillShade="D9"/>
          </w:tcPr>
          <w:p w14:paraId="48DFC1DC" w14:textId="77777777" w:rsidR="00554F3E" w:rsidRPr="000B4DF4" w:rsidRDefault="00554F3E" w:rsidP="00D76D28">
            <w:pPr>
              <w:jc w:val="center"/>
              <w:rPr>
                <w:rFonts w:cstheme="minorHAnsi"/>
                <w:sz w:val="18"/>
                <w:szCs w:val="18"/>
              </w:rPr>
            </w:pPr>
          </w:p>
          <w:p w14:paraId="4B1D00AB" w14:textId="77777777" w:rsidR="00554F3E" w:rsidRPr="000B4DF4" w:rsidRDefault="00554F3E" w:rsidP="00D76D28">
            <w:pPr>
              <w:jc w:val="center"/>
              <w:rPr>
                <w:rFonts w:cstheme="minorHAnsi"/>
                <w:sz w:val="18"/>
                <w:szCs w:val="18"/>
              </w:rPr>
            </w:pPr>
            <w:r>
              <w:rPr>
                <w:rFonts w:cstheme="minorHAnsi"/>
                <w:sz w:val="18"/>
                <w:szCs w:val="18"/>
              </w:rPr>
              <w:t>N</w:t>
            </w:r>
          </w:p>
        </w:tc>
        <w:tc>
          <w:tcPr>
            <w:tcW w:w="842" w:type="dxa"/>
            <w:shd w:val="clear" w:color="auto" w:fill="D9D9D9" w:themeFill="background1" w:themeFillShade="D9"/>
          </w:tcPr>
          <w:p w14:paraId="32AF819B" w14:textId="77777777" w:rsidR="00554F3E" w:rsidRDefault="00554F3E" w:rsidP="00D76D28">
            <w:pPr>
              <w:jc w:val="center"/>
              <w:rPr>
                <w:rFonts w:cstheme="minorHAnsi"/>
                <w:sz w:val="18"/>
                <w:szCs w:val="18"/>
              </w:rPr>
            </w:pPr>
          </w:p>
          <w:p w14:paraId="120BD6DA" w14:textId="77777777" w:rsidR="00554F3E" w:rsidRDefault="00554F3E" w:rsidP="00D76D28">
            <w:pPr>
              <w:jc w:val="center"/>
              <w:rPr>
                <w:rFonts w:cstheme="minorHAnsi"/>
                <w:sz w:val="18"/>
                <w:szCs w:val="18"/>
              </w:rPr>
            </w:pPr>
            <w:r>
              <w:rPr>
                <w:rFonts w:cstheme="minorHAnsi"/>
                <w:sz w:val="18"/>
                <w:szCs w:val="18"/>
              </w:rPr>
              <w:t>5</w:t>
            </w:r>
          </w:p>
        </w:tc>
        <w:tc>
          <w:tcPr>
            <w:tcW w:w="851" w:type="dxa"/>
            <w:shd w:val="clear" w:color="auto" w:fill="D9D9D9" w:themeFill="background1" w:themeFillShade="D9"/>
          </w:tcPr>
          <w:p w14:paraId="6B3E1DDE" w14:textId="77777777" w:rsidR="00554F3E" w:rsidRDefault="00554F3E" w:rsidP="00D76D28">
            <w:pPr>
              <w:jc w:val="center"/>
              <w:rPr>
                <w:rFonts w:cstheme="minorHAnsi"/>
                <w:sz w:val="18"/>
                <w:szCs w:val="18"/>
              </w:rPr>
            </w:pPr>
          </w:p>
          <w:p w14:paraId="490CC216" w14:textId="77777777" w:rsidR="00554F3E" w:rsidRPr="000B4DF4" w:rsidRDefault="00554F3E" w:rsidP="00D76D28">
            <w:pPr>
              <w:jc w:val="center"/>
              <w:rPr>
                <w:rFonts w:cstheme="minorHAnsi"/>
                <w:sz w:val="18"/>
                <w:szCs w:val="18"/>
              </w:rPr>
            </w:pPr>
            <w:r w:rsidRPr="000B4DF4">
              <w:rPr>
                <w:rFonts w:cstheme="minorHAnsi"/>
                <w:sz w:val="18"/>
                <w:szCs w:val="18"/>
              </w:rPr>
              <w:sym w:font="Wingdings" w:char="F0FC"/>
            </w:r>
          </w:p>
        </w:tc>
      </w:tr>
      <w:tr w:rsidR="00554F3E" w:rsidRPr="000926D0" w14:paraId="509EA6D3" w14:textId="77777777" w:rsidTr="00D76D28">
        <w:tc>
          <w:tcPr>
            <w:tcW w:w="1853" w:type="dxa"/>
            <w:shd w:val="clear" w:color="auto" w:fill="D9D9D9" w:themeFill="background1" w:themeFillShade="D9"/>
          </w:tcPr>
          <w:p w14:paraId="5B58EDF2" w14:textId="77777777" w:rsidR="00554F3E" w:rsidRPr="00D4649B" w:rsidRDefault="00554F3E" w:rsidP="00D76D28">
            <w:pPr>
              <w:rPr>
                <w:rFonts w:asciiTheme="majorHAnsi" w:hAnsiTheme="majorHAnsi" w:cstheme="majorHAnsi"/>
                <w:b/>
                <w:bCs/>
                <w:sz w:val="18"/>
                <w:szCs w:val="18"/>
              </w:rPr>
            </w:pPr>
            <w:r w:rsidRPr="00D4649B">
              <w:rPr>
                <w:rFonts w:asciiTheme="majorHAnsi" w:hAnsiTheme="majorHAnsi" w:cstheme="majorHAnsi"/>
                <w:b/>
                <w:bCs/>
                <w:sz w:val="18"/>
                <w:szCs w:val="18"/>
              </w:rPr>
              <w:t xml:space="preserve">Taiwan osteoporosis practice guidelines 2011 </w:t>
            </w:r>
            <w:r w:rsidRPr="00D4649B">
              <w:rPr>
                <w:rFonts w:asciiTheme="majorHAnsi" w:hAnsiTheme="majorHAnsi" w:cstheme="majorHAnsi"/>
                <w:b/>
                <w:bCs/>
                <w:sz w:val="18"/>
                <w:szCs w:val="18"/>
              </w:rPr>
              <w:fldChar w:fldCharType="begin" w:fldLock="1"/>
            </w:r>
            <w:r>
              <w:rPr>
                <w:rFonts w:asciiTheme="majorHAnsi" w:hAnsiTheme="majorHAnsi" w:cstheme="majorHAnsi"/>
                <w:b/>
                <w:bCs/>
                <w:sz w:val="18"/>
                <w:szCs w:val="18"/>
              </w:rPr>
              <w:instrText>ADDIN CSL_CITATION { "citationItems" : [ { "id" : "ITEM-1", "itemData" : { "author" : [ { "dropping-particle" : "", "family" : "Bureau of Health Promotion, Department of Health", "given" : "ROC (Taiwan) National Health Research Institutes The Taiwanese Osteoporosis Association", "non-dropping-particle" : "", "parse-names" : false, "suffix" : "" } ], "id" : "ITEM-1", "issued" : { "date-parts" : [ [ "2011" ] ] }, "number-of-pages" : "1-120", "publisher-place" : "ROC (Taiwan)", "title" : "Taiwan osteoporosis practice guidelines", "type" : "report" }, "uris" : [ "http://www.mendeley.com/documents/?uuid=52af50f3-ceb1-3b3e-9e17-28fa0a4340f3" ] } ], "mendeley" : { "formattedCitation" : "&lt;sup&gt;66&lt;/sup&gt;", "plainTextFormattedCitation" : "66", "previouslyFormattedCitation" : "&lt;sup&gt;66&lt;/sup&gt;" }, "properties" : {  }, "schema" : "https://github.com/citation-style-language/schema/raw/master/csl-citation.json" }</w:instrText>
            </w:r>
            <w:r w:rsidRPr="00D4649B">
              <w:rPr>
                <w:rFonts w:asciiTheme="majorHAnsi" w:hAnsiTheme="majorHAnsi" w:cstheme="majorHAnsi"/>
                <w:b/>
                <w:bCs/>
                <w:sz w:val="18"/>
                <w:szCs w:val="18"/>
              </w:rPr>
              <w:fldChar w:fldCharType="separate"/>
            </w:r>
            <w:r w:rsidRPr="00C6554C">
              <w:rPr>
                <w:rFonts w:asciiTheme="majorHAnsi" w:hAnsiTheme="majorHAnsi" w:cstheme="majorHAnsi"/>
                <w:bCs/>
                <w:noProof/>
                <w:sz w:val="18"/>
                <w:szCs w:val="18"/>
                <w:vertAlign w:val="superscript"/>
              </w:rPr>
              <w:t>66</w:t>
            </w:r>
            <w:r w:rsidRPr="00D4649B">
              <w:rPr>
                <w:rFonts w:asciiTheme="majorHAnsi" w:hAnsiTheme="majorHAnsi" w:cstheme="majorHAnsi"/>
                <w:b/>
                <w:bCs/>
                <w:sz w:val="18"/>
                <w:szCs w:val="18"/>
              </w:rPr>
              <w:fldChar w:fldCharType="end"/>
            </w:r>
            <w:r w:rsidRPr="00D4649B">
              <w:rPr>
                <w:rFonts w:asciiTheme="majorHAnsi" w:hAnsiTheme="majorHAnsi" w:cstheme="majorHAnsi"/>
                <w:b/>
                <w:bCs/>
                <w:sz w:val="18"/>
                <w:szCs w:val="18"/>
              </w:rPr>
              <w:t>.</w:t>
            </w:r>
          </w:p>
        </w:tc>
        <w:tc>
          <w:tcPr>
            <w:tcW w:w="1275" w:type="dxa"/>
            <w:shd w:val="clear" w:color="auto" w:fill="D9D9D9" w:themeFill="background1" w:themeFillShade="D9"/>
          </w:tcPr>
          <w:p w14:paraId="7DAD34CD" w14:textId="77777777" w:rsidR="00554F3E" w:rsidRPr="000B4DF4" w:rsidRDefault="00554F3E" w:rsidP="00D76D28">
            <w:pPr>
              <w:jc w:val="center"/>
              <w:rPr>
                <w:rFonts w:cstheme="minorHAnsi"/>
                <w:sz w:val="18"/>
                <w:szCs w:val="18"/>
              </w:rPr>
            </w:pPr>
          </w:p>
          <w:p w14:paraId="78CF9F25"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60" w:type="dxa"/>
            <w:shd w:val="clear" w:color="auto" w:fill="D9D9D9" w:themeFill="background1" w:themeFillShade="D9"/>
          </w:tcPr>
          <w:p w14:paraId="50194640" w14:textId="77777777" w:rsidR="00554F3E" w:rsidRPr="000B4DF4" w:rsidRDefault="00554F3E" w:rsidP="00D76D28">
            <w:pPr>
              <w:jc w:val="center"/>
              <w:rPr>
                <w:rFonts w:cstheme="minorHAnsi"/>
                <w:sz w:val="18"/>
                <w:szCs w:val="18"/>
              </w:rPr>
            </w:pPr>
          </w:p>
          <w:p w14:paraId="74A8F02B"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shd w:val="clear" w:color="auto" w:fill="D9D9D9" w:themeFill="background1" w:themeFillShade="D9"/>
          </w:tcPr>
          <w:p w14:paraId="1012A98B" w14:textId="77777777" w:rsidR="00554F3E" w:rsidRPr="000B4DF4" w:rsidRDefault="00554F3E" w:rsidP="00D76D28">
            <w:pPr>
              <w:jc w:val="center"/>
              <w:rPr>
                <w:rFonts w:cstheme="minorHAnsi"/>
                <w:sz w:val="18"/>
                <w:szCs w:val="18"/>
              </w:rPr>
            </w:pPr>
          </w:p>
          <w:p w14:paraId="36FF0028"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701" w:type="dxa"/>
            <w:shd w:val="clear" w:color="auto" w:fill="D9D9D9" w:themeFill="background1" w:themeFillShade="D9"/>
          </w:tcPr>
          <w:p w14:paraId="6FB5BD05" w14:textId="77777777" w:rsidR="00554F3E" w:rsidRPr="000B4DF4" w:rsidRDefault="00554F3E" w:rsidP="00D76D28">
            <w:pPr>
              <w:jc w:val="center"/>
              <w:rPr>
                <w:rFonts w:cstheme="minorHAnsi"/>
                <w:sz w:val="18"/>
                <w:szCs w:val="18"/>
              </w:rPr>
            </w:pPr>
          </w:p>
          <w:p w14:paraId="2A215564"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843" w:type="dxa"/>
            <w:shd w:val="clear" w:color="auto" w:fill="D9D9D9" w:themeFill="background1" w:themeFillShade="D9"/>
          </w:tcPr>
          <w:p w14:paraId="5BD59872" w14:textId="77777777" w:rsidR="00554F3E" w:rsidRPr="000B4DF4" w:rsidRDefault="00554F3E" w:rsidP="00D76D28">
            <w:pPr>
              <w:jc w:val="center"/>
              <w:rPr>
                <w:rFonts w:cstheme="minorHAnsi"/>
                <w:sz w:val="18"/>
                <w:szCs w:val="18"/>
              </w:rPr>
            </w:pPr>
          </w:p>
          <w:p w14:paraId="2C463351"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59" w:type="dxa"/>
            <w:shd w:val="clear" w:color="auto" w:fill="D9D9D9" w:themeFill="background1" w:themeFillShade="D9"/>
          </w:tcPr>
          <w:p w14:paraId="1C2B8577" w14:textId="77777777" w:rsidR="00554F3E" w:rsidRPr="000B4DF4" w:rsidRDefault="00554F3E" w:rsidP="00D76D28">
            <w:pPr>
              <w:jc w:val="center"/>
              <w:rPr>
                <w:rFonts w:cstheme="minorHAnsi"/>
                <w:sz w:val="18"/>
                <w:szCs w:val="18"/>
              </w:rPr>
            </w:pPr>
          </w:p>
          <w:p w14:paraId="4CABF44E"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6" w:type="dxa"/>
            <w:shd w:val="clear" w:color="auto" w:fill="D9D9D9" w:themeFill="background1" w:themeFillShade="D9"/>
          </w:tcPr>
          <w:p w14:paraId="7BC83883" w14:textId="77777777" w:rsidR="00554F3E" w:rsidRPr="000B4DF4" w:rsidRDefault="00554F3E" w:rsidP="00D76D28">
            <w:pPr>
              <w:jc w:val="center"/>
              <w:rPr>
                <w:rFonts w:cstheme="minorHAnsi"/>
                <w:sz w:val="18"/>
                <w:szCs w:val="18"/>
              </w:rPr>
            </w:pPr>
          </w:p>
          <w:p w14:paraId="4B2CF42C"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992" w:type="dxa"/>
            <w:shd w:val="clear" w:color="auto" w:fill="D9D9D9" w:themeFill="background1" w:themeFillShade="D9"/>
          </w:tcPr>
          <w:p w14:paraId="16A01C1F" w14:textId="77777777" w:rsidR="00554F3E" w:rsidRPr="000B4DF4" w:rsidRDefault="00554F3E" w:rsidP="00D76D28">
            <w:pPr>
              <w:jc w:val="center"/>
              <w:rPr>
                <w:rFonts w:cstheme="minorHAnsi"/>
                <w:sz w:val="18"/>
                <w:szCs w:val="18"/>
              </w:rPr>
            </w:pPr>
          </w:p>
          <w:p w14:paraId="17638677"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842" w:type="dxa"/>
            <w:shd w:val="clear" w:color="auto" w:fill="D9D9D9" w:themeFill="background1" w:themeFillShade="D9"/>
          </w:tcPr>
          <w:p w14:paraId="602A355B" w14:textId="77777777" w:rsidR="00554F3E" w:rsidRDefault="00554F3E" w:rsidP="00D76D28">
            <w:pPr>
              <w:jc w:val="center"/>
              <w:rPr>
                <w:rFonts w:cstheme="minorHAnsi"/>
                <w:sz w:val="18"/>
                <w:szCs w:val="18"/>
              </w:rPr>
            </w:pPr>
          </w:p>
          <w:p w14:paraId="4E4DD1C1" w14:textId="77777777" w:rsidR="00554F3E" w:rsidRDefault="00554F3E" w:rsidP="00D76D28">
            <w:pPr>
              <w:jc w:val="center"/>
              <w:rPr>
                <w:rFonts w:cstheme="minorHAnsi"/>
                <w:sz w:val="18"/>
                <w:szCs w:val="18"/>
              </w:rPr>
            </w:pPr>
            <w:r>
              <w:rPr>
                <w:rFonts w:cstheme="minorHAnsi"/>
                <w:sz w:val="18"/>
                <w:szCs w:val="18"/>
              </w:rPr>
              <w:t>7</w:t>
            </w:r>
          </w:p>
        </w:tc>
        <w:tc>
          <w:tcPr>
            <w:tcW w:w="851" w:type="dxa"/>
            <w:shd w:val="clear" w:color="auto" w:fill="D9D9D9" w:themeFill="background1" w:themeFillShade="D9"/>
          </w:tcPr>
          <w:p w14:paraId="1A74AFF5" w14:textId="77777777" w:rsidR="00554F3E" w:rsidRPr="000B4DF4" w:rsidRDefault="00554F3E" w:rsidP="00D76D28">
            <w:pPr>
              <w:jc w:val="center"/>
              <w:rPr>
                <w:rFonts w:cstheme="minorHAnsi"/>
                <w:sz w:val="18"/>
                <w:szCs w:val="18"/>
              </w:rPr>
            </w:pPr>
          </w:p>
          <w:p w14:paraId="098F117D" w14:textId="77777777" w:rsidR="00554F3E" w:rsidRDefault="00554F3E" w:rsidP="00D76D28">
            <w:pPr>
              <w:jc w:val="center"/>
              <w:rPr>
                <w:rFonts w:cstheme="minorHAnsi"/>
                <w:sz w:val="18"/>
                <w:szCs w:val="18"/>
              </w:rPr>
            </w:pPr>
            <w:r w:rsidRPr="000B4DF4">
              <w:rPr>
                <w:rFonts w:cstheme="minorHAnsi"/>
                <w:sz w:val="18"/>
                <w:szCs w:val="18"/>
              </w:rPr>
              <w:sym w:font="Wingdings" w:char="F0FC"/>
            </w:r>
          </w:p>
        </w:tc>
      </w:tr>
      <w:tr w:rsidR="00554F3E" w:rsidRPr="000926D0" w14:paraId="2EBFE7DD" w14:textId="77777777" w:rsidTr="00D76D28">
        <w:tc>
          <w:tcPr>
            <w:tcW w:w="1853" w:type="dxa"/>
            <w:shd w:val="clear" w:color="auto" w:fill="FFFFFF" w:themeFill="background1"/>
          </w:tcPr>
          <w:p w14:paraId="7172D241" w14:textId="77777777" w:rsidR="00554F3E" w:rsidRPr="00D4649B" w:rsidRDefault="00554F3E" w:rsidP="00D76D28">
            <w:pPr>
              <w:rPr>
                <w:rFonts w:asciiTheme="majorHAnsi" w:hAnsiTheme="majorHAnsi" w:cstheme="majorHAnsi"/>
                <w:b/>
                <w:bCs/>
                <w:sz w:val="18"/>
                <w:szCs w:val="18"/>
              </w:rPr>
            </w:pPr>
            <w:r w:rsidRPr="00D4649B">
              <w:rPr>
                <w:rFonts w:asciiTheme="majorHAnsi" w:hAnsiTheme="majorHAnsi" w:cstheme="majorHAnsi"/>
                <w:b/>
                <w:bCs/>
                <w:sz w:val="18"/>
                <w:szCs w:val="18"/>
              </w:rPr>
              <w:t xml:space="preserve">British Columbia Medical Association 2012 </w:t>
            </w:r>
            <w:r w:rsidRPr="00D4649B">
              <w:rPr>
                <w:rFonts w:asciiTheme="majorHAnsi" w:hAnsiTheme="majorHAnsi" w:cstheme="majorHAnsi"/>
                <w:b/>
                <w:bCs/>
                <w:sz w:val="18"/>
                <w:szCs w:val="18"/>
              </w:rPr>
              <w:fldChar w:fldCharType="begin" w:fldLock="1"/>
            </w:r>
            <w:r>
              <w:rPr>
                <w:rFonts w:asciiTheme="majorHAnsi" w:hAnsiTheme="majorHAnsi" w:cstheme="majorHAnsi"/>
                <w:b/>
                <w:bCs/>
                <w:sz w:val="18"/>
                <w:szCs w:val="18"/>
              </w:rPr>
              <w:instrText>ADDIN CSL_CITATION { "citationItems" : [ { "id" : "ITEM-1", "itemData" : { "author" : [ { "dropping-particle" : "", "family" : "Guidelines and Protocols Advisory Committee (BC)", "given" : "", "non-dropping-particle" : "", "parse-names" : false, "suffix" : "" } ], "id" : "ITEM-1", "issued" : { "date-parts" : [ [ "2012" ] ] }, "number-of-pages" : "1-17", "publisher-place" : "British Columbia", "title" : "Osteoporosis: Diagnosis, Treatment and Fracture Prevention", "type" : "report" }, "uris" : [ "http://www.mendeley.com/documents/?uuid=ed625b08-a493-3df2-b660-3ea5e6904cc0" ] } ], "mendeley" : { "formattedCitation" : "&lt;sup&gt;50&lt;/sup&gt;", "plainTextFormattedCitation" : "50", "previouslyFormattedCitation" : "&lt;sup&gt;50&lt;/sup&gt;" }, "properties" : {  }, "schema" : "https://github.com/citation-style-language/schema/raw/master/csl-citation.json" }</w:instrText>
            </w:r>
            <w:r w:rsidRPr="00D4649B">
              <w:rPr>
                <w:rFonts w:asciiTheme="majorHAnsi" w:hAnsiTheme="majorHAnsi" w:cstheme="majorHAnsi"/>
                <w:b/>
                <w:bCs/>
                <w:sz w:val="18"/>
                <w:szCs w:val="18"/>
              </w:rPr>
              <w:fldChar w:fldCharType="separate"/>
            </w:r>
            <w:r w:rsidRPr="00C6554C">
              <w:rPr>
                <w:rFonts w:asciiTheme="majorHAnsi" w:hAnsiTheme="majorHAnsi" w:cstheme="majorHAnsi"/>
                <w:bCs/>
                <w:noProof/>
                <w:sz w:val="18"/>
                <w:szCs w:val="18"/>
                <w:vertAlign w:val="superscript"/>
              </w:rPr>
              <w:t>50</w:t>
            </w:r>
            <w:r w:rsidRPr="00D4649B">
              <w:rPr>
                <w:rFonts w:asciiTheme="majorHAnsi" w:hAnsiTheme="majorHAnsi" w:cstheme="majorHAnsi"/>
                <w:b/>
                <w:bCs/>
                <w:sz w:val="18"/>
                <w:szCs w:val="18"/>
              </w:rPr>
              <w:fldChar w:fldCharType="end"/>
            </w:r>
            <w:r w:rsidRPr="00D4649B">
              <w:rPr>
                <w:rFonts w:asciiTheme="majorHAnsi" w:hAnsiTheme="majorHAnsi" w:cstheme="majorHAnsi"/>
                <w:b/>
                <w:bCs/>
                <w:sz w:val="18"/>
                <w:szCs w:val="18"/>
              </w:rPr>
              <w:t>.</w:t>
            </w:r>
          </w:p>
        </w:tc>
        <w:tc>
          <w:tcPr>
            <w:tcW w:w="1275" w:type="dxa"/>
            <w:shd w:val="clear" w:color="auto" w:fill="FFFFFF" w:themeFill="background1"/>
          </w:tcPr>
          <w:p w14:paraId="5CF8ED24" w14:textId="77777777" w:rsidR="00554F3E" w:rsidRPr="000B4DF4" w:rsidRDefault="00554F3E" w:rsidP="00D76D28">
            <w:pPr>
              <w:jc w:val="center"/>
              <w:rPr>
                <w:rFonts w:cstheme="minorHAnsi"/>
                <w:sz w:val="18"/>
                <w:szCs w:val="18"/>
              </w:rPr>
            </w:pPr>
          </w:p>
          <w:p w14:paraId="54AE5CB6"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60" w:type="dxa"/>
            <w:shd w:val="clear" w:color="auto" w:fill="FFFFFF" w:themeFill="background1"/>
          </w:tcPr>
          <w:p w14:paraId="40279BC4" w14:textId="77777777" w:rsidR="00554F3E" w:rsidRPr="000B4DF4" w:rsidRDefault="00554F3E" w:rsidP="00D76D28">
            <w:pPr>
              <w:jc w:val="center"/>
              <w:rPr>
                <w:rFonts w:cstheme="minorHAnsi"/>
                <w:sz w:val="18"/>
                <w:szCs w:val="18"/>
              </w:rPr>
            </w:pPr>
          </w:p>
          <w:p w14:paraId="4A8F8C63"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shd w:val="clear" w:color="auto" w:fill="FFFFFF" w:themeFill="background1"/>
          </w:tcPr>
          <w:p w14:paraId="0009982C" w14:textId="77777777" w:rsidR="00554F3E" w:rsidRPr="000B4DF4" w:rsidRDefault="00554F3E" w:rsidP="00D76D28">
            <w:pPr>
              <w:jc w:val="center"/>
              <w:rPr>
                <w:rFonts w:cstheme="minorHAnsi"/>
                <w:sz w:val="18"/>
                <w:szCs w:val="18"/>
              </w:rPr>
            </w:pPr>
          </w:p>
          <w:p w14:paraId="0B1F7A2C"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701" w:type="dxa"/>
            <w:shd w:val="clear" w:color="auto" w:fill="FFFFFF" w:themeFill="background1"/>
          </w:tcPr>
          <w:p w14:paraId="519EA793" w14:textId="77777777" w:rsidR="00554F3E" w:rsidRPr="000B4DF4" w:rsidRDefault="00554F3E" w:rsidP="00D76D28">
            <w:pPr>
              <w:jc w:val="center"/>
              <w:rPr>
                <w:rFonts w:cstheme="minorHAnsi"/>
                <w:sz w:val="18"/>
                <w:szCs w:val="18"/>
              </w:rPr>
            </w:pPr>
          </w:p>
          <w:p w14:paraId="4E8FA5BC"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843" w:type="dxa"/>
            <w:shd w:val="clear" w:color="auto" w:fill="FFFFFF" w:themeFill="background1"/>
          </w:tcPr>
          <w:p w14:paraId="77D6042C" w14:textId="77777777" w:rsidR="00554F3E" w:rsidRPr="000B4DF4" w:rsidRDefault="00554F3E" w:rsidP="00D76D28">
            <w:pPr>
              <w:jc w:val="center"/>
              <w:rPr>
                <w:rFonts w:cstheme="minorHAnsi"/>
                <w:sz w:val="18"/>
                <w:szCs w:val="18"/>
              </w:rPr>
            </w:pPr>
          </w:p>
          <w:p w14:paraId="686AF4E2"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559" w:type="dxa"/>
            <w:shd w:val="clear" w:color="auto" w:fill="FFFFFF" w:themeFill="background1"/>
          </w:tcPr>
          <w:p w14:paraId="6A416754" w14:textId="77777777" w:rsidR="00554F3E" w:rsidRPr="000B4DF4" w:rsidRDefault="00554F3E" w:rsidP="00D76D28">
            <w:pPr>
              <w:jc w:val="center"/>
              <w:rPr>
                <w:rFonts w:cstheme="minorHAnsi"/>
                <w:sz w:val="18"/>
                <w:szCs w:val="18"/>
              </w:rPr>
            </w:pPr>
          </w:p>
          <w:p w14:paraId="6A25EA90"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276" w:type="dxa"/>
            <w:shd w:val="clear" w:color="auto" w:fill="FFFFFF" w:themeFill="background1"/>
          </w:tcPr>
          <w:p w14:paraId="4BA4897A" w14:textId="77777777" w:rsidR="00554F3E" w:rsidRPr="000B4DF4" w:rsidRDefault="00554F3E" w:rsidP="00D76D28">
            <w:pPr>
              <w:jc w:val="center"/>
              <w:rPr>
                <w:rFonts w:cstheme="minorHAnsi"/>
                <w:sz w:val="18"/>
                <w:szCs w:val="18"/>
              </w:rPr>
            </w:pPr>
          </w:p>
          <w:p w14:paraId="023AEE22"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992" w:type="dxa"/>
            <w:shd w:val="clear" w:color="auto" w:fill="FFFFFF" w:themeFill="background1"/>
          </w:tcPr>
          <w:p w14:paraId="29CE358A" w14:textId="77777777" w:rsidR="00554F3E" w:rsidRPr="000B4DF4" w:rsidRDefault="00554F3E" w:rsidP="00D76D28">
            <w:pPr>
              <w:jc w:val="center"/>
              <w:rPr>
                <w:rFonts w:cstheme="minorHAnsi"/>
                <w:sz w:val="18"/>
                <w:szCs w:val="18"/>
              </w:rPr>
            </w:pPr>
          </w:p>
          <w:p w14:paraId="66E8C8E6"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842" w:type="dxa"/>
            <w:shd w:val="clear" w:color="auto" w:fill="FFFFFF" w:themeFill="background1"/>
          </w:tcPr>
          <w:p w14:paraId="0B700144" w14:textId="77777777" w:rsidR="00554F3E" w:rsidRDefault="00554F3E" w:rsidP="00D76D28">
            <w:pPr>
              <w:jc w:val="center"/>
              <w:rPr>
                <w:rFonts w:cstheme="minorHAnsi"/>
                <w:sz w:val="18"/>
                <w:szCs w:val="18"/>
              </w:rPr>
            </w:pPr>
          </w:p>
          <w:p w14:paraId="62ED3BC8" w14:textId="77777777" w:rsidR="00554F3E" w:rsidRDefault="00554F3E" w:rsidP="00D76D28">
            <w:pPr>
              <w:jc w:val="center"/>
              <w:rPr>
                <w:rFonts w:cstheme="minorHAnsi"/>
                <w:sz w:val="18"/>
                <w:szCs w:val="18"/>
              </w:rPr>
            </w:pPr>
            <w:r>
              <w:rPr>
                <w:rFonts w:cstheme="minorHAnsi"/>
                <w:sz w:val="18"/>
                <w:szCs w:val="18"/>
              </w:rPr>
              <w:t>3</w:t>
            </w:r>
          </w:p>
        </w:tc>
        <w:tc>
          <w:tcPr>
            <w:tcW w:w="851" w:type="dxa"/>
            <w:shd w:val="clear" w:color="auto" w:fill="FFFFFF" w:themeFill="background1"/>
          </w:tcPr>
          <w:p w14:paraId="421B5CB2" w14:textId="77777777" w:rsidR="00554F3E" w:rsidRPr="000B4DF4" w:rsidRDefault="00554F3E" w:rsidP="00D76D28">
            <w:pPr>
              <w:jc w:val="center"/>
              <w:rPr>
                <w:rFonts w:cstheme="minorHAnsi"/>
                <w:sz w:val="18"/>
                <w:szCs w:val="18"/>
              </w:rPr>
            </w:pPr>
          </w:p>
        </w:tc>
      </w:tr>
      <w:tr w:rsidR="00554F3E" w:rsidRPr="000926D0" w14:paraId="267B0A26" w14:textId="77777777" w:rsidTr="00D76D28">
        <w:tc>
          <w:tcPr>
            <w:tcW w:w="1853" w:type="dxa"/>
            <w:shd w:val="clear" w:color="auto" w:fill="D9D9D9" w:themeFill="background1" w:themeFillShade="D9"/>
          </w:tcPr>
          <w:p w14:paraId="132EE2E7" w14:textId="77777777" w:rsidR="00554F3E" w:rsidRPr="00D4649B" w:rsidRDefault="00554F3E" w:rsidP="00D76D28">
            <w:pPr>
              <w:rPr>
                <w:rFonts w:asciiTheme="majorHAnsi" w:hAnsiTheme="majorHAnsi" w:cstheme="majorHAnsi"/>
                <w:b/>
                <w:bCs/>
                <w:sz w:val="18"/>
                <w:szCs w:val="18"/>
              </w:rPr>
            </w:pPr>
            <w:r w:rsidRPr="00D4649B">
              <w:rPr>
                <w:rFonts w:asciiTheme="majorHAnsi" w:hAnsiTheme="majorHAnsi" w:cstheme="majorHAnsi"/>
                <w:b/>
                <w:bCs/>
                <w:sz w:val="18"/>
                <w:szCs w:val="18"/>
              </w:rPr>
              <w:t xml:space="preserve">The Malaysian </w:t>
            </w:r>
            <w:r w:rsidRPr="00AF4AD6">
              <w:rPr>
                <w:rFonts w:asciiTheme="majorHAnsi" w:hAnsiTheme="majorHAnsi" w:cstheme="majorHAnsi"/>
                <w:b/>
                <w:bCs/>
                <w:sz w:val="18"/>
                <w:szCs w:val="18"/>
                <w:shd w:val="clear" w:color="auto" w:fill="D9D9D9" w:themeFill="background1" w:themeFillShade="D9"/>
              </w:rPr>
              <w:t xml:space="preserve">Osteoporosis Society 2012 </w:t>
            </w:r>
            <w:r w:rsidRPr="00AF4AD6">
              <w:rPr>
                <w:rFonts w:asciiTheme="majorHAnsi" w:hAnsiTheme="majorHAnsi" w:cstheme="majorHAnsi"/>
                <w:b/>
                <w:bCs/>
                <w:sz w:val="18"/>
                <w:szCs w:val="18"/>
                <w:shd w:val="clear" w:color="auto" w:fill="D9D9D9" w:themeFill="background1" w:themeFillShade="D9"/>
              </w:rPr>
              <w:fldChar w:fldCharType="begin" w:fldLock="1"/>
            </w:r>
            <w:r w:rsidRPr="00AF4AD6">
              <w:rPr>
                <w:rFonts w:asciiTheme="majorHAnsi" w:hAnsiTheme="majorHAnsi" w:cstheme="majorHAnsi"/>
                <w:b/>
                <w:bCs/>
                <w:sz w:val="18"/>
                <w:szCs w:val="18"/>
                <w:shd w:val="clear" w:color="auto" w:fill="D9D9D9" w:themeFill="background1" w:themeFillShade="D9"/>
              </w:rPr>
              <w:instrText>ADDIN CSL_CITATION { "citationItems" : [ { "id" : "ITEM-1", "itemData" : { "author" : [ { "dropping-particle" : "", "family" : "Pheng Chan, Sim Yeap, Lee Emily, Lee Hew, Chee Winnie, Kiong Lee, Hinh Lim, Mumtaz Malik", "given" : "Damodaran Premitha", "non-dropping-particle" : "", "parse-names" : false, "suffix" : "" } ], "id" : "ITEM-1", "issued" : { "date-parts" : [ [ "2012" ] ] }, "number-of-pages" : "1-63", "publisher-place" : "Malaysia", "title" : "Clinical Guidance on Management of Osteoporosis 2012", "type" : "report" }, "uris" : [ "http://www.mendeley.com/documents/?uuid=0cdeec9d-4942-32d4-9f9c-08f4919906c6" ] } ], "mendeley" : { "formattedCitation" : "&lt;sup&gt;67&lt;/sup&gt;", "plainTextFormattedCitation" : "67", "previouslyFormattedCitation" : "&lt;sup&gt;67&lt;/sup&gt;" }, "properties" : {  }, "schema" : "https://github.com/citation-style-language/schema/raw/master/csl-citation.json" }</w:instrText>
            </w:r>
            <w:r w:rsidRPr="00AF4AD6">
              <w:rPr>
                <w:rFonts w:asciiTheme="majorHAnsi" w:hAnsiTheme="majorHAnsi" w:cstheme="majorHAnsi"/>
                <w:b/>
                <w:bCs/>
                <w:sz w:val="18"/>
                <w:szCs w:val="18"/>
                <w:shd w:val="clear" w:color="auto" w:fill="D9D9D9" w:themeFill="background1" w:themeFillShade="D9"/>
              </w:rPr>
              <w:fldChar w:fldCharType="separate"/>
            </w:r>
            <w:r w:rsidRPr="00AF4AD6">
              <w:rPr>
                <w:rFonts w:asciiTheme="majorHAnsi" w:hAnsiTheme="majorHAnsi" w:cstheme="majorHAnsi"/>
                <w:bCs/>
                <w:noProof/>
                <w:sz w:val="18"/>
                <w:szCs w:val="18"/>
                <w:shd w:val="clear" w:color="auto" w:fill="D9D9D9" w:themeFill="background1" w:themeFillShade="D9"/>
                <w:vertAlign w:val="superscript"/>
              </w:rPr>
              <w:t>67</w:t>
            </w:r>
            <w:r w:rsidRPr="00AF4AD6">
              <w:rPr>
                <w:rFonts w:asciiTheme="majorHAnsi" w:hAnsiTheme="majorHAnsi" w:cstheme="majorHAnsi"/>
                <w:b/>
                <w:bCs/>
                <w:sz w:val="18"/>
                <w:szCs w:val="18"/>
                <w:shd w:val="clear" w:color="auto" w:fill="D9D9D9" w:themeFill="background1" w:themeFillShade="D9"/>
              </w:rPr>
              <w:fldChar w:fldCharType="end"/>
            </w:r>
            <w:r w:rsidRPr="00AF4AD6">
              <w:rPr>
                <w:rFonts w:asciiTheme="majorHAnsi" w:hAnsiTheme="majorHAnsi" w:cstheme="majorHAnsi"/>
                <w:b/>
                <w:bCs/>
                <w:sz w:val="18"/>
                <w:szCs w:val="18"/>
                <w:shd w:val="clear" w:color="auto" w:fill="D9D9D9" w:themeFill="background1" w:themeFillShade="D9"/>
              </w:rPr>
              <w:t>.</w:t>
            </w:r>
          </w:p>
        </w:tc>
        <w:tc>
          <w:tcPr>
            <w:tcW w:w="1275" w:type="dxa"/>
            <w:shd w:val="clear" w:color="auto" w:fill="D9D9D9" w:themeFill="background1" w:themeFillShade="D9"/>
          </w:tcPr>
          <w:p w14:paraId="08C374B0" w14:textId="77777777" w:rsidR="00554F3E" w:rsidRPr="000B4DF4" w:rsidRDefault="00554F3E" w:rsidP="00D76D28">
            <w:pPr>
              <w:jc w:val="center"/>
              <w:rPr>
                <w:rFonts w:cstheme="minorHAnsi"/>
                <w:sz w:val="18"/>
                <w:szCs w:val="18"/>
              </w:rPr>
            </w:pPr>
          </w:p>
          <w:p w14:paraId="4D604354"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60" w:type="dxa"/>
            <w:shd w:val="clear" w:color="auto" w:fill="D9D9D9" w:themeFill="background1" w:themeFillShade="D9"/>
          </w:tcPr>
          <w:p w14:paraId="0103BA9F" w14:textId="77777777" w:rsidR="00554F3E" w:rsidRPr="000B4DF4" w:rsidRDefault="00554F3E" w:rsidP="00D76D28">
            <w:pPr>
              <w:jc w:val="center"/>
              <w:rPr>
                <w:rFonts w:cstheme="minorHAnsi"/>
                <w:sz w:val="18"/>
                <w:szCs w:val="18"/>
              </w:rPr>
            </w:pPr>
          </w:p>
          <w:p w14:paraId="071B15B8"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shd w:val="clear" w:color="auto" w:fill="D9D9D9" w:themeFill="background1" w:themeFillShade="D9"/>
          </w:tcPr>
          <w:p w14:paraId="351CF0EA" w14:textId="77777777" w:rsidR="00554F3E" w:rsidRPr="000B4DF4" w:rsidRDefault="00554F3E" w:rsidP="00D76D28">
            <w:pPr>
              <w:jc w:val="center"/>
              <w:rPr>
                <w:rFonts w:cstheme="minorHAnsi"/>
                <w:sz w:val="18"/>
                <w:szCs w:val="18"/>
              </w:rPr>
            </w:pPr>
          </w:p>
          <w:p w14:paraId="32530169"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701" w:type="dxa"/>
            <w:shd w:val="clear" w:color="auto" w:fill="D9D9D9" w:themeFill="background1" w:themeFillShade="D9"/>
          </w:tcPr>
          <w:p w14:paraId="3569E469" w14:textId="77777777" w:rsidR="00554F3E" w:rsidRPr="000B4DF4" w:rsidRDefault="00554F3E" w:rsidP="00D76D28">
            <w:pPr>
              <w:jc w:val="center"/>
              <w:rPr>
                <w:rFonts w:cstheme="minorHAnsi"/>
                <w:sz w:val="18"/>
                <w:szCs w:val="18"/>
              </w:rPr>
            </w:pPr>
          </w:p>
          <w:p w14:paraId="3A6C6860"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843" w:type="dxa"/>
            <w:shd w:val="clear" w:color="auto" w:fill="D9D9D9" w:themeFill="background1" w:themeFillShade="D9"/>
          </w:tcPr>
          <w:p w14:paraId="6BECECF6" w14:textId="77777777" w:rsidR="00554F3E" w:rsidRPr="000B4DF4" w:rsidRDefault="00554F3E" w:rsidP="00D76D28">
            <w:pPr>
              <w:jc w:val="center"/>
              <w:rPr>
                <w:rFonts w:cstheme="minorHAnsi"/>
                <w:sz w:val="18"/>
                <w:szCs w:val="18"/>
              </w:rPr>
            </w:pPr>
          </w:p>
          <w:p w14:paraId="7B4B7B25"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59" w:type="dxa"/>
            <w:shd w:val="clear" w:color="auto" w:fill="D9D9D9" w:themeFill="background1" w:themeFillShade="D9"/>
          </w:tcPr>
          <w:p w14:paraId="19C03C4B" w14:textId="77777777" w:rsidR="00554F3E" w:rsidRPr="000B4DF4" w:rsidRDefault="00554F3E" w:rsidP="00D76D28">
            <w:pPr>
              <w:jc w:val="center"/>
              <w:rPr>
                <w:rFonts w:cstheme="minorHAnsi"/>
                <w:sz w:val="18"/>
                <w:szCs w:val="18"/>
              </w:rPr>
            </w:pPr>
          </w:p>
          <w:p w14:paraId="7ED5DAD7"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6" w:type="dxa"/>
            <w:shd w:val="clear" w:color="auto" w:fill="D9D9D9" w:themeFill="background1" w:themeFillShade="D9"/>
          </w:tcPr>
          <w:p w14:paraId="6D3962E3" w14:textId="77777777" w:rsidR="00554F3E" w:rsidRPr="000B4DF4" w:rsidRDefault="00554F3E" w:rsidP="00D76D28">
            <w:pPr>
              <w:jc w:val="center"/>
              <w:rPr>
                <w:rFonts w:cstheme="minorHAnsi"/>
                <w:sz w:val="18"/>
                <w:szCs w:val="18"/>
              </w:rPr>
            </w:pPr>
          </w:p>
          <w:p w14:paraId="4D93972C"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992" w:type="dxa"/>
            <w:shd w:val="clear" w:color="auto" w:fill="D9D9D9" w:themeFill="background1" w:themeFillShade="D9"/>
          </w:tcPr>
          <w:p w14:paraId="321B64CD" w14:textId="77777777" w:rsidR="00554F3E" w:rsidRPr="000B4DF4" w:rsidRDefault="00554F3E" w:rsidP="00D76D28">
            <w:pPr>
              <w:jc w:val="center"/>
              <w:rPr>
                <w:rFonts w:cstheme="minorHAnsi"/>
                <w:sz w:val="18"/>
                <w:szCs w:val="18"/>
              </w:rPr>
            </w:pPr>
          </w:p>
          <w:p w14:paraId="5FF6E2F0"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842" w:type="dxa"/>
            <w:shd w:val="clear" w:color="auto" w:fill="D9D9D9" w:themeFill="background1" w:themeFillShade="D9"/>
          </w:tcPr>
          <w:p w14:paraId="1D6D028E" w14:textId="77777777" w:rsidR="00554F3E" w:rsidRDefault="00554F3E" w:rsidP="00D76D28">
            <w:pPr>
              <w:jc w:val="center"/>
              <w:rPr>
                <w:rFonts w:cstheme="minorHAnsi"/>
                <w:sz w:val="18"/>
                <w:szCs w:val="18"/>
              </w:rPr>
            </w:pPr>
          </w:p>
          <w:p w14:paraId="7A07D49A" w14:textId="77777777" w:rsidR="00554F3E" w:rsidRDefault="00554F3E" w:rsidP="00D76D28">
            <w:pPr>
              <w:jc w:val="center"/>
              <w:rPr>
                <w:rFonts w:cstheme="minorHAnsi"/>
                <w:sz w:val="18"/>
                <w:szCs w:val="18"/>
              </w:rPr>
            </w:pPr>
            <w:r>
              <w:rPr>
                <w:rFonts w:cstheme="minorHAnsi"/>
                <w:sz w:val="18"/>
                <w:szCs w:val="18"/>
              </w:rPr>
              <w:t>7</w:t>
            </w:r>
          </w:p>
        </w:tc>
        <w:tc>
          <w:tcPr>
            <w:tcW w:w="851" w:type="dxa"/>
            <w:shd w:val="clear" w:color="auto" w:fill="D9D9D9" w:themeFill="background1" w:themeFillShade="D9"/>
          </w:tcPr>
          <w:p w14:paraId="1974220A" w14:textId="77777777" w:rsidR="00554F3E" w:rsidRPr="000B4DF4" w:rsidRDefault="00554F3E" w:rsidP="00D76D28">
            <w:pPr>
              <w:jc w:val="center"/>
              <w:rPr>
                <w:rFonts w:cstheme="minorHAnsi"/>
                <w:sz w:val="18"/>
                <w:szCs w:val="18"/>
              </w:rPr>
            </w:pPr>
          </w:p>
          <w:p w14:paraId="174AAA7C" w14:textId="77777777" w:rsidR="00554F3E" w:rsidRPr="000B4DF4" w:rsidRDefault="00554F3E" w:rsidP="00D76D28">
            <w:pPr>
              <w:jc w:val="center"/>
              <w:rPr>
                <w:rFonts w:cstheme="minorHAnsi"/>
                <w:sz w:val="18"/>
                <w:szCs w:val="18"/>
              </w:rPr>
            </w:pPr>
            <w:r w:rsidRPr="000B4DF4">
              <w:rPr>
                <w:rFonts w:cstheme="minorHAnsi"/>
                <w:sz w:val="18"/>
                <w:szCs w:val="18"/>
              </w:rPr>
              <w:sym w:font="Wingdings" w:char="F0FC"/>
            </w:r>
          </w:p>
        </w:tc>
      </w:tr>
      <w:tr w:rsidR="00554F3E" w:rsidRPr="000926D0" w14:paraId="1F7DC98B" w14:textId="77777777" w:rsidTr="00D76D28">
        <w:tc>
          <w:tcPr>
            <w:tcW w:w="1853" w:type="dxa"/>
            <w:shd w:val="clear" w:color="auto" w:fill="D9D9D9" w:themeFill="background1" w:themeFillShade="D9"/>
          </w:tcPr>
          <w:p w14:paraId="594128FF" w14:textId="77777777" w:rsidR="00554F3E" w:rsidRPr="00D4649B" w:rsidRDefault="00554F3E" w:rsidP="00D76D28">
            <w:pPr>
              <w:rPr>
                <w:b/>
                <w:bCs/>
                <w:sz w:val="18"/>
                <w:szCs w:val="18"/>
              </w:rPr>
            </w:pPr>
            <w:r w:rsidRPr="00D4649B">
              <w:rPr>
                <w:b/>
                <w:bCs/>
                <w:sz w:val="18"/>
                <w:szCs w:val="18"/>
              </w:rPr>
              <w:t xml:space="preserve">NICE guidelines 2012 </w:t>
            </w:r>
            <w:r w:rsidRPr="00D4649B">
              <w:rPr>
                <w:b/>
                <w:bCs/>
                <w:sz w:val="18"/>
                <w:szCs w:val="18"/>
              </w:rPr>
              <w:fldChar w:fldCharType="begin" w:fldLock="1"/>
            </w:r>
            <w:r>
              <w:rPr>
                <w:b/>
                <w:bCs/>
                <w:sz w:val="18"/>
                <w:szCs w:val="18"/>
              </w:rPr>
              <w:instrText>ADDIN CSL_CITATION { "citationItems" : [ { "id" : "ITEM-1", "itemData" : { "author" : [ { "dropping-particle" : "", "family" : "Guidelines development group of the National Clinical Guideline Centre", "given" : "", "non-dropping-particle" : "", "parse-names" : false, "suffix" : "" } ], "id" : "ITEM-1", "issued" : { "date-parts" : [ [ "2012" ] ] }, "number-of-pages" : "1-97", "publisher" : "National Clinical Guideline Centre at the Royal College of Physicians", "publisher-place" : "London, UK", "title" : "Osteoporosis: assessing the risk of fragility fracture | Guidance and guidelines | NICE", "type" : "report" }, "uris" : [ "http://www.mendeley.com/documents/?uuid=ec25796c-57b7-3d3f-870d-72a74abb6479" ] } ], "mendeley" : { "formattedCitation" : "&lt;sup&gt;9&lt;/sup&gt;", "plainTextFormattedCitation" : "9", "previouslyFormattedCitation" : "&lt;sup&gt;9&lt;/sup&gt;" }, "properties" : {  }, "schema" : "https://github.com/citation-style-language/schema/raw/master/csl-citation.json" }</w:instrText>
            </w:r>
            <w:r w:rsidRPr="00D4649B">
              <w:rPr>
                <w:b/>
                <w:bCs/>
                <w:sz w:val="18"/>
                <w:szCs w:val="18"/>
              </w:rPr>
              <w:fldChar w:fldCharType="separate"/>
            </w:r>
            <w:r w:rsidRPr="00601E76">
              <w:rPr>
                <w:bCs/>
                <w:noProof/>
                <w:sz w:val="18"/>
                <w:szCs w:val="18"/>
                <w:vertAlign w:val="superscript"/>
              </w:rPr>
              <w:t>9</w:t>
            </w:r>
            <w:r w:rsidRPr="00D4649B">
              <w:rPr>
                <w:b/>
                <w:bCs/>
                <w:sz w:val="18"/>
                <w:szCs w:val="18"/>
              </w:rPr>
              <w:fldChar w:fldCharType="end"/>
            </w:r>
          </w:p>
          <w:p w14:paraId="33CEACA2" w14:textId="77777777" w:rsidR="00554F3E" w:rsidRPr="00D4649B" w:rsidRDefault="00554F3E" w:rsidP="00D76D28">
            <w:pPr>
              <w:rPr>
                <w:rFonts w:asciiTheme="majorHAnsi" w:hAnsiTheme="majorHAnsi" w:cstheme="majorHAnsi"/>
                <w:b/>
                <w:bCs/>
                <w:sz w:val="18"/>
                <w:szCs w:val="18"/>
              </w:rPr>
            </w:pPr>
          </w:p>
        </w:tc>
        <w:tc>
          <w:tcPr>
            <w:tcW w:w="1275" w:type="dxa"/>
            <w:shd w:val="clear" w:color="auto" w:fill="D9D9D9" w:themeFill="background1" w:themeFillShade="D9"/>
          </w:tcPr>
          <w:p w14:paraId="1AC18F35"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60" w:type="dxa"/>
            <w:shd w:val="clear" w:color="auto" w:fill="D9D9D9" w:themeFill="background1" w:themeFillShade="D9"/>
          </w:tcPr>
          <w:p w14:paraId="0E9F9B41"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shd w:val="clear" w:color="auto" w:fill="D9D9D9" w:themeFill="background1" w:themeFillShade="D9"/>
          </w:tcPr>
          <w:p w14:paraId="1C13CC88"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701" w:type="dxa"/>
            <w:shd w:val="clear" w:color="auto" w:fill="D9D9D9" w:themeFill="background1" w:themeFillShade="D9"/>
          </w:tcPr>
          <w:p w14:paraId="3E9A2E8F"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843" w:type="dxa"/>
            <w:shd w:val="clear" w:color="auto" w:fill="D9D9D9" w:themeFill="background1" w:themeFillShade="D9"/>
          </w:tcPr>
          <w:p w14:paraId="3BF903C8"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59" w:type="dxa"/>
            <w:shd w:val="clear" w:color="auto" w:fill="D9D9D9" w:themeFill="background1" w:themeFillShade="D9"/>
          </w:tcPr>
          <w:p w14:paraId="5B12F5B5"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6" w:type="dxa"/>
            <w:shd w:val="clear" w:color="auto" w:fill="D9D9D9" w:themeFill="background1" w:themeFillShade="D9"/>
          </w:tcPr>
          <w:p w14:paraId="016909BC"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992" w:type="dxa"/>
            <w:shd w:val="clear" w:color="auto" w:fill="D9D9D9" w:themeFill="background1" w:themeFillShade="D9"/>
          </w:tcPr>
          <w:p w14:paraId="35A710C5"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842" w:type="dxa"/>
            <w:shd w:val="clear" w:color="auto" w:fill="D9D9D9" w:themeFill="background1" w:themeFillShade="D9"/>
          </w:tcPr>
          <w:p w14:paraId="653B1421" w14:textId="77777777" w:rsidR="00554F3E" w:rsidRDefault="00554F3E" w:rsidP="00D76D28">
            <w:pPr>
              <w:jc w:val="center"/>
              <w:rPr>
                <w:rFonts w:cstheme="minorHAnsi"/>
                <w:sz w:val="18"/>
                <w:szCs w:val="18"/>
              </w:rPr>
            </w:pPr>
            <w:r>
              <w:rPr>
                <w:rFonts w:cstheme="minorHAnsi"/>
                <w:sz w:val="18"/>
                <w:szCs w:val="18"/>
              </w:rPr>
              <w:t>8</w:t>
            </w:r>
          </w:p>
        </w:tc>
        <w:tc>
          <w:tcPr>
            <w:tcW w:w="851" w:type="dxa"/>
            <w:shd w:val="clear" w:color="auto" w:fill="D9D9D9" w:themeFill="background1" w:themeFillShade="D9"/>
          </w:tcPr>
          <w:p w14:paraId="268034FE" w14:textId="77777777" w:rsidR="00554F3E" w:rsidRPr="000B4DF4" w:rsidRDefault="00554F3E" w:rsidP="00D76D28">
            <w:pPr>
              <w:jc w:val="center"/>
              <w:rPr>
                <w:rFonts w:cstheme="minorHAnsi"/>
                <w:sz w:val="18"/>
                <w:szCs w:val="18"/>
              </w:rPr>
            </w:pPr>
            <w:r w:rsidRPr="000B4DF4">
              <w:rPr>
                <w:rFonts w:cstheme="minorHAnsi"/>
                <w:sz w:val="18"/>
                <w:szCs w:val="18"/>
              </w:rPr>
              <w:sym w:font="Wingdings" w:char="F0FC"/>
            </w:r>
          </w:p>
        </w:tc>
      </w:tr>
      <w:tr w:rsidR="00554F3E" w:rsidRPr="000926D0" w14:paraId="17E0FA96" w14:textId="77777777" w:rsidTr="00D76D28">
        <w:tc>
          <w:tcPr>
            <w:tcW w:w="1853" w:type="dxa"/>
            <w:shd w:val="clear" w:color="auto" w:fill="FFFFFF" w:themeFill="background1"/>
          </w:tcPr>
          <w:p w14:paraId="37A9A819" w14:textId="77777777" w:rsidR="00554F3E" w:rsidRPr="00D4649B" w:rsidRDefault="00554F3E" w:rsidP="00D76D28">
            <w:pPr>
              <w:rPr>
                <w:b/>
                <w:bCs/>
                <w:sz w:val="18"/>
                <w:szCs w:val="18"/>
              </w:rPr>
            </w:pPr>
            <w:r w:rsidRPr="00D4649B">
              <w:rPr>
                <w:rFonts w:cstheme="minorHAnsi"/>
                <w:b/>
                <w:bCs/>
                <w:sz w:val="18"/>
                <w:szCs w:val="18"/>
              </w:rPr>
              <w:t xml:space="preserve">The Endocrine Society 2012 </w:t>
            </w:r>
            <w:r w:rsidRPr="00D4649B">
              <w:rPr>
                <w:rFonts w:cstheme="minorHAnsi"/>
                <w:b/>
                <w:bCs/>
                <w:sz w:val="18"/>
                <w:szCs w:val="18"/>
              </w:rPr>
              <w:fldChar w:fldCharType="begin" w:fldLock="1"/>
            </w:r>
            <w:r>
              <w:rPr>
                <w:rFonts w:cstheme="minorHAnsi"/>
                <w:b/>
                <w:bCs/>
                <w:sz w:val="18"/>
                <w:szCs w:val="18"/>
              </w:rPr>
              <w:instrText>ADDIN CSL_CITATION { "citationItems" : [ { "id" : "ITEM-1", "itemData" : { "DOI" : "10.1210/jc.2011-3045", "abstract" : "Objective: The aim was to formulate practice guidelines for management of osteoporosis in men. Evidence: We used the Grading of Recommendations, Assessment, Development, and Evaluation (GRADE) system to describe the strength of recommendations and evidence quality. Consensus Process: Consensus was guided by systematic evidence reviews, one in-person meeting, and multiple conference calls and e-mails. Task Force drafts were reviewed successively by The Endocrine Society's Clinical Guidelines Subcommittee and Clinical Affairs Core Committee; repre-sentatives of ASBMR, ECTS, ESE, ISCD; and members at large. At each stage, the Task Force received written comments and incorporated needed changes. The reviewed document was approved by The Endocrine Society Council before submission for peer review. Conclusions: Osteoporosis in men causes significant morbidity and mortality. We recommend testing higher risk men [aged \u054670 and men aged 50 \u2013 69 who have risk factors (e.g. low body weight, prior fracture as an adult, smoking, etc.)] using central dual-energy x-ray absorptiometry. Laboratory testing should be done to detect contributing causes. Adequate calcium and vitamin D and weight-bearing exercise should be encouraged; smoking and excessive alcohol should be avoided. Pharmacological treatment is recommended for men aged 50 or older who have had spine or hip fractures, those with T-scores of \u03ea2.5 or below, and men at high risk of fracture based on low bone mineral density and/or clinical risk factors. Treatment should be monitored with serial dual-energy x-ray absorptiometry testing. (J Clin Endocrinol Metab 97: 1802\u20131822, 2012)", "author" : [ { "dropping-particle" : "", "family" : "Watts", "given" : "Nelson B", "non-dropping-particle" : "", "parse-names" : false, "suffix" : "" }, { "dropping-particle" : "", "family" : "Adler", "given" : "Robert A", "non-dropping-particle" : "", "parse-names" : false, "suffix" : "" }, { "dropping-particle" : "", "family" : "Bilezikian", "given" : "John P", "non-dropping-particle" : "", "parse-names" : false, "suffix" : "" }, { "dropping-particle" : "", "family" : "Drake", "given" : "Matthew T", "non-dropping-particle" : "", "parse-names" : false, "suffix" : "" }, { "dropping-particle" : "", "family" : "Eastell", "given" : "Richard", "non-dropping-particle" : "", "parse-names" : false, "suffix" : "" }, { "dropping-particle" : "", "family" : "Orwoll", "given" : "Eric S", "non-dropping-particle" : "", "parse-names" : false, "suffix" : "" }, { "dropping-particle" : "", "family" : "Finkelstein", "given" : "Joel S", "non-dropping-particle" : "", "parse-names" : false, "suffix" : "" } ], "container-title" : "Journal of Clinical Endocrinology and Metabolism", "id" : "ITEM-1", "issue" : "6", "issued" : { "date-parts" : [ [ "2012" ] ] }, "page" : "1802-1822", "title" : "Osteoporosis in Men: An Endocrine Society Clinical Practice Guideline", "type" : "article-journal", "volume" : "97" }, "uris" : [ "http://www.mendeley.com/documents/?uuid=a0dfa01e-6058-3f0f-b098-7cc0fe5ceb32" ] } ], "mendeley" : { "formattedCitation" : "&lt;sup&gt;68&lt;/sup&gt;", "plainTextFormattedCitation" : "68", "previouslyFormattedCitation" : "&lt;sup&gt;68&lt;/sup&gt;" }, "properties" : {  }, "schema" : "https://github.com/citation-style-language/schema/raw/master/csl-citation.json" }</w:instrText>
            </w:r>
            <w:r w:rsidRPr="00D4649B">
              <w:rPr>
                <w:rFonts w:cstheme="minorHAnsi"/>
                <w:b/>
                <w:bCs/>
                <w:sz w:val="18"/>
                <w:szCs w:val="18"/>
              </w:rPr>
              <w:fldChar w:fldCharType="separate"/>
            </w:r>
            <w:r w:rsidRPr="00C6554C">
              <w:rPr>
                <w:rFonts w:cstheme="minorHAnsi"/>
                <w:bCs/>
                <w:noProof/>
                <w:sz w:val="18"/>
                <w:szCs w:val="18"/>
                <w:vertAlign w:val="superscript"/>
              </w:rPr>
              <w:t>68</w:t>
            </w:r>
            <w:r w:rsidRPr="00D4649B">
              <w:rPr>
                <w:rFonts w:cstheme="minorHAnsi"/>
                <w:b/>
                <w:bCs/>
                <w:sz w:val="18"/>
                <w:szCs w:val="18"/>
              </w:rPr>
              <w:fldChar w:fldCharType="end"/>
            </w:r>
          </w:p>
        </w:tc>
        <w:tc>
          <w:tcPr>
            <w:tcW w:w="1275" w:type="dxa"/>
            <w:shd w:val="clear" w:color="auto" w:fill="FFFFFF" w:themeFill="background1"/>
          </w:tcPr>
          <w:p w14:paraId="02A28F51"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60" w:type="dxa"/>
            <w:shd w:val="clear" w:color="auto" w:fill="FFFFFF" w:themeFill="background1"/>
          </w:tcPr>
          <w:p w14:paraId="3160CDCD"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shd w:val="clear" w:color="auto" w:fill="FFFFFF" w:themeFill="background1"/>
          </w:tcPr>
          <w:p w14:paraId="69C3EDDD"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701" w:type="dxa"/>
            <w:shd w:val="clear" w:color="auto" w:fill="FFFFFF" w:themeFill="background1"/>
          </w:tcPr>
          <w:p w14:paraId="1C893791"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843" w:type="dxa"/>
            <w:shd w:val="clear" w:color="auto" w:fill="FFFFFF" w:themeFill="background1"/>
          </w:tcPr>
          <w:p w14:paraId="572567F4"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59" w:type="dxa"/>
            <w:shd w:val="clear" w:color="auto" w:fill="FFFFFF" w:themeFill="background1"/>
          </w:tcPr>
          <w:p w14:paraId="5111D0E9"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6" w:type="dxa"/>
            <w:shd w:val="clear" w:color="auto" w:fill="FFFFFF" w:themeFill="background1"/>
          </w:tcPr>
          <w:p w14:paraId="3388493F"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992" w:type="dxa"/>
            <w:shd w:val="clear" w:color="auto" w:fill="FFFFFF" w:themeFill="background1"/>
          </w:tcPr>
          <w:p w14:paraId="0E6EBE1F"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842" w:type="dxa"/>
            <w:shd w:val="clear" w:color="auto" w:fill="FFFFFF" w:themeFill="background1"/>
          </w:tcPr>
          <w:p w14:paraId="498062A2" w14:textId="77777777" w:rsidR="00554F3E" w:rsidRDefault="00554F3E" w:rsidP="00D76D28">
            <w:pPr>
              <w:jc w:val="center"/>
              <w:rPr>
                <w:rFonts w:cstheme="minorHAnsi"/>
                <w:sz w:val="18"/>
                <w:szCs w:val="18"/>
              </w:rPr>
            </w:pPr>
            <w:r>
              <w:rPr>
                <w:rFonts w:cstheme="minorHAnsi"/>
                <w:sz w:val="18"/>
                <w:szCs w:val="18"/>
              </w:rPr>
              <w:t>5</w:t>
            </w:r>
          </w:p>
        </w:tc>
        <w:tc>
          <w:tcPr>
            <w:tcW w:w="851" w:type="dxa"/>
            <w:shd w:val="clear" w:color="auto" w:fill="FFFFFF" w:themeFill="background1"/>
          </w:tcPr>
          <w:p w14:paraId="5D54C39B" w14:textId="77777777" w:rsidR="00554F3E" w:rsidRPr="000B4DF4" w:rsidRDefault="00554F3E" w:rsidP="00D76D28">
            <w:pPr>
              <w:jc w:val="center"/>
              <w:rPr>
                <w:rFonts w:cstheme="minorHAnsi"/>
                <w:sz w:val="18"/>
                <w:szCs w:val="18"/>
              </w:rPr>
            </w:pPr>
          </w:p>
        </w:tc>
      </w:tr>
      <w:tr w:rsidR="00554F3E" w:rsidRPr="000926D0" w14:paraId="26EEC70C" w14:textId="77777777" w:rsidTr="00D76D28">
        <w:tc>
          <w:tcPr>
            <w:tcW w:w="1853" w:type="dxa"/>
            <w:shd w:val="clear" w:color="auto" w:fill="D9D9D9" w:themeFill="background1" w:themeFillShade="D9"/>
          </w:tcPr>
          <w:p w14:paraId="2CFA07D6" w14:textId="77777777" w:rsidR="00554F3E" w:rsidRPr="00D4649B" w:rsidRDefault="00554F3E" w:rsidP="00D76D28">
            <w:pPr>
              <w:rPr>
                <w:rFonts w:cstheme="minorHAnsi"/>
                <w:b/>
                <w:bCs/>
                <w:sz w:val="18"/>
                <w:szCs w:val="18"/>
              </w:rPr>
            </w:pPr>
            <w:r w:rsidRPr="00D4649B">
              <w:rPr>
                <w:rFonts w:asciiTheme="majorHAnsi" w:hAnsiTheme="majorHAnsi" w:cstheme="majorHAnsi"/>
                <w:b/>
                <w:bCs/>
                <w:sz w:val="18"/>
                <w:szCs w:val="18"/>
              </w:rPr>
              <w:t xml:space="preserve">Institute for Clinical System Improvement guideline, 2013 </w:t>
            </w:r>
            <w:r w:rsidRPr="00D4649B">
              <w:rPr>
                <w:rFonts w:asciiTheme="majorHAnsi" w:hAnsiTheme="majorHAnsi" w:cstheme="majorHAnsi"/>
                <w:b/>
                <w:bCs/>
                <w:sz w:val="18"/>
                <w:szCs w:val="18"/>
              </w:rPr>
              <w:fldChar w:fldCharType="begin" w:fldLock="1"/>
            </w:r>
            <w:r>
              <w:rPr>
                <w:rFonts w:asciiTheme="majorHAnsi" w:hAnsiTheme="majorHAnsi" w:cstheme="majorHAnsi"/>
                <w:b/>
                <w:bCs/>
                <w:sz w:val="18"/>
                <w:szCs w:val="18"/>
              </w:rPr>
              <w:instrText>ADDIN CSL_CITATION { "citationItems" : [ { "id" : "ITEM-1", "itemData" : { "author" : [ { "dropping-particle" : "", "family" : "Florence R", "given" : "", "non-dropping-particle" : "", "parse-names" : false, "suffix" : "" }, { "dropping-particle" : "", "family" : "Allen S", "given" : "", "non-dropping-particle" : "", "parse-names" : false, "suffix" : "" }, { "dropping-particle" : "", "family" : "Benedict L", "given" : "", "non-dropping-particle" : "", "parse-names" : false, "suffix" : "" }, { "dropping-particle" : "", "family" : "Jensen", "given" : "Compo R", "non-dropping-particle" : "", "parse-names" : false, "suffix" : "" }, { "dropping-particle" : "", "family" : "Kalogeropoulou", "given" : "A", "non-dropping-particle" : "", "parse-names" : false, "suffix" : "" }, { "dropping-particle" : "", "family" : "Kearns", "given" : "D", "non-dropping-particle" : "", "parse-names" : false, "suffix" : "" }, { "dropping-particle" : "", "family" : "Larson", "given" : "A", "non-dropping-particle" : "", "parse-names" : false, "suffix" : "" }, { "dropping-particle" : "", "family" : "Mallen", "given" : "S", "non-dropping-particle" : "", "parse-names" : false, "suffix" : "" }, { "dropping-particle" : "", "family" : "'day", "given" : "O", "non-dropping-particle" : "", "parse-names" : false, "suffix" : "" }, { "dropping-particle" : "", "family" : "Peltier", "given" : "K", "non-dropping-particle" : "", "parse-names" : false, "suffix" : "" }, { "dropping-particle" : "", "family" : "Webb B", "given" : "", "non-dropping-particle" : "", "parse-names" : false, "suffix" : "" } ], "id" : "ITEM-1", "issued" : { "date-parts" : [ [ "2013" ] ] }, "number-of-pages" : "1-88", "title" : "Health Care Guideline Diagnosis and Treatment of Osteoporosis", "type" : "report" }, "uris" : [ "http://www.mendeley.com/documents/?uuid=7197e370-de05-3a6c-a3b3-93ef977128d2" ] } ], "mendeley" : { "formattedCitation" : "&lt;sup&gt;51&lt;/sup&gt;", "plainTextFormattedCitation" : "51", "previouslyFormattedCitation" : "&lt;sup&gt;51&lt;/sup&gt;" }, "properties" : {  }, "schema" : "https://github.com/citation-style-language/schema/raw/master/csl-citation.json" }</w:instrText>
            </w:r>
            <w:r w:rsidRPr="00D4649B">
              <w:rPr>
                <w:rFonts w:asciiTheme="majorHAnsi" w:hAnsiTheme="majorHAnsi" w:cstheme="majorHAnsi"/>
                <w:b/>
                <w:bCs/>
                <w:sz w:val="18"/>
                <w:szCs w:val="18"/>
              </w:rPr>
              <w:fldChar w:fldCharType="separate"/>
            </w:r>
            <w:r w:rsidRPr="00C6554C">
              <w:rPr>
                <w:rFonts w:asciiTheme="majorHAnsi" w:hAnsiTheme="majorHAnsi" w:cstheme="majorHAnsi"/>
                <w:bCs/>
                <w:noProof/>
                <w:sz w:val="18"/>
                <w:szCs w:val="18"/>
                <w:vertAlign w:val="superscript"/>
              </w:rPr>
              <w:t>51</w:t>
            </w:r>
            <w:r w:rsidRPr="00D4649B">
              <w:rPr>
                <w:rFonts w:asciiTheme="majorHAnsi" w:hAnsiTheme="majorHAnsi" w:cstheme="majorHAnsi"/>
                <w:b/>
                <w:bCs/>
                <w:sz w:val="18"/>
                <w:szCs w:val="18"/>
              </w:rPr>
              <w:fldChar w:fldCharType="end"/>
            </w:r>
            <w:r w:rsidRPr="00D4649B">
              <w:rPr>
                <w:rFonts w:asciiTheme="majorHAnsi" w:hAnsiTheme="majorHAnsi" w:cstheme="majorHAnsi"/>
                <w:b/>
                <w:bCs/>
                <w:sz w:val="18"/>
                <w:szCs w:val="18"/>
              </w:rPr>
              <w:t>.</w:t>
            </w:r>
          </w:p>
        </w:tc>
        <w:tc>
          <w:tcPr>
            <w:tcW w:w="1275" w:type="dxa"/>
            <w:shd w:val="clear" w:color="auto" w:fill="D9D9D9" w:themeFill="background1" w:themeFillShade="D9"/>
          </w:tcPr>
          <w:p w14:paraId="0F0B7131" w14:textId="77777777" w:rsidR="00554F3E" w:rsidRPr="000B4DF4" w:rsidRDefault="00554F3E" w:rsidP="00D76D28">
            <w:pPr>
              <w:jc w:val="center"/>
              <w:rPr>
                <w:rFonts w:cstheme="minorHAnsi"/>
                <w:sz w:val="18"/>
                <w:szCs w:val="18"/>
              </w:rPr>
            </w:pPr>
          </w:p>
          <w:p w14:paraId="45020D1D"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60" w:type="dxa"/>
            <w:shd w:val="clear" w:color="auto" w:fill="D9D9D9" w:themeFill="background1" w:themeFillShade="D9"/>
          </w:tcPr>
          <w:p w14:paraId="7ABDE0BB" w14:textId="77777777" w:rsidR="00554F3E" w:rsidRPr="000B4DF4" w:rsidRDefault="00554F3E" w:rsidP="00D76D28">
            <w:pPr>
              <w:jc w:val="center"/>
              <w:rPr>
                <w:rFonts w:cstheme="minorHAnsi"/>
                <w:sz w:val="18"/>
                <w:szCs w:val="18"/>
              </w:rPr>
            </w:pPr>
          </w:p>
          <w:p w14:paraId="616365E9"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shd w:val="clear" w:color="auto" w:fill="D9D9D9" w:themeFill="background1" w:themeFillShade="D9"/>
          </w:tcPr>
          <w:p w14:paraId="3D497EC6" w14:textId="77777777" w:rsidR="00554F3E" w:rsidRPr="000B4DF4" w:rsidRDefault="00554F3E" w:rsidP="00D76D28">
            <w:pPr>
              <w:jc w:val="center"/>
              <w:rPr>
                <w:rFonts w:cstheme="minorHAnsi"/>
                <w:sz w:val="18"/>
                <w:szCs w:val="18"/>
              </w:rPr>
            </w:pPr>
          </w:p>
          <w:p w14:paraId="479157AF"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701" w:type="dxa"/>
            <w:shd w:val="clear" w:color="auto" w:fill="D9D9D9" w:themeFill="background1" w:themeFillShade="D9"/>
          </w:tcPr>
          <w:p w14:paraId="2DDDA1AD" w14:textId="77777777" w:rsidR="00554F3E" w:rsidRPr="000B4DF4" w:rsidRDefault="00554F3E" w:rsidP="00D76D28">
            <w:pPr>
              <w:jc w:val="center"/>
              <w:rPr>
                <w:rFonts w:cstheme="minorHAnsi"/>
                <w:sz w:val="18"/>
                <w:szCs w:val="18"/>
              </w:rPr>
            </w:pPr>
          </w:p>
          <w:p w14:paraId="2A90402B"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843" w:type="dxa"/>
            <w:shd w:val="clear" w:color="auto" w:fill="D9D9D9" w:themeFill="background1" w:themeFillShade="D9"/>
          </w:tcPr>
          <w:p w14:paraId="7AFA6EAF" w14:textId="77777777" w:rsidR="00554F3E" w:rsidRPr="000B4DF4" w:rsidRDefault="00554F3E" w:rsidP="00D76D28">
            <w:pPr>
              <w:jc w:val="center"/>
              <w:rPr>
                <w:rFonts w:cstheme="minorHAnsi"/>
                <w:sz w:val="18"/>
                <w:szCs w:val="18"/>
              </w:rPr>
            </w:pPr>
          </w:p>
          <w:p w14:paraId="74753133"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559" w:type="dxa"/>
            <w:shd w:val="clear" w:color="auto" w:fill="D9D9D9" w:themeFill="background1" w:themeFillShade="D9"/>
          </w:tcPr>
          <w:p w14:paraId="4EED54A8" w14:textId="77777777" w:rsidR="00554F3E" w:rsidRPr="000B4DF4" w:rsidRDefault="00554F3E" w:rsidP="00D76D28">
            <w:pPr>
              <w:jc w:val="center"/>
              <w:rPr>
                <w:rFonts w:cstheme="minorHAnsi"/>
                <w:sz w:val="18"/>
                <w:szCs w:val="18"/>
              </w:rPr>
            </w:pPr>
          </w:p>
          <w:p w14:paraId="01D596DD"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6" w:type="dxa"/>
            <w:shd w:val="clear" w:color="auto" w:fill="D9D9D9" w:themeFill="background1" w:themeFillShade="D9"/>
          </w:tcPr>
          <w:p w14:paraId="7A0949FD" w14:textId="77777777" w:rsidR="00554F3E" w:rsidRPr="000B4DF4" w:rsidRDefault="00554F3E" w:rsidP="00D76D28">
            <w:pPr>
              <w:jc w:val="center"/>
              <w:rPr>
                <w:rFonts w:cstheme="minorHAnsi"/>
                <w:sz w:val="18"/>
                <w:szCs w:val="18"/>
              </w:rPr>
            </w:pPr>
          </w:p>
          <w:p w14:paraId="51686779"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992" w:type="dxa"/>
            <w:shd w:val="clear" w:color="auto" w:fill="D9D9D9" w:themeFill="background1" w:themeFillShade="D9"/>
          </w:tcPr>
          <w:p w14:paraId="2D566167" w14:textId="77777777" w:rsidR="00554F3E" w:rsidRPr="000B4DF4" w:rsidRDefault="00554F3E" w:rsidP="00D76D28">
            <w:pPr>
              <w:jc w:val="center"/>
              <w:rPr>
                <w:rFonts w:cstheme="minorHAnsi"/>
                <w:sz w:val="18"/>
                <w:szCs w:val="18"/>
              </w:rPr>
            </w:pPr>
          </w:p>
          <w:p w14:paraId="65E37B17"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842" w:type="dxa"/>
            <w:shd w:val="clear" w:color="auto" w:fill="D9D9D9" w:themeFill="background1" w:themeFillShade="D9"/>
          </w:tcPr>
          <w:p w14:paraId="62F616EB" w14:textId="77777777" w:rsidR="00554F3E" w:rsidRDefault="00554F3E" w:rsidP="00D76D28">
            <w:pPr>
              <w:jc w:val="center"/>
              <w:rPr>
                <w:rFonts w:cstheme="minorHAnsi"/>
                <w:sz w:val="18"/>
                <w:szCs w:val="18"/>
              </w:rPr>
            </w:pPr>
          </w:p>
          <w:p w14:paraId="15DA0EFD" w14:textId="77777777" w:rsidR="00554F3E" w:rsidRDefault="00554F3E" w:rsidP="00D76D28">
            <w:pPr>
              <w:jc w:val="center"/>
              <w:rPr>
                <w:rFonts w:cstheme="minorHAnsi"/>
                <w:sz w:val="18"/>
                <w:szCs w:val="18"/>
              </w:rPr>
            </w:pPr>
            <w:r>
              <w:rPr>
                <w:rFonts w:cstheme="minorHAnsi"/>
                <w:sz w:val="18"/>
                <w:szCs w:val="18"/>
              </w:rPr>
              <w:t>8</w:t>
            </w:r>
          </w:p>
        </w:tc>
        <w:tc>
          <w:tcPr>
            <w:tcW w:w="851" w:type="dxa"/>
            <w:shd w:val="clear" w:color="auto" w:fill="D9D9D9" w:themeFill="background1" w:themeFillShade="D9"/>
          </w:tcPr>
          <w:p w14:paraId="697DBCAD" w14:textId="77777777" w:rsidR="00554F3E" w:rsidRPr="000B4DF4" w:rsidRDefault="00554F3E" w:rsidP="00D76D28">
            <w:pPr>
              <w:jc w:val="center"/>
              <w:rPr>
                <w:rFonts w:cstheme="minorHAnsi"/>
                <w:sz w:val="18"/>
                <w:szCs w:val="18"/>
              </w:rPr>
            </w:pPr>
          </w:p>
          <w:p w14:paraId="17BC1E9A" w14:textId="77777777" w:rsidR="00554F3E" w:rsidRPr="000B4DF4" w:rsidRDefault="00554F3E" w:rsidP="00D76D28">
            <w:pPr>
              <w:jc w:val="center"/>
              <w:rPr>
                <w:rFonts w:cstheme="minorHAnsi"/>
                <w:sz w:val="18"/>
                <w:szCs w:val="18"/>
              </w:rPr>
            </w:pPr>
            <w:r w:rsidRPr="000B4DF4">
              <w:rPr>
                <w:rFonts w:cstheme="minorHAnsi"/>
                <w:sz w:val="18"/>
                <w:szCs w:val="18"/>
              </w:rPr>
              <w:sym w:font="Wingdings" w:char="F0FC"/>
            </w:r>
          </w:p>
        </w:tc>
      </w:tr>
      <w:tr w:rsidR="00554F3E" w:rsidRPr="000926D0" w14:paraId="1C76D313" w14:textId="77777777" w:rsidTr="00D76D28">
        <w:tc>
          <w:tcPr>
            <w:tcW w:w="1853" w:type="dxa"/>
            <w:shd w:val="clear" w:color="auto" w:fill="FFFFFF" w:themeFill="background1"/>
          </w:tcPr>
          <w:p w14:paraId="3156EDAE" w14:textId="77777777" w:rsidR="00554F3E" w:rsidRPr="00D4649B" w:rsidRDefault="00554F3E" w:rsidP="00D76D28">
            <w:pPr>
              <w:rPr>
                <w:rFonts w:asciiTheme="majorHAnsi" w:hAnsiTheme="majorHAnsi" w:cstheme="majorHAnsi"/>
                <w:b/>
                <w:bCs/>
                <w:sz w:val="18"/>
                <w:szCs w:val="18"/>
              </w:rPr>
            </w:pPr>
            <w:r w:rsidRPr="00D4649B">
              <w:rPr>
                <w:b/>
                <w:bCs/>
                <w:sz w:val="18"/>
                <w:szCs w:val="18"/>
              </w:rPr>
              <w:t xml:space="preserve">Indian Menopause Society, 2013 </w:t>
            </w:r>
            <w:r w:rsidRPr="00D4649B">
              <w:rPr>
                <w:b/>
                <w:bCs/>
                <w:sz w:val="18"/>
                <w:szCs w:val="18"/>
              </w:rPr>
              <w:fldChar w:fldCharType="begin" w:fldLock="1"/>
            </w:r>
            <w:r>
              <w:rPr>
                <w:b/>
                <w:bCs/>
                <w:sz w:val="18"/>
                <w:szCs w:val="18"/>
              </w:rPr>
              <w:instrText>ADDIN CSL_CITATION { "citationItems" : [ { "id" : "ITEM-1", "itemData" : { "DOI" : "10.4103/0976-7800.115293", "ISSN" : "0976-7800", "PMID" : "24082708", "author" : [ { "dropping-particle" : "", "family" : "Meeta", "given" : "", "non-dropping-particle" : "", "parse-names" : false, "suffix" : "" }, { "dropping-particle" : "V", "family" : "Harinarayan", "given" : "C", "non-dropping-particle" : "", "parse-names" : false, "suffix" : "" }, { "dropping-particle" : "", "family" : "Marwah", "given" : "Raman", "non-dropping-particle" : "", "parse-names" : false, "suffix" : "" }, { "dropping-particle" : "", "family" : "Sahay", "given" : "Rakesh", "non-dropping-particle" : "", "parse-names" : false, "suffix" : "" }, { "dropping-particle" : "", "family" : "Kalra", "given" : "Sanjay", "non-dropping-particle" : "", "parse-names" : false, "suffix" : "" }, { "dropping-particle" : "", "family" : "Babhulkar", "given" : "Sushrut", "non-dropping-particle" : "", "parse-names" : false, "suffix" : "" } ], "container-title" : "Journal of mid-life health", "id" : "ITEM-1", "issue" : "2", "issued" : { "date-parts" : [ [ "2013", "4" ] ] }, "page" : "107-26", "title" : "Clinical practice guidelines on postmenopausal osteoporosis: An executive summary and recommendations.", "type" : "article-journal", "volume" : "4" }, "uris" : [ "http://www.mendeley.com/documents/?uuid=594e89f4-8bc6-3722-a84a-bb02785c8723" ] } ], "mendeley" : { "formattedCitation" : "&lt;sup&gt;69&lt;/sup&gt;", "plainTextFormattedCitation" : "69", "previouslyFormattedCitation" : "&lt;sup&gt;69&lt;/sup&gt;" }, "properties" : {  }, "schema" : "https://github.com/citation-style-language/schema/raw/master/csl-citation.json" }</w:instrText>
            </w:r>
            <w:r w:rsidRPr="00D4649B">
              <w:rPr>
                <w:b/>
                <w:bCs/>
                <w:sz w:val="18"/>
                <w:szCs w:val="18"/>
              </w:rPr>
              <w:fldChar w:fldCharType="separate"/>
            </w:r>
            <w:r w:rsidRPr="00C6554C">
              <w:rPr>
                <w:bCs/>
                <w:noProof/>
                <w:sz w:val="18"/>
                <w:szCs w:val="18"/>
                <w:vertAlign w:val="superscript"/>
              </w:rPr>
              <w:t>69</w:t>
            </w:r>
            <w:r w:rsidRPr="00D4649B">
              <w:rPr>
                <w:b/>
                <w:bCs/>
                <w:sz w:val="18"/>
                <w:szCs w:val="18"/>
              </w:rPr>
              <w:fldChar w:fldCharType="end"/>
            </w:r>
          </w:p>
        </w:tc>
        <w:tc>
          <w:tcPr>
            <w:tcW w:w="1275" w:type="dxa"/>
            <w:shd w:val="clear" w:color="auto" w:fill="FFFFFF" w:themeFill="background1"/>
          </w:tcPr>
          <w:p w14:paraId="6EE8E946"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560" w:type="dxa"/>
            <w:shd w:val="clear" w:color="auto" w:fill="FFFFFF" w:themeFill="background1"/>
          </w:tcPr>
          <w:p w14:paraId="784A240D"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275" w:type="dxa"/>
            <w:shd w:val="clear" w:color="auto" w:fill="FFFFFF" w:themeFill="background1"/>
          </w:tcPr>
          <w:p w14:paraId="4F561037"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701" w:type="dxa"/>
            <w:shd w:val="clear" w:color="auto" w:fill="FFFFFF" w:themeFill="background1"/>
          </w:tcPr>
          <w:p w14:paraId="33B8F3CF"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843" w:type="dxa"/>
            <w:shd w:val="clear" w:color="auto" w:fill="FFFFFF" w:themeFill="background1"/>
          </w:tcPr>
          <w:p w14:paraId="596E2044"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559" w:type="dxa"/>
            <w:shd w:val="clear" w:color="auto" w:fill="FFFFFF" w:themeFill="background1"/>
          </w:tcPr>
          <w:p w14:paraId="70D8C943"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276" w:type="dxa"/>
            <w:shd w:val="clear" w:color="auto" w:fill="FFFFFF" w:themeFill="background1"/>
          </w:tcPr>
          <w:p w14:paraId="47ADF325"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992" w:type="dxa"/>
            <w:shd w:val="clear" w:color="auto" w:fill="FFFFFF" w:themeFill="background1"/>
          </w:tcPr>
          <w:p w14:paraId="7755AA2E"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842" w:type="dxa"/>
            <w:shd w:val="clear" w:color="auto" w:fill="FFFFFF" w:themeFill="background1"/>
          </w:tcPr>
          <w:p w14:paraId="2C6E9B73" w14:textId="77777777" w:rsidR="00554F3E" w:rsidRDefault="00554F3E" w:rsidP="00D76D28">
            <w:pPr>
              <w:jc w:val="center"/>
              <w:rPr>
                <w:rFonts w:cstheme="minorHAnsi"/>
                <w:sz w:val="18"/>
                <w:szCs w:val="18"/>
              </w:rPr>
            </w:pPr>
            <w:r>
              <w:rPr>
                <w:rFonts w:cstheme="minorHAnsi"/>
                <w:sz w:val="18"/>
                <w:szCs w:val="18"/>
              </w:rPr>
              <w:t>3</w:t>
            </w:r>
          </w:p>
        </w:tc>
        <w:tc>
          <w:tcPr>
            <w:tcW w:w="851" w:type="dxa"/>
            <w:shd w:val="clear" w:color="auto" w:fill="FFFFFF" w:themeFill="background1"/>
          </w:tcPr>
          <w:p w14:paraId="2A4E649E" w14:textId="77777777" w:rsidR="00554F3E" w:rsidRPr="000B4DF4" w:rsidRDefault="00554F3E" w:rsidP="00D76D28">
            <w:pPr>
              <w:jc w:val="center"/>
              <w:rPr>
                <w:rFonts w:cstheme="minorHAnsi"/>
                <w:sz w:val="18"/>
                <w:szCs w:val="18"/>
              </w:rPr>
            </w:pPr>
          </w:p>
        </w:tc>
      </w:tr>
      <w:tr w:rsidR="00554F3E" w:rsidRPr="000926D0" w14:paraId="64281AEC" w14:textId="77777777" w:rsidTr="00D76D28">
        <w:tc>
          <w:tcPr>
            <w:tcW w:w="1853" w:type="dxa"/>
            <w:tcBorders>
              <w:bottom w:val="single" w:sz="4" w:space="0" w:color="auto"/>
            </w:tcBorders>
            <w:shd w:val="clear" w:color="auto" w:fill="FFFFFF" w:themeFill="background1"/>
          </w:tcPr>
          <w:p w14:paraId="158C32EE" w14:textId="77777777" w:rsidR="00554F3E" w:rsidRPr="00D4649B" w:rsidRDefault="00554F3E" w:rsidP="00D76D28">
            <w:pPr>
              <w:rPr>
                <w:b/>
                <w:bCs/>
                <w:color w:val="000000"/>
                <w:sz w:val="18"/>
                <w:szCs w:val="18"/>
              </w:rPr>
            </w:pPr>
            <w:r w:rsidRPr="00D4649B">
              <w:rPr>
                <w:b/>
                <w:bCs/>
                <w:color w:val="000000"/>
                <w:sz w:val="18"/>
                <w:szCs w:val="18"/>
              </w:rPr>
              <w:t>National Foundation of Osteoporosis</w:t>
            </w:r>
          </w:p>
          <w:p w14:paraId="3E8AA2B0" w14:textId="77777777" w:rsidR="00554F3E" w:rsidRPr="00D4649B" w:rsidRDefault="00554F3E" w:rsidP="00D76D28">
            <w:pPr>
              <w:rPr>
                <w:b/>
                <w:bCs/>
                <w:sz w:val="18"/>
                <w:szCs w:val="18"/>
              </w:rPr>
            </w:pPr>
            <w:r w:rsidRPr="00D4649B">
              <w:rPr>
                <w:rFonts w:cstheme="minorHAnsi"/>
                <w:b/>
                <w:bCs/>
                <w:sz w:val="18"/>
                <w:szCs w:val="18"/>
              </w:rPr>
              <w:t xml:space="preserve">2014 </w:t>
            </w:r>
            <w:r w:rsidRPr="00D4649B">
              <w:rPr>
                <w:rFonts w:cstheme="minorHAnsi"/>
                <w:b/>
                <w:bCs/>
                <w:sz w:val="18"/>
                <w:szCs w:val="18"/>
              </w:rPr>
              <w:fldChar w:fldCharType="begin" w:fldLock="1"/>
            </w:r>
            <w:r>
              <w:rPr>
                <w:rFonts w:cstheme="minorHAnsi"/>
                <w:b/>
                <w:bCs/>
                <w:sz w:val="18"/>
                <w:szCs w:val="18"/>
              </w:rPr>
              <w:instrText>ADDIN CSL_CITATION { "citationItems" : [ { "id" : "ITEM-1", "itemData" : { "DOI" : "10.1007/s00198-014-2794-2", "ISSN" : "1433-2965", "PMID" : "25182228", "abstract" : "The Clinician's Guide to Prevention and Treatment of Osteoporosis was developed by an expert committee of the National Osteoporosis Foundation (NOF) in collaboration with a multispecialty council of medical experts in the field of bone health convened by NOF. Readers are urged to consult current prescribing information on any drug, device, or procedure discussed in this publication.", "author" : [ { "dropping-particle" : "", "family" : "Cosman", "given" : "F", "non-dropping-particle" : "", "parse-names" : false, "suffix" : "" }, { "dropping-particle" : "", "family" : "Beur", "given" : "S J", "non-dropping-particle" : "de", "parse-names" : false, "suffix" : "" }, { "dropping-particle" : "", "family" : "LeBoff", "given" : "M S", "non-dropping-particle" : "", "parse-names" : false, "suffix" : "" }, { "dropping-particle" : "", "family" : "Lewiecki", "given" : "E M", "non-dropping-particle" : "", "parse-names" : false, "suffix" : "" }, { "dropping-particle" : "", "family" : "Tanner", "given" : "B", "non-dropping-particle" : "", "parse-names" : false, "suffix" : "" }, { "dropping-particle" : "", "family" : "Randall", "given" : "S", "non-dropping-particle" : "", "parse-names" : false, "suffix" : "" }, { "dropping-particle" : "", "family" : "Lindsay", "given" : "R", "non-dropping-particle" : "", "parse-names" : false, "suffix" : "" }, { "dropping-particle" : "", "family" : "National Osteoporosis Foundation", "given" : "", "non-dropping-particle" : "", "parse-names" : false, "suffix" : "" } ], "container-title" : "Osteoporosis international : a journal established as result of cooperation between the European Foundation for Osteoporosis and the National Osteoporosis Foundation of the USA", "id" : "ITEM-1", "issue" : "10", "issued" : { "date-parts" : [ [ "2014", "10" ] ] }, "page" : "2359-81", "publisher" : "Springer", "title" : "Clinician's Guide to Prevention and Treatment of Osteoporosis.", "type" : "article-journal", "volume" : "25" }, "uris" : [ "http://www.mendeley.com/documents/?uuid=40b9e587-270f-38f5-a557-2eb51e05c2fb" ] } ], "mendeley" : { "formattedCitation" : "&lt;sup&gt;54&lt;/sup&gt;", "plainTextFormattedCitation" : "54", "previouslyFormattedCitation" : "&lt;sup&gt;54&lt;/sup&gt;" }, "properties" : {  }, "schema" : "https://github.com/citation-style-language/schema/raw/master/csl-citation.json" }</w:instrText>
            </w:r>
            <w:r w:rsidRPr="00D4649B">
              <w:rPr>
                <w:rFonts w:cstheme="minorHAnsi"/>
                <w:b/>
                <w:bCs/>
                <w:sz w:val="18"/>
                <w:szCs w:val="18"/>
              </w:rPr>
              <w:fldChar w:fldCharType="separate"/>
            </w:r>
            <w:r w:rsidRPr="00C6554C">
              <w:rPr>
                <w:rFonts w:cstheme="minorHAnsi"/>
                <w:bCs/>
                <w:noProof/>
                <w:sz w:val="18"/>
                <w:szCs w:val="18"/>
                <w:vertAlign w:val="superscript"/>
              </w:rPr>
              <w:t>54</w:t>
            </w:r>
            <w:r w:rsidRPr="00D4649B">
              <w:rPr>
                <w:rFonts w:cstheme="minorHAnsi"/>
                <w:b/>
                <w:bCs/>
                <w:sz w:val="18"/>
                <w:szCs w:val="18"/>
              </w:rPr>
              <w:fldChar w:fldCharType="end"/>
            </w:r>
          </w:p>
        </w:tc>
        <w:tc>
          <w:tcPr>
            <w:tcW w:w="1275" w:type="dxa"/>
            <w:tcBorders>
              <w:bottom w:val="single" w:sz="4" w:space="0" w:color="auto"/>
            </w:tcBorders>
            <w:shd w:val="clear" w:color="auto" w:fill="FFFFFF" w:themeFill="background1"/>
          </w:tcPr>
          <w:p w14:paraId="679005B0" w14:textId="77777777" w:rsidR="00554F3E" w:rsidRPr="000B4DF4" w:rsidRDefault="00554F3E" w:rsidP="00D76D28">
            <w:pPr>
              <w:jc w:val="center"/>
              <w:rPr>
                <w:rFonts w:cstheme="minorHAnsi"/>
                <w:sz w:val="18"/>
                <w:szCs w:val="18"/>
              </w:rPr>
            </w:pPr>
          </w:p>
          <w:p w14:paraId="1B372348"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560" w:type="dxa"/>
            <w:tcBorders>
              <w:bottom w:val="single" w:sz="4" w:space="0" w:color="auto"/>
            </w:tcBorders>
            <w:shd w:val="clear" w:color="auto" w:fill="FFFFFF" w:themeFill="background1"/>
          </w:tcPr>
          <w:p w14:paraId="2D513BAD" w14:textId="77777777" w:rsidR="00554F3E" w:rsidRPr="000B4DF4" w:rsidRDefault="00554F3E" w:rsidP="00D76D28">
            <w:pPr>
              <w:jc w:val="center"/>
              <w:rPr>
                <w:rFonts w:cstheme="minorHAnsi"/>
                <w:sz w:val="18"/>
                <w:szCs w:val="18"/>
              </w:rPr>
            </w:pPr>
          </w:p>
          <w:p w14:paraId="206B305E"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5" w:type="dxa"/>
            <w:tcBorders>
              <w:bottom w:val="single" w:sz="4" w:space="0" w:color="auto"/>
            </w:tcBorders>
            <w:shd w:val="clear" w:color="auto" w:fill="FFFFFF" w:themeFill="background1"/>
          </w:tcPr>
          <w:p w14:paraId="4B2B5BCB" w14:textId="77777777" w:rsidR="00554F3E" w:rsidRPr="000B4DF4" w:rsidRDefault="00554F3E" w:rsidP="00D76D28">
            <w:pPr>
              <w:jc w:val="center"/>
              <w:rPr>
                <w:rFonts w:cstheme="minorHAnsi"/>
                <w:sz w:val="18"/>
                <w:szCs w:val="18"/>
              </w:rPr>
            </w:pPr>
          </w:p>
          <w:p w14:paraId="596D45D3"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701" w:type="dxa"/>
            <w:tcBorders>
              <w:bottom w:val="single" w:sz="4" w:space="0" w:color="auto"/>
            </w:tcBorders>
            <w:shd w:val="clear" w:color="auto" w:fill="FFFFFF" w:themeFill="background1"/>
          </w:tcPr>
          <w:p w14:paraId="501C89A4" w14:textId="77777777" w:rsidR="00554F3E" w:rsidRPr="000B4DF4" w:rsidRDefault="00554F3E" w:rsidP="00D76D28">
            <w:pPr>
              <w:jc w:val="center"/>
              <w:rPr>
                <w:rFonts w:cstheme="minorHAnsi"/>
                <w:sz w:val="18"/>
                <w:szCs w:val="18"/>
              </w:rPr>
            </w:pPr>
          </w:p>
          <w:p w14:paraId="71D9382F"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843" w:type="dxa"/>
            <w:tcBorders>
              <w:bottom w:val="single" w:sz="4" w:space="0" w:color="auto"/>
            </w:tcBorders>
            <w:shd w:val="clear" w:color="auto" w:fill="FFFFFF" w:themeFill="background1"/>
          </w:tcPr>
          <w:p w14:paraId="354D5A96" w14:textId="77777777" w:rsidR="00554F3E" w:rsidRPr="000B4DF4" w:rsidRDefault="00554F3E" w:rsidP="00D76D28">
            <w:pPr>
              <w:jc w:val="center"/>
              <w:rPr>
                <w:rFonts w:cstheme="minorHAnsi"/>
                <w:sz w:val="18"/>
                <w:szCs w:val="18"/>
              </w:rPr>
            </w:pPr>
          </w:p>
          <w:p w14:paraId="7398FB8A"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559" w:type="dxa"/>
            <w:tcBorders>
              <w:bottom w:val="single" w:sz="4" w:space="0" w:color="auto"/>
            </w:tcBorders>
            <w:shd w:val="clear" w:color="auto" w:fill="FFFFFF" w:themeFill="background1"/>
          </w:tcPr>
          <w:p w14:paraId="4EF6CF2C" w14:textId="77777777" w:rsidR="00554F3E" w:rsidRPr="000B4DF4" w:rsidRDefault="00554F3E" w:rsidP="00D76D28">
            <w:pPr>
              <w:jc w:val="center"/>
              <w:rPr>
                <w:rFonts w:cstheme="minorHAnsi"/>
                <w:sz w:val="18"/>
                <w:szCs w:val="18"/>
              </w:rPr>
            </w:pPr>
          </w:p>
          <w:p w14:paraId="6D76B681"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276" w:type="dxa"/>
            <w:tcBorders>
              <w:bottom w:val="single" w:sz="4" w:space="0" w:color="auto"/>
            </w:tcBorders>
            <w:shd w:val="clear" w:color="auto" w:fill="FFFFFF" w:themeFill="background1"/>
          </w:tcPr>
          <w:p w14:paraId="7E4465CD" w14:textId="77777777" w:rsidR="00554F3E" w:rsidRPr="000B4DF4" w:rsidRDefault="00554F3E" w:rsidP="00D76D28">
            <w:pPr>
              <w:jc w:val="center"/>
              <w:rPr>
                <w:rFonts w:cstheme="minorHAnsi"/>
                <w:sz w:val="18"/>
                <w:szCs w:val="18"/>
              </w:rPr>
            </w:pPr>
          </w:p>
          <w:p w14:paraId="21025BE4"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992" w:type="dxa"/>
            <w:tcBorders>
              <w:bottom w:val="single" w:sz="4" w:space="0" w:color="auto"/>
            </w:tcBorders>
            <w:shd w:val="clear" w:color="auto" w:fill="FFFFFF" w:themeFill="background1"/>
          </w:tcPr>
          <w:p w14:paraId="728BFB63" w14:textId="77777777" w:rsidR="00554F3E" w:rsidRPr="000B4DF4" w:rsidRDefault="00554F3E" w:rsidP="00D76D28">
            <w:pPr>
              <w:jc w:val="center"/>
              <w:rPr>
                <w:rFonts w:cstheme="minorHAnsi"/>
                <w:sz w:val="18"/>
                <w:szCs w:val="18"/>
              </w:rPr>
            </w:pPr>
          </w:p>
          <w:p w14:paraId="7F3802B1" w14:textId="77777777" w:rsidR="00554F3E" w:rsidRPr="000B4DF4" w:rsidRDefault="00554F3E" w:rsidP="00D76D28">
            <w:pPr>
              <w:jc w:val="center"/>
              <w:rPr>
                <w:rFonts w:cstheme="minorHAnsi"/>
                <w:sz w:val="18"/>
                <w:szCs w:val="18"/>
              </w:rPr>
            </w:pPr>
            <w:r>
              <w:rPr>
                <w:rFonts w:cstheme="minorHAnsi"/>
                <w:sz w:val="18"/>
                <w:szCs w:val="18"/>
              </w:rPr>
              <w:t>N</w:t>
            </w:r>
          </w:p>
        </w:tc>
        <w:tc>
          <w:tcPr>
            <w:tcW w:w="842" w:type="dxa"/>
            <w:tcBorders>
              <w:bottom w:val="single" w:sz="4" w:space="0" w:color="auto"/>
            </w:tcBorders>
            <w:shd w:val="clear" w:color="auto" w:fill="FFFFFF" w:themeFill="background1"/>
          </w:tcPr>
          <w:p w14:paraId="22CC38B6" w14:textId="77777777" w:rsidR="00554F3E" w:rsidRDefault="00554F3E" w:rsidP="00D76D28">
            <w:pPr>
              <w:jc w:val="center"/>
              <w:rPr>
                <w:rFonts w:cstheme="minorHAnsi"/>
                <w:sz w:val="18"/>
                <w:szCs w:val="18"/>
              </w:rPr>
            </w:pPr>
          </w:p>
          <w:p w14:paraId="0FA87410" w14:textId="77777777" w:rsidR="00554F3E" w:rsidRDefault="00554F3E" w:rsidP="00D76D28">
            <w:pPr>
              <w:jc w:val="center"/>
              <w:rPr>
                <w:rFonts w:cstheme="minorHAnsi"/>
                <w:sz w:val="18"/>
                <w:szCs w:val="18"/>
              </w:rPr>
            </w:pPr>
            <w:r>
              <w:rPr>
                <w:rFonts w:cstheme="minorHAnsi"/>
                <w:sz w:val="18"/>
                <w:szCs w:val="18"/>
              </w:rPr>
              <w:t>1</w:t>
            </w:r>
          </w:p>
        </w:tc>
        <w:tc>
          <w:tcPr>
            <w:tcW w:w="851" w:type="dxa"/>
            <w:tcBorders>
              <w:bottom w:val="single" w:sz="4" w:space="0" w:color="auto"/>
            </w:tcBorders>
            <w:shd w:val="clear" w:color="auto" w:fill="FFFFFF" w:themeFill="background1"/>
          </w:tcPr>
          <w:p w14:paraId="4C794A66" w14:textId="77777777" w:rsidR="00554F3E" w:rsidRPr="000B4DF4" w:rsidRDefault="00554F3E" w:rsidP="00D76D28">
            <w:pPr>
              <w:jc w:val="center"/>
              <w:rPr>
                <w:rFonts w:cstheme="minorHAnsi"/>
                <w:sz w:val="18"/>
                <w:szCs w:val="18"/>
              </w:rPr>
            </w:pPr>
          </w:p>
        </w:tc>
      </w:tr>
      <w:tr w:rsidR="00554F3E" w:rsidRPr="000926D0" w14:paraId="1E4E6C6A" w14:textId="77777777" w:rsidTr="00D76D28">
        <w:tc>
          <w:tcPr>
            <w:tcW w:w="1853" w:type="dxa"/>
            <w:tcBorders>
              <w:bottom w:val="nil"/>
            </w:tcBorders>
            <w:shd w:val="clear" w:color="auto" w:fill="FFFFFF" w:themeFill="background1"/>
          </w:tcPr>
          <w:p w14:paraId="719DB0D7" w14:textId="77777777" w:rsidR="00554F3E" w:rsidRPr="00D4649B" w:rsidRDefault="00554F3E" w:rsidP="00D76D28">
            <w:pPr>
              <w:rPr>
                <w:b/>
                <w:bCs/>
                <w:color w:val="000000"/>
                <w:sz w:val="18"/>
                <w:szCs w:val="18"/>
              </w:rPr>
            </w:pPr>
            <w:r w:rsidRPr="0017125D">
              <w:rPr>
                <w:b/>
                <w:bCs/>
                <w:sz w:val="18"/>
                <w:szCs w:val="18"/>
              </w:rPr>
              <w:t xml:space="preserve">the Society of Obstetricians and Gynaecologists of Canada </w:t>
            </w:r>
            <w:r w:rsidRPr="0017125D">
              <w:rPr>
                <w:b/>
                <w:bCs/>
                <w:sz w:val="18"/>
                <w:szCs w:val="18"/>
              </w:rPr>
              <w:fldChar w:fldCharType="begin" w:fldLock="1"/>
            </w:r>
            <w:r>
              <w:rPr>
                <w:b/>
                <w:bCs/>
                <w:sz w:val="18"/>
                <w:szCs w:val="18"/>
              </w:rPr>
              <w:instrText>ADDIN CSL_CITATION { "citationItems" : [ { "id" : "ITEM-1", "itemData" : { "DOI" : "10.1016/S1701-2163(15)30489-8", "ISSN" : "17012163", "author" : [ { "dropping-particle" : "", "family" : "Khan", "given" : "Aliya", "non-dropping-particle" : "", "parse-names" : false, "suffix" : "" }, { "dropping-particle" : "", "family" : "Fortier", "given" : "Michel", "non-dropping-particle" : "", "parse-names" : false, "suffix" : "" }, { "dropping-particle" : "", "family" : "Fortier", "given" : "Michel", "non-dropping-particle" : "", "parse-names" : false, "suffix" : "" }, { "dropping-particle" : "", "family" : "Reid", "given" : "Robert", "non-dropping-particle" : "", "parse-names" : false, "suffix" : "" }, { "dropping-particle" : "", "family" : "Abramson", "given" : "Beth L.", "non-dropping-particle" : "", "parse-names" : false, "suffix" : "" }, { "dropping-particle" : "", "family" : "Blake", "given" : "Jennifer", "non-dropping-particle" : "", "parse-names" : false, "suffix" : "" }, { "dropping-particle" : "", "family" : "Desindes", "given" : "Sophie", "non-dropping-particle" : "", "parse-names" : false, "suffix" : "" }, { "dropping-particle" : "", "family" : "Dodin", "given" : "Sylvie", "non-dropping-particle" : "", "parse-names" : false, "suffix" : "" }, { "dropping-particle" : "", "family" : "Graves", "given" : "Lisa", "non-dropping-particle" : "", "parse-names" : false, "suffix" : "" }, { "dropping-particle" : "", "family" : "Guthrie", "given" : "Bing", "non-dropping-particle" : "", "parse-names" : false, "suffix" : "" }, { "dropping-particle" : "", "family" : "Johnston", "given" : "Shawna", "non-dropping-particle" : "", "parse-names" : false, "suffix" : "" }, { "dropping-particle" : "", "family" : "Khan", "given" : "AliyaAliya", "non-dropping-particle" : "", "parse-names" : false, "suffix" : "" }, { "dropping-particle" : "", "family" : "Rowe", "given" : "Timothy", "non-dropping-particle" : "", "parse-names" : false, "suffix" : "" }, { "dropping-particle" : "", "family" : "Sodhi", "given" : "Namrita", "non-dropping-particle" : "", "parse-names" : false, "suffix" : "" }, { "dropping-particle" : "", "family" : "Wilks", "given" : "Penny", "non-dropping-particle" : "", "parse-names" : false, "suffix" : "" }, { "dropping-particle" : "", "family" : "Wolfman", "given" : "Wendy", "non-dropping-particle" : "", "parse-names" : false, "suffix" : "" } ], "container-title" : "Journal of Obstetrics and Gynaecology Canada", "id" : "ITEM-1", "issue" : "9", "issued" : { "date-parts" : [ [ "2014", "9" ] ] }, "page" : "839-840", "publisher" : "Elsevier", "title" : "Osteoporosis in Menopause", "type" : "article-journal", "volume" : "36" }, "uris" : [ "http://www.mendeley.com/documents/?uuid=399ef4e1-e14d-3329-918b-4d631c801e6c" ] } ], "mendeley" : { "formattedCitation" : "&lt;sup&gt;70&lt;/sup&gt;", "plainTextFormattedCitation" : "70", "previouslyFormattedCitation" : "&lt;sup&gt;70&lt;/sup&gt;" }, "properties" : {  }, "schema" : "https://github.com/citation-style-language/schema/raw/master/csl-citation.json" }</w:instrText>
            </w:r>
            <w:r w:rsidRPr="0017125D">
              <w:rPr>
                <w:b/>
                <w:bCs/>
                <w:sz w:val="18"/>
                <w:szCs w:val="18"/>
              </w:rPr>
              <w:fldChar w:fldCharType="separate"/>
            </w:r>
            <w:r w:rsidRPr="00C6554C">
              <w:rPr>
                <w:bCs/>
                <w:noProof/>
                <w:sz w:val="18"/>
                <w:szCs w:val="18"/>
                <w:vertAlign w:val="superscript"/>
              </w:rPr>
              <w:t>70</w:t>
            </w:r>
            <w:r w:rsidRPr="0017125D">
              <w:rPr>
                <w:b/>
                <w:bCs/>
                <w:sz w:val="18"/>
                <w:szCs w:val="18"/>
              </w:rPr>
              <w:fldChar w:fldCharType="end"/>
            </w:r>
          </w:p>
        </w:tc>
        <w:tc>
          <w:tcPr>
            <w:tcW w:w="1275" w:type="dxa"/>
            <w:tcBorders>
              <w:bottom w:val="nil"/>
            </w:tcBorders>
            <w:shd w:val="clear" w:color="auto" w:fill="FFFFFF" w:themeFill="background1"/>
          </w:tcPr>
          <w:p w14:paraId="49961188" w14:textId="77777777" w:rsidR="00554F3E" w:rsidRPr="000B4DF4" w:rsidRDefault="00554F3E" w:rsidP="00D76D28">
            <w:pPr>
              <w:jc w:val="center"/>
              <w:rPr>
                <w:rFonts w:cstheme="minorHAnsi"/>
                <w:sz w:val="18"/>
                <w:szCs w:val="18"/>
              </w:rPr>
            </w:pPr>
          </w:p>
          <w:p w14:paraId="1D2B57C3" w14:textId="77777777" w:rsidR="00554F3E" w:rsidRDefault="00554F3E" w:rsidP="00D76D28">
            <w:pPr>
              <w:jc w:val="center"/>
              <w:rPr>
                <w:rFonts w:cstheme="minorHAnsi"/>
                <w:sz w:val="18"/>
                <w:szCs w:val="18"/>
              </w:rPr>
            </w:pPr>
            <w:r w:rsidRPr="000B4DF4">
              <w:rPr>
                <w:rFonts w:cstheme="minorHAnsi"/>
                <w:sz w:val="18"/>
                <w:szCs w:val="18"/>
              </w:rPr>
              <w:t>N</w:t>
            </w:r>
          </w:p>
          <w:p w14:paraId="22D2A703" w14:textId="77777777" w:rsidR="00554F3E" w:rsidRDefault="00554F3E" w:rsidP="00D76D28">
            <w:pPr>
              <w:jc w:val="center"/>
              <w:rPr>
                <w:rFonts w:cstheme="minorHAnsi"/>
                <w:sz w:val="18"/>
                <w:szCs w:val="18"/>
              </w:rPr>
            </w:pPr>
          </w:p>
          <w:p w14:paraId="065DE966" w14:textId="77777777" w:rsidR="00554F3E" w:rsidRDefault="00554F3E" w:rsidP="00D76D28">
            <w:pPr>
              <w:jc w:val="center"/>
              <w:rPr>
                <w:rFonts w:cstheme="minorHAnsi"/>
                <w:sz w:val="18"/>
                <w:szCs w:val="18"/>
              </w:rPr>
            </w:pPr>
          </w:p>
          <w:p w14:paraId="5BCF9038" w14:textId="77777777" w:rsidR="00554F3E" w:rsidRPr="000B4DF4" w:rsidRDefault="00554F3E" w:rsidP="00D76D28">
            <w:pPr>
              <w:jc w:val="center"/>
              <w:rPr>
                <w:rFonts w:cstheme="minorHAnsi"/>
                <w:sz w:val="18"/>
                <w:szCs w:val="18"/>
              </w:rPr>
            </w:pPr>
          </w:p>
        </w:tc>
        <w:tc>
          <w:tcPr>
            <w:tcW w:w="1560" w:type="dxa"/>
            <w:tcBorders>
              <w:bottom w:val="nil"/>
            </w:tcBorders>
            <w:shd w:val="clear" w:color="auto" w:fill="FFFFFF" w:themeFill="background1"/>
          </w:tcPr>
          <w:p w14:paraId="44DCADF4" w14:textId="77777777" w:rsidR="00554F3E" w:rsidRPr="000B4DF4" w:rsidRDefault="00554F3E" w:rsidP="00D76D28">
            <w:pPr>
              <w:jc w:val="center"/>
              <w:rPr>
                <w:rFonts w:cstheme="minorHAnsi"/>
                <w:sz w:val="18"/>
                <w:szCs w:val="18"/>
              </w:rPr>
            </w:pPr>
          </w:p>
          <w:p w14:paraId="610A3BE9"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275" w:type="dxa"/>
            <w:tcBorders>
              <w:bottom w:val="nil"/>
            </w:tcBorders>
            <w:shd w:val="clear" w:color="auto" w:fill="FFFFFF" w:themeFill="background1"/>
          </w:tcPr>
          <w:p w14:paraId="60A9446A" w14:textId="77777777" w:rsidR="00554F3E" w:rsidRPr="000B4DF4" w:rsidRDefault="00554F3E" w:rsidP="00D76D28">
            <w:pPr>
              <w:jc w:val="center"/>
              <w:rPr>
                <w:rFonts w:cstheme="minorHAnsi"/>
                <w:sz w:val="18"/>
                <w:szCs w:val="18"/>
              </w:rPr>
            </w:pPr>
          </w:p>
          <w:p w14:paraId="58B2907D"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701" w:type="dxa"/>
            <w:tcBorders>
              <w:bottom w:val="nil"/>
            </w:tcBorders>
            <w:shd w:val="clear" w:color="auto" w:fill="FFFFFF" w:themeFill="background1"/>
          </w:tcPr>
          <w:p w14:paraId="555E0086" w14:textId="77777777" w:rsidR="00554F3E" w:rsidRPr="000B4DF4" w:rsidRDefault="00554F3E" w:rsidP="00D76D28">
            <w:pPr>
              <w:jc w:val="center"/>
              <w:rPr>
                <w:rFonts w:cstheme="minorHAnsi"/>
                <w:sz w:val="18"/>
                <w:szCs w:val="18"/>
              </w:rPr>
            </w:pPr>
          </w:p>
          <w:p w14:paraId="1246EADA"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843" w:type="dxa"/>
            <w:tcBorders>
              <w:bottom w:val="nil"/>
            </w:tcBorders>
            <w:shd w:val="clear" w:color="auto" w:fill="FFFFFF" w:themeFill="background1"/>
          </w:tcPr>
          <w:p w14:paraId="45AC5C53" w14:textId="77777777" w:rsidR="00554F3E" w:rsidRPr="000B4DF4" w:rsidRDefault="00554F3E" w:rsidP="00D76D28">
            <w:pPr>
              <w:jc w:val="center"/>
              <w:rPr>
                <w:rFonts w:cstheme="minorHAnsi"/>
                <w:sz w:val="18"/>
                <w:szCs w:val="18"/>
              </w:rPr>
            </w:pPr>
          </w:p>
          <w:p w14:paraId="005EBFA9"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1559" w:type="dxa"/>
            <w:tcBorders>
              <w:bottom w:val="nil"/>
            </w:tcBorders>
            <w:shd w:val="clear" w:color="auto" w:fill="FFFFFF" w:themeFill="background1"/>
          </w:tcPr>
          <w:p w14:paraId="4DEB7243" w14:textId="77777777" w:rsidR="00554F3E" w:rsidRPr="000B4DF4" w:rsidRDefault="00554F3E" w:rsidP="00D76D28">
            <w:pPr>
              <w:jc w:val="center"/>
              <w:rPr>
                <w:rFonts w:cstheme="minorHAnsi"/>
                <w:sz w:val="18"/>
                <w:szCs w:val="18"/>
              </w:rPr>
            </w:pPr>
          </w:p>
          <w:p w14:paraId="5C8B5333" w14:textId="77777777" w:rsidR="00554F3E" w:rsidRPr="000B4DF4" w:rsidRDefault="00554F3E" w:rsidP="00D76D28">
            <w:pPr>
              <w:jc w:val="center"/>
              <w:rPr>
                <w:rFonts w:cstheme="minorHAnsi"/>
                <w:sz w:val="18"/>
                <w:szCs w:val="18"/>
              </w:rPr>
            </w:pPr>
            <w:r w:rsidRPr="000B4DF4">
              <w:rPr>
                <w:rFonts w:cstheme="minorHAnsi"/>
                <w:sz w:val="18"/>
                <w:szCs w:val="18"/>
              </w:rPr>
              <w:t>Y</w:t>
            </w:r>
          </w:p>
        </w:tc>
        <w:tc>
          <w:tcPr>
            <w:tcW w:w="1276" w:type="dxa"/>
            <w:tcBorders>
              <w:bottom w:val="nil"/>
            </w:tcBorders>
            <w:shd w:val="clear" w:color="auto" w:fill="FFFFFF" w:themeFill="background1"/>
          </w:tcPr>
          <w:p w14:paraId="6803B21A" w14:textId="77777777" w:rsidR="00554F3E" w:rsidRPr="000B4DF4" w:rsidRDefault="00554F3E" w:rsidP="00D76D28">
            <w:pPr>
              <w:jc w:val="center"/>
              <w:rPr>
                <w:rFonts w:cstheme="minorHAnsi"/>
                <w:sz w:val="18"/>
                <w:szCs w:val="18"/>
              </w:rPr>
            </w:pPr>
          </w:p>
          <w:p w14:paraId="70D482D5"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992" w:type="dxa"/>
            <w:tcBorders>
              <w:bottom w:val="nil"/>
            </w:tcBorders>
            <w:shd w:val="clear" w:color="auto" w:fill="FFFFFF" w:themeFill="background1"/>
          </w:tcPr>
          <w:p w14:paraId="23AC1B18" w14:textId="77777777" w:rsidR="00554F3E" w:rsidRPr="000B4DF4" w:rsidRDefault="00554F3E" w:rsidP="00D76D28">
            <w:pPr>
              <w:jc w:val="center"/>
              <w:rPr>
                <w:rFonts w:cstheme="minorHAnsi"/>
                <w:sz w:val="18"/>
                <w:szCs w:val="18"/>
              </w:rPr>
            </w:pPr>
          </w:p>
          <w:p w14:paraId="1C9828FC" w14:textId="77777777" w:rsidR="00554F3E" w:rsidRPr="000B4DF4" w:rsidRDefault="00554F3E" w:rsidP="00D76D28">
            <w:pPr>
              <w:jc w:val="center"/>
              <w:rPr>
                <w:rFonts w:cstheme="minorHAnsi"/>
                <w:sz w:val="18"/>
                <w:szCs w:val="18"/>
              </w:rPr>
            </w:pPr>
            <w:r w:rsidRPr="000B4DF4">
              <w:rPr>
                <w:rFonts w:cstheme="minorHAnsi"/>
                <w:sz w:val="18"/>
                <w:szCs w:val="18"/>
              </w:rPr>
              <w:t>N</w:t>
            </w:r>
          </w:p>
        </w:tc>
        <w:tc>
          <w:tcPr>
            <w:tcW w:w="842" w:type="dxa"/>
            <w:tcBorders>
              <w:bottom w:val="nil"/>
            </w:tcBorders>
            <w:shd w:val="clear" w:color="auto" w:fill="FFFFFF" w:themeFill="background1"/>
          </w:tcPr>
          <w:p w14:paraId="1469070B" w14:textId="77777777" w:rsidR="00554F3E" w:rsidRDefault="00554F3E" w:rsidP="00D76D28">
            <w:pPr>
              <w:jc w:val="center"/>
              <w:rPr>
                <w:rFonts w:cstheme="minorHAnsi"/>
                <w:sz w:val="18"/>
                <w:szCs w:val="18"/>
              </w:rPr>
            </w:pPr>
          </w:p>
          <w:p w14:paraId="1C3FED04" w14:textId="77777777" w:rsidR="00554F3E" w:rsidRDefault="00554F3E" w:rsidP="00D76D28">
            <w:pPr>
              <w:jc w:val="center"/>
              <w:rPr>
                <w:rFonts w:cstheme="minorHAnsi"/>
                <w:sz w:val="18"/>
                <w:szCs w:val="18"/>
              </w:rPr>
            </w:pPr>
            <w:r>
              <w:rPr>
                <w:rFonts w:cstheme="minorHAnsi"/>
                <w:sz w:val="18"/>
                <w:szCs w:val="18"/>
              </w:rPr>
              <w:t>1</w:t>
            </w:r>
          </w:p>
        </w:tc>
        <w:tc>
          <w:tcPr>
            <w:tcW w:w="851" w:type="dxa"/>
            <w:tcBorders>
              <w:bottom w:val="nil"/>
            </w:tcBorders>
            <w:shd w:val="clear" w:color="auto" w:fill="FFFFFF" w:themeFill="background1"/>
          </w:tcPr>
          <w:p w14:paraId="5B7478E2" w14:textId="77777777" w:rsidR="00554F3E" w:rsidRPr="000B4DF4" w:rsidRDefault="00554F3E" w:rsidP="00D76D28">
            <w:pPr>
              <w:jc w:val="center"/>
              <w:rPr>
                <w:rFonts w:cstheme="minorHAnsi"/>
                <w:sz w:val="18"/>
                <w:szCs w:val="18"/>
              </w:rPr>
            </w:pPr>
          </w:p>
        </w:tc>
      </w:tr>
      <w:tr w:rsidR="00554F3E" w:rsidRPr="000926D0" w14:paraId="1E20F659" w14:textId="77777777" w:rsidTr="00D76D28">
        <w:tc>
          <w:tcPr>
            <w:tcW w:w="1853" w:type="dxa"/>
            <w:tcBorders>
              <w:top w:val="nil"/>
            </w:tcBorders>
            <w:shd w:val="clear" w:color="auto" w:fill="FFFFFF" w:themeFill="background1"/>
          </w:tcPr>
          <w:p w14:paraId="41A1F114" w14:textId="77777777" w:rsidR="00554F3E" w:rsidRPr="0017125D" w:rsidRDefault="00554F3E" w:rsidP="00D76D28">
            <w:pPr>
              <w:rPr>
                <w:b/>
                <w:bCs/>
                <w:sz w:val="18"/>
                <w:szCs w:val="18"/>
              </w:rPr>
            </w:pPr>
            <w:r w:rsidRPr="005968A9">
              <w:rPr>
                <w:b/>
                <w:bCs/>
                <w:sz w:val="18"/>
                <w:szCs w:val="18"/>
              </w:rPr>
              <w:t xml:space="preserve">National Osteoporosis Guideline Group (NOGG)/UK 2014 </w:t>
            </w:r>
            <w:r w:rsidRPr="005968A9">
              <w:rPr>
                <w:b/>
                <w:bCs/>
                <w:sz w:val="18"/>
                <w:szCs w:val="18"/>
              </w:rPr>
              <w:fldChar w:fldCharType="begin" w:fldLock="1"/>
            </w:r>
            <w:r>
              <w:rPr>
                <w:b/>
                <w:bCs/>
                <w:sz w:val="18"/>
                <w:szCs w:val="18"/>
              </w:rPr>
              <w:instrText>ADDIN CSL_CITATION { "citationItems" : [ { "id" : "ITEM-1", "itemData" : { "author" : [ { "dropping-particle" : "", "family" : "NatonalOsteoporosis Guideline Group ; Compston JE et al", "given" : "", "non-dropping-particle" : "", "parse-names" : false, "suffix" : "" } ], "id" : "ITEM-1", "issued" : { "date-parts" : [ [ "2014" ] ] }, "number-of-pages" : "1-10", "title" : "nogg Guideline for the diagnosis and management of osteoporosis in postmenopausal women and men from the age of 50 years in the UK", "type" : "report" }, "uris" : [ "http://www.mendeley.com/documents/?uuid=761d8556-6dc9-39ac-8bea-b547c9b760ed" ] } ], "mendeley" : { "formattedCitation" : "&lt;sup&gt;71&lt;/sup&gt;", "plainTextFormattedCitation" : "71", "previouslyFormattedCitation" : "&lt;sup&gt;71&lt;/sup&gt;" }, "properties" : {  }, "schema" : "https://github.com/citation-style-language/schema/raw/master/csl-citation.json" }</w:instrText>
            </w:r>
            <w:r w:rsidRPr="005968A9">
              <w:rPr>
                <w:b/>
                <w:bCs/>
                <w:sz w:val="18"/>
                <w:szCs w:val="18"/>
              </w:rPr>
              <w:fldChar w:fldCharType="separate"/>
            </w:r>
            <w:r w:rsidRPr="00C6554C">
              <w:rPr>
                <w:bCs/>
                <w:noProof/>
                <w:sz w:val="18"/>
                <w:szCs w:val="18"/>
                <w:vertAlign w:val="superscript"/>
              </w:rPr>
              <w:t>71</w:t>
            </w:r>
            <w:r w:rsidRPr="005968A9">
              <w:rPr>
                <w:b/>
                <w:bCs/>
                <w:sz w:val="18"/>
                <w:szCs w:val="18"/>
              </w:rPr>
              <w:fldChar w:fldCharType="end"/>
            </w:r>
          </w:p>
        </w:tc>
        <w:tc>
          <w:tcPr>
            <w:tcW w:w="1275" w:type="dxa"/>
            <w:tcBorders>
              <w:top w:val="nil"/>
              <w:bottom w:val="single" w:sz="4" w:space="0" w:color="auto"/>
            </w:tcBorders>
            <w:shd w:val="clear" w:color="auto" w:fill="FFFFFF" w:themeFill="background1"/>
          </w:tcPr>
          <w:p w14:paraId="7CAA6C8C" w14:textId="77777777" w:rsidR="00554F3E" w:rsidRPr="000B4DF4" w:rsidRDefault="00554F3E" w:rsidP="00D76D28">
            <w:pPr>
              <w:jc w:val="center"/>
              <w:rPr>
                <w:rFonts w:cstheme="minorHAnsi"/>
                <w:sz w:val="18"/>
                <w:szCs w:val="18"/>
              </w:rPr>
            </w:pPr>
            <w:r w:rsidRPr="005968A9">
              <w:rPr>
                <w:rFonts w:cstheme="minorHAnsi"/>
                <w:sz w:val="18"/>
                <w:szCs w:val="18"/>
              </w:rPr>
              <w:t>N</w:t>
            </w:r>
          </w:p>
        </w:tc>
        <w:tc>
          <w:tcPr>
            <w:tcW w:w="1560" w:type="dxa"/>
            <w:tcBorders>
              <w:top w:val="nil"/>
              <w:bottom w:val="single" w:sz="4" w:space="0" w:color="auto"/>
            </w:tcBorders>
            <w:shd w:val="clear" w:color="auto" w:fill="FFFFFF" w:themeFill="background1"/>
          </w:tcPr>
          <w:p w14:paraId="3113205C" w14:textId="77777777" w:rsidR="00554F3E" w:rsidRPr="000B4DF4" w:rsidRDefault="00554F3E" w:rsidP="00D76D28">
            <w:pPr>
              <w:jc w:val="center"/>
              <w:rPr>
                <w:rFonts w:cstheme="minorHAnsi"/>
                <w:sz w:val="18"/>
                <w:szCs w:val="18"/>
              </w:rPr>
            </w:pPr>
            <w:r w:rsidRPr="005968A9">
              <w:rPr>
                <w:rFonts w:cstheme="minorHAnsi"/>
                <w:sz w:val="18"/>
                <w:szCs w:val="18"/>
              </w:rPr>
              <w:t>Y</w:t>
            </w:r>
          </w:p>
        </w:tc>
        <w:tc>
          <w:tcPr>
            <w:tcW w:w="1275" w:type="dxa"/>
            <w:tcBorders>
              <w:top w:val="nil"/>
              <w:bottom w:val="single" w:sz="4" w:space="0" w:color="auto"/>
            </w:tcBorders>
            <w:shd w:val="clear" w:color="auto" w:fill="FFFFFF" w:themeFill="background1"/>
          </w:tcPr>
          <w:p w14:paraId="45CD39AC" w14:textId="77777777" w:rsidR="00554F3E" w:rsidRPr="000B4DF4" w:rsidRDefault="00554F3E" w:rsidP="00D76D28">
            <w:pPr>
              <w:jc w:val="center"/>
              <w:rPr>
                <w:rFonts w:cstheme="minorHAnsi"/>
                <w:sz w:val="18"/>
                <w:szCs w:val="18"/>
              </w:rPr>
            </w:pPr>
            <w:r w:rsidRPr="005968A9">
              <w:rPr>
                <w:rFonts w:cstheme="minorHAnsi"/>
                <w:sz w:val="18"/>
                <w:szCs w:val="18"/>
              </w:rPr>
              <w:t>N</w:t>
            </w:r>
          </w:p>
        </w:tc>
        <w:tc>
          <w:tcPr>
            <w:tcW w:w="1701" w:type="dxa"/>
            <w:tcBorders>
              <w:top w:val="nil"/>
              <w:bottom w:val="single" w:sz="4" w:space="0" w:color="auto"/>
            </w:tcBorders>
            <w:shd w:val="clear" w:color="auto" w:fill="FFFFFF" w:themeFill="background1"/>
          </w:tcPr>
          <w:p w14:paraId="6D2A4390" w14:textId="77777777" w:rsidR="00554F3E" w:rsidRPr="000B4DF4" w:rsidRDefault="00554F3E" w:rsidP="00D76D28">
            <w:pPr>
              <w:jc w:val="center"/>
              <w:rPr>
                <w:rFonts w:cstheme="minorHAnsi"/>
                <w:sz w:val="18"/>
                <w:szCs w:val="18"/>
              </w:rPr>
            </w:pPr>
            <w:r w:rsidRPr="005968A9">
              <w:rPr>
                <w:rFonts w:cstheme="minorHAnsi"/>
                <w:sz w:val="18"/>
                <w:szCs w:val="18"/>
              </w:rPr>
              <w:t>N</w:t>
            </w:r>
          </w:p>
        </w:tc>
        <w:tc>
          <w:tcPr>
            <w:tcW w:w="1843" w:type="dxa"/>
            <w:tcBorders>
              <w:top w:val="nil"/>
              <w:bottom w:val="single" w:sz="4" w:space="0" w:color="auto"/>
            </w:tcBorders>
            <w:shd w:val="clear" w:color="auto" w:fill="FFFFFF" w:themeFill="background1"/>
          </w:tcPr>
          <w:p w14:paraId="096EE17A" w14:textId="77777777" w:rsidR="00554F3E" w:rsidRPr="000B4DF4" w:rsidRDefault="00554F3E" w:rsidP="00D76D28">
            <w:pPr>
              <w:jc w:val="center"/>
              <w:rPr>
                <w:rFonts w:cstheme="minorHAnsi"/>
                <w:sz w:val="18"/>
                <w:szCs w:val="18"/>
              </w:rPr>
            </w:pPr>
            <w:r w:rsidRPr="005968A9">
              <w:rPr>
                <w:rFonts w:cstheme="minorHAnsi"/>
                <w:sz w:val="18"/>
                <w:szCs w:val="18"/>
              </w:rPr>
              <w:t>N</w:t>
            </w:r>
          </w:p>
        </w:tc>
        <w:tc>
          <w:tcPr>
            <w:tcW w:w="1559" w:type="dxa"/>
            <w:tcBorders>
              <w:top w:val="nil"/>
              <w:bottom w:val="single" w:sz="4" w:space="0" w:color="auto"/>
            </w:tcBorders>
            <w:shd w:val="clear" w:color="auto" w:fill="FFFFFF" w:themeFill="background1"/>
          </w:tcPr>
          <w:p w14:paraId="7DCCCA07" w14:textId="77777777" w:rsidR="00554F3E" w:rsidRPr="000B4DF4" w:rsidRDefault="00554F3E" w:rsidP="00D76D28">
            <w:pPr>
              <w:jc w:val="center"/>
              <w:rPr>
                <w:rFonts w:cstheme="minorHAnsi"/>
                <w:sz w:val="18"/>
                <w:szCs w:val="18"/>
              </w:rPr>
            </w:pPr>
            <w:r w:rsidRPr="005968A9">
              <w:rPr>
                <w:rFonts w:cstheme="minorHAnsi"/>
                <w:sz w:val="18"/>
                <w:szCs w:val="18"/>
              </w:rPr>
              <w:t>N</w:t>
            </w:r>
          </w:p>
        </w:tc>
        <w:tc>
          <w:tcPr>
            <w:tcW w:w="1276" w:type="dxa"/>
            <w:tcBorders>
              <w:top w:val="nil"/>
              <w:bottom w:val="single" w:sz="4" w:space="0" w:color="auto"/>
            </w:tcBorders>
            <w:shd w:val="clear" w:color="auto" w:fill="FFFFFF" w:themeFill="background1"/>
          </w:tcPr>
          <w:p w14:paraId="346F5E0A" w14:textId="77777777" w:rsidR="00554F3E" w:rsidRPr="000B4DF4" w:rsidRDefault="00554F3E" w:rsidP="00D76D28">
            <w:pPr>
              <w:jc w:val="center"/>
              <w:rPr>
                <w:rFonts w:cstheme="minorHAnsi"/>
                <w:sz w:val="18"/>
                <w:szCs w:val="18"/>
              </w:rPr>
            </w:pPr>
            <w:r w:rsidRPr="005968A9">
              <w:rPr>
                <w:rFonts w:cstheme="minorHAnsi"/>
                <w:sz w:val="18"/>
                <w:szCs w:val="18"/>
              </w:rPr>
              <w:t>N</w:t>
            </w:r>
          </w:p>
        </w:tc>
        <w:tc>
          <w:tcPr>
            <w:tcW w:w="992" w:type="dxa"/>
            <w:tcBorders>
              <w:top w:val="nil"/>
              <w:bottom w:val="single" w:sz="4" w:space="0" w:color="auto"/>
            </w:tcBorders>
            <w:shd w:val="clear" w:color="auto" w:fill="FFFFFF" w:themeFill="background1"/>
          </w:tcPr>
          <w:p w14:paraId="2F7763E6" w14:textId="77777777" w:rsidR="00554F3E" w:rsidRPr="000B4DF4" w:rsidRDefault="00554F3E" w:rsidP="00D76D28">
            <w:pPr>
              <w:jc w:val="center"/>
              <w:rPr>
                <w:rFonts w:cstheme="minorHAnsi"/>
                <w:sz w:val="18"/>
                <w:szCs w:val="18"/>
              </w:rPr>
            </w:pPr>
            <w:r w:rsidRPr="005968A9">
              <w:rPr>
                <w:rFonts w:cstheme="minorHAnsi"/>
                <w:sz w:val="18"/>
                <w:szCs w:val="18"/>
              </w:rPr>
              <w:t>Y</w:t>
            </w:r>
          </w:p>
        </w:tc>
        <w:tc>
          <w:tcPr>
            <w:tcW w:w="842" w:type="dxa"/>
            <w:tcBorders>
              <w:top w:val="nil"/>
              <w:bottom w:val="single" w:sz="4" w:space="0" w:color="auto"/>
            </w:tcBorders>
            <w:shd w:val="clear" w:color="auto" w:fill="FFFFFF" w:themeFill="background1"/>
          </w:tcPr>
          <w:p w14:paraId="12404639" w14:textId="77777777" w:rsidR="00554F3E" w:rsidRDefault="00554F3E" w:rsidP="00D76D28">
            <w:pPr>
              <w:jc w:val="center"/>
              <w:rPr>
                <w:rFonts w:cstheme="minorHAnsi"/>
                <w:sz w:val="18"/>
                <w:szCs w:val="18"/>
              </w:rPr>
            </w:pPr>
            <w:r>
              <w:rPr>
                <w:rFonts w:cstheme="minorHAnsi"/>
                <w:sz w:val="18"/>
                <w:szCs w:val="18"/>
              </w:rPr>
              <w:t>2</w:t>
            </w:r>
          </w:p>
        </w:tc>
        <w:tc>
          <w:tcPr>
            <w:tcW w:w="851" w:type="dxa"/>
            <w:tcBorders>
              <w:top w:val="nil"/>
              <w:bottom w:val="single" w:sz="4" w:space="0" w:color="auto"/>
            </w:tcBorders>
            <w:shd w:val="clear" w:color="auto" w:fill="FFFFFF" w:themeFill="background1"/>
          </w:tcPr>
          <w:p w14:paraId="46D2C01D" w14:textId="77777777" w:rsidR="00554F3E" w:rsidRPr="000B4DF4" w:rsidRDefault="00554F3E" w:rsidP="00D76D28">
            <w:pPr>
              <w:jc w:val="center"/>
              <w:rPr>
                <w:rFonts w:cstheme="minorHAnsi"/>
                <w:sz w:val="18"/>
                <w:szCs w:val="18"/>
              </w:rPr>
            </w:pPr>
          </w:p>
        </w:tc>
      </w:tr>
      <w:tr w:rsidR="00554F3E" w:rsidRPr="000926D0" w14:paraId="7C7F334C" w14:textId="77777777" w:rsidTr="00D76D28">
        <w:tc>
          <w:tcPr>
            <w:tcW w:w="1853" w:type="dxa"/>
            <w:shd w:val="clear" w:color="auto" w:fill="D9D9D9" w:themeFill="background1" w:themeFillShade="D9"/>
          </w:tcPr>
          <w:p w14:paraId="719777B1" w14:textId="77777777" w:rsidR="00554F3E" w:rsidRPr="005968A9" w:rsidRDefault="00554F3E" w:rsidP="00D76D28">
            <w:pPr>
              <w:rPr>
                <w:b/>
                <w:bCs/>
                <w:sz w:val="18"/>
                <w:szCs w:val="18"/>
              </w:rPr>
            </w:pPr>
            <w:r w:rsidRPr="005968A9">
              <w:rPr>
                <w:b/>
                <w:bCs/>
                <w:color w:val="000000"/>
                <w:sz w:val="18"/>
                <w:szCs w:val="18"/>
              </w:rPr>
              <w:t xml:space="preserve">The Malaysian Osteoporosis Society guideline, 2015 </w:t>
            </w:r>
            <w:r w:rsidRPr="005968A9">
              <w:rPr>
                <w:b/>
                <w:bCs/>
                <w:color w:val="000000"/>
                <w:sz w:val="18"/>
                <w:szCs w:val="18"/>
              </w:rPr>
              <w:fldChar w:fldCharType="begin" w:fldLock="1"/>
            </w:r>
            <w:r>
              <w:rPr>
                <w:b/>
                <w:bCs/>
                <w:color w:val="000000"/>
                <w:sz w:val="18"/>
                <w:szCs w:val="18"/>
              </w:rPr>
              <w:instrText>ADDIN CSL_CITATION { "citationItems" : [ { "id" : "ITEM-1", "itemData" : { "DOI" : "10.1016/j.afos.2016.02.004", "ISSN" : "24055255", "abstract" : "AIM\nThis Clinical Guidance is aimed to help practitioners assess, diagnose and manage their patients with osteoporosis (OP), using the best available evidence. \n\nMETHODS\nA literature search using PubMed (MEDLINE) and The Cochrane Library identified all relevant articles on OP and its assessment, diagnosis and treatment, from 2011, to update from the 2012 edition. The studies were assessed and the level of evidence assigned. For each statement, studies with the highest level of evidence were used to frame the recommendation. \n\nRESULTS\nThis article summarizes the diagnostic and treatment pathways for postmenopausal and male OP, while addressing the risk-benefit ratio for OP treatment. Recognising the limitation of only depending on bone mineral density in assessing fracture risk, a move to assess 10 year fracture risk using tools such as FRAX, is recommended as a guide to decision-making on when to start treatment. A re-evaluation was done of the position of calcium supplementation and on the importance of vitamin D. There has been concern about the potential adverse effects of the long-term usage of bisphosphonates, which have been discussed fully. Algorithms for the management of postmenopausal and male OP have been updated. \n\nCONCLUSIONS\nAdequate intake of calcium (1000\u00a0mg from both diet and supplements) and vitamin D (800\u00a0IU) daily remain important adjuncts in the treatment of OP. However, in confirmed OP, pharmacological therapy with anti-resorptives is the mainstay of treatment in both men and postmenopausal women. Patients need to be regularly assessed while on medication and treatment adjusted as appropriate.", "author" : [ { "dropping-particle" : "", "family" : "Yeap", "given" : "Swan Sim", "non-dropping-particle" : "", "parse-names" : false, "suffix" : "" }, { "dropping-particle" : "", "family" : "Hew", "given" : "Fen Lee", "non-dropping-particle" : "", "parse-names" : false, "suffix" : "" }, { "dropping-particle" : "", "family" : "Damodaran", "given" : "Premitha", "non-dropping-particle" : "", "parse-names" : false, "suffix" : "" }, { "dropping-particle" : "", "family" : "Chee", "given" : "Winnie", "non-dropping-particle" : "", "parse-names" : false, "suffix" : "" }, { "dropping-particle" : "", "family" : "Lee", "given" : "Joon Kiong", "non-dropping-particle" : "", "parse-names" : false, "suffix" : "" }, { "dropping-particle" : "", "family" : "Goh", "given" : "Emily Man Lee", "non-dropping-particle" : "", "parse-names" : false, "suffix" : "" }, { "dropping-particle" : "", "family" : "Mumtaz", "given" : "Malik", "non-dropping-particle" : "", "parse-names" : false, "suffix" : "" }, { "dropping-particle" : "", "family" : "Lim", "given" : "Heng Hing", "non-dropping-particle" : "", "parse-names" : false, "suffix" : "" }, { "dropping-particle" : "", "family" : "Chan", "given" : "Siew Pheng", "non-dropping-particle" : "", "parse-names" : false, "suffix" : "" } ], "container-title" : "Osteoporosis and Sarcopenia", "id" : "ITEM-1", "issue" : "1", "issued" : { "date-parts" : [ [ "2016" ] ] }, "page" : "1-12", "title" : "A summary of the Malaysian Clinical Guidance on the management of postmenopausal and male osteoporosis, 2015", "type" : "article-journal", "volume" : "2" }, "uris" : [ "http://www.mendeley.com/documents/?uuid=63a869c3-6d42-392c-aadd-482a058088a5" ] } ], "mendeley" : { "formattedCitation" : "&lt;sup&gt;72&lt;/sup&gt;", "plainTextFormattedCitation" : "72", "previouslyFormattedCitation" : "&lt;sup&gt;72&lt;/sup&gt;" }, "properties" : {  }, "schema" : "https://github.com/citation-style-language/schema/raw/master/csl-citation.json" }</w:instrText>
            </w:r>
            <w:r w:rsidRPr="005968A9">
              <w:rPr>
                <w:b/>
                <w:bCs/>
                <w:color w:val="000000"/>
                <w:sz w:val="18"/>
                <w:szCs w:val="18"/>
              </w:rPr>
              <w:fldChar w:fldCharType="separate"/>
            </w:r>
            <w:r w:rsidRPr="00C6554C">
              <w:rPr>
                <w:bCs/>
                <w:noProof/>
                <w:color w:val="000000"/>
                <w:sz w:val="18"/>
                <w:szCs w:val="18"/>
                <w:vertAlign w:val="superscript"/>
              </w:rPr>
              <w:t>72</w:t>
            </w:r>
            <w:r w:rsidRPr="005968A9">
              <w:rPr>
                <w:b/>
                <w:bCs/>
                <w:color w:val="000000"/>
                <w:sz w:val="18"/>
                <w:szCs w:val="18"/>
              </w:rPr>
              <w:fldChar w:fldCharType="end"/>
            </w:r>
          </w:p>
        </w:tc>
        <w:tc>
          <w:tcPr>
            <w:tcW w:w="1275" w:type="dxa"/>
            <w:tcBorders>
              <w:top w:val="single" w:sz="4" w:space="0" w:color="auto"/>
            </w:tcBorders>
            <w:shd w:val="clear" w:color="auto" w:fill="D9D9D9" w:themeFill="background1" w:themeFillShade="D9"/>
          </w:tcPr>
          <w:p w14:paraId="5AD7A674" w14:textId="77777777" w:rsidR="00554F3E" w:rsidRPr="005968A9" w:rsidRDefault="00554F3E" w:rsidP="00D76D28">
            <w:pPr>
              <w:jc w:val="center"/>
              <w:rPr>
                <w:rFonts w:cstheme="minorHAnsi"/>
                <w:sz w:val="18"/>
                <w:szCs w:val="18"/>
              </w:rPr>
            </w:pPr>
          </w:p>
          <w:p w14:paraId="1E199260" w14:textId="77777777" w:rsidR="00554F3E" w:rsidRPr="005968A9" w:rsidRDefault="00554F3E" w:rsidP="00D76D28">
            <w:pPr>
              <w:jc w:val="center"/>
              <w:rPr>
                <w:rFonts w:cstheme="minorHAnsi"/>
                <w:sz w:val="18"/>
                <w:szCs w:val="18"/>
              </w:rPr>
            </w:pPr>
            <w:r w:rsidRPr="005968A9">
              <w:rPr>
                <w:rFonts w:cstheme="minorHAnsi"/>
                <w:sz w:val="18"/>
                <w:szCs w:val="18"/>
              </w:rPr>
              <w:t>Y</w:t>
            </w:r>
          </w:p>
          <w:p w14:paraId="5611255F" w14:textId="77777777" w:rsidR="00554F3E" w:rsidRPr="005968A9" w:rsidRDefault="00554F3E" w:rsidP="00D76D28">
            <w:pPr>
              <w:jc w:val="center"/>
              <w:rPr>
                <w:rFonts w:cstheme="minorHAnsi"/>
                <w:sz w:val="18"/>
                <w:szCs w:val="18"/>
              </w:rPr>
            </w:pPr>
          </w:p>
        </w:tc>
        <w:tc>
          <w:tcPr>
            <w:tcW w:w="1560" w:type="dxa"/>
            <w:tcBorders>
              <w:top w:val="single" w:sz="4" w:space="0" w:color="auto"/>
            </w:tcBorders>
            <w:shd w:val="clear" w:color="auto" w:fill="D9D9D9" w:themeFill="background1" w:themeFillShade="D9"/>
          </w:tcPr>
          <w:p w14:paraId="6AD385B3" w14:textId="77777777" w:rsidR="00554F3E" w:rsidRPr="005968A9" w:rsidRDefault="00554F3E" w:rsidP="00D76D28">
            <w:pPr>
              <w:jc w:val="center"/>
              <w:rPr>
                <w:rFonts w:cstheme="minorHAnsi"/>
                <w:sz w:val="18"/>
                <w:szCs w:val="18"/>
              </w:rPr>
            </w:pPr>
          </w:p>
          <w:p w14:paraId="4FBD1C36" w14:textId="77777777" w:rsidR="00554F3E" w:rsidRPr="005968A9" w:rsidRDefault="00554F3E" w:rsidP="00D76D28">
            <w:pPr>
              <w:jc w:val="center"/>
              <w:rPr>
                <w:rFonts w:cstheme="minorHAnsi"/>
                <w:sz w:val="18"/>
                <w:szCs w:val="18"/>
              </w:rPr>
            </w:pPr>
            <w:r w:rsidRPr="005968A9">
              <w:rPr>
                <w:rFonts w:cstheme="minorHAnsi"/>
                <w:sz w:val="18"/>
                <w:szCs w:val="18"/>
              </w:rPr>
              <w:t>Y</w:t>
            </w:r>
          </w:p>
        </w:tc>
        <w:tc>
          <w:tcPr>
            <w:tcW w:w="1275" w:type="dxa"/>
            <w:tcBorders>
              <w:top w:val="single" w:sz="4" w:space="0" w:color="auto"/>
            </w:tcBorders>
            <w:shd w:val="clear" w:color="auto" w:fill="D9D9D9" w:themeFill="background1" w:themeFillShade="D9"/>
          </w:tcPr>
          <w:p w14:paraId="24F02AF2" w14:textId="77777777" w:rsidR="00554F3E" w:rsidRPr="005968A9" w:rsidRDefault="00554F3E" w:rsidP="00D76D28">
            <w:pPr>
              <w:jc w:val="center"/>
              <w:rPr>
                <w:rFonts w:cstheme="minorHAnsi"/>
                <w:sz w:val="18"/>
                <w:szCs w:val="18"/>
              </w:rPr>
            </w:pPr>
          </w:p>
          <w:p w14:paraId="2CAC4BE6" w14:textId="77777777" w:rsidR="00554F3E" w:rsidRPr="005968A9" w:rsidRDefault="00554F3E" w:rsidP="00D76D28">
            <w:pPr>
              <w:jc w:val="center"/>
              <w:rPr>
                <w:rFonts w:cstheme="minorHAnsi"/>
                <w:sz w:val="18"/>
                <w:szCs w:val="18"/>
              </w:rPr>
            </w:pPr>
            <w:r w:rsidRPr="005968A9">
              <w:rPr>
                <w:rFonts w:cstheme="minorHAnsi"/>
                <w:sz w:val="18"/>
                <w:szCs w:val="18"/>
              </w:rPr>
              <w:t>N</w:t>
            </w:r>
          </w:p>
        </w:tc>
        <w:tc>
          <w:tcPr>
            <w:tcW w:w="1701" w:type="dxa"/>
            <w:tcBorders>
              <w:top w:val="single" w:sz="4" w:space="0" w:color="auto"/>
            </w:tcBorders>
            <w:shd w:val="clear" w:color="auto" w:fill="D9D9D9" w:themeFill="background1" w:themeFillShade="D9"/>
          </w:tcPr>
          <w:p w14:paraId="68E8830E" w14:textId="77777777" w:rsidR="00554F3E" w:rsidRPr="005968A9" w:rsidRDefault="00554F3E" w:rsidP="00D76D28">
            <w:pPr>
              <w:jc w:val="center"/>
              <w:rPr>
                <w:rFonts w:cstheme="minorHAnsi"/>
                <w:sz w:val="18"/>
                <w:szCs w:val="18"/>
              </w:rPr>
            </w:pPr>
          </w:p>
          <w:p w14:paraId="3AF89B62" w14:textId="77777777" w:rsidR="00554F3E" w:rsidRPr="005968A9" w:rsidRDefault="00554F3E" w:rsidP="00D76D28">
            <w:pPr>
              <w:jc w:val="center"/>
              <w:rPr>
                <w:rFonts w:cstheme="minorHAnsi"/>
                <w:sz w:val="18"/>
                <w:szCs w:val="18"/>
              </w:rPr>
            </w:pPr>
            <w:r w:rsidRPr="005968A9">
              <w:rPr>
                <w:rFonts w:cstheme="minorHAnsi"/>
                <w:sz w:val="18"/>
                <w:szCs w:val="18"/>
              </w:rPr>
              <w:t>Y</w:t>
            </w:r>
          </w:p>
        </w:tc>
        <w:tc>
          <w:tcPr>
            <w:tcW w:w="1843" w:type="dxa"/>
            <w:tcBorders>
              <w:top w:val="single" w:sz="4" w:space="0" w:color="auto"/>
            </w:tcBorders>
            <w:shd w:val="clear" w:color="auto" w:fill="D9D9D9" w:themeFill="background1" w:themeFillShade="D9"/>
          </w:tcPr>
          <w:p w14:paraId="6E6DDCA2" w14:textId="77777777" w:rsidR="00554F3E" w:rsidRPr="005968A9" w:rsidRDefault="00554F3E" w:rsidP="00D76D28">
            <w:pPr>
              <w:jc w:val="center"/>
              <w:rPr>
                <w:rFonts w:cstheme="minorHAnsi"/>
                <w:sz w:val="18"/>
                <w:szCs w:val="18"/>
              </w:rPr>
            </w:pPr>
          </w:p>
          <w:p w14:paraId="07B6317C" w14:textId="77777777" w:rsidR="00554F3E" w:rsidRPr="005968A9" w:rsidRDefault="00554F3E" w:rsidP="00D76D28">
            <w:pPr>
              <w:jc w:val="center"/>
              <w:rPr>
                <w:rFonts w:cstheme="minorHAnsi"/>
                <w:sz w:val="18"/>
                <w:szCs w:val="18"/>
              </w:rPr>
            </w:pPr>
            <w:r w:rsidRPr="005968A9">
              <w:rPr>
                <w:rFonts w:cstheme="minorHAnsi"/>
                <w:sz w:val="18"/>
                <w:szCs w:val="18"/>
              </w:rPr>
              <w:t>Y</w:t>
            </w:r>
          </w:p>
        </w:tc>
        <w:tc>
          <w:tcPr>
            <w:tcW w:w="1559" w:type="dxa"/>
            <w:tcBorders>
              <w:top w:val="single" w:sz="4" w:space="0" w:color="auto"/>
            </w:tcBorders>
            <w:shd w:val="clear" w:color="auto" w:fill="D9D9D9" w:themeFill="background1" w:themeFillShade="D9"/>
          </w:tcPr>
          <w:p w14:paraId="7395149F" w14:textId="77777777" w:rsidR="00554F3E" w:rsidRPr="005968A9" w:rsidRDefault="00554F3E" w:rsidP="00D76D28">
            <w:pPr>
              <w:jc w:val="center"/>
              <w:rPr>
                <w:rFonts w:cstheme="minorHAnsi"/>
                <w:sz w:val="18"/>
                <w:szCs w:val="18"/>
              </w:rPr>
            </w:pPr>
          </w:p>
          <w:p w14:paraId="394508E7" w14:textId="77777777" w:rsidR="00554F3E" w:rsidRPr="005968A9" w:rsidRDefault="00554F3E" w:rsidP="00D76D28">
            <w:pPr>
              <w:jc w:val="center"/>
              <w:rPr>
                <w:rFonts w:cstheme="minorHAnsi"/>
                <w:sz w:val="18"/>
                <w:szCs w:val="18"/>
              </w:rPr>
            </w:pPr>
            <w:r w:rsidRPr="005968A9">
              <w:rPr>
                <w:rFonts w:cstheme="minorHAnsi"/>
                <w:sz w:val="18"/>
                <w:szCs w:val="18"/>
              </w:rPr>
              <w:t>Y</w:t>
            </w:r>
          </w:p>
        </w:tc>
        <w:tc>
          <w:tcPr>
            <w:tcW w:w="1276" w:type="dxa"/>
            <w:tcBorders>
              <w:top w:val="single" w:sz="4" w:space="0" w:color="auto"/>
            </w:tcBorders>
            <w:shd w:val="clear" w:color="auto" w:fill="D9D9D9" w:themeFill="background1" w:themeFillShade="D9"/>
          </w:tcPr>
          <w:p w14:paraId="28736A8C" w14:textId="77777777" w:rsidR="00554F3E" w:rsidRPr="005968A9" w:rsidRDefault="00554F3E" w:rsidP="00D76D28">
            <w:pPr>
              <w:jc w:val="center"/>
              <w:rPr>
                <w:rFonts w:cstheme="minorHAnsi"/>
                <w:sz w:val="18"/>
                <w:szCs w:val="18"/>
              </w:rPr>
            </w:pPr>
          </w:p>
          <w:p w14:paraId="6ECB5486" w14:textId="77777777" w:rsidR="00554F3E" w:rsidRPr="005968A9" w:rsidRDefault="00554F3E" w:rsidP="00D76D28">
            <w:pPr>
              <w:jc w:val="center"/>
              <w:rPr>
                <w:rFonts w:cstheme="minorHAnsi"/>
                <w:sz w:val="18"/>
                <w:szCs w:val="18"/>
              </w:rPr>
            </w:pPr>
            <w:r w:rsidRPr="005968A9">
              <w:rPr>
                <w:rFonts w:cstheme="minorHAnsi"/>
                <w:sz w:val="18"/>
                <w:szCs w:val="18"/>
              </w:rPr>
              <w:t>N</w:t>
            </w:r>
          </w:p>
        </w:tc>
        <w:tc>
          <w:tcPr>
            <w:tcW w:w="992" w:type="dxa"/>
            <w:tcBorders>
              <w:top w:val="single" w:sz="4" w:space="0" w:color="auto"/>
            </w:tcBorders>
            <w:shd w:val="clear" w:color="auto" w:fill="D9D9D9" w:themeFill="background1" w:themeFillShade="D9"/>
          </w:tcPr>
          <w:p w14:paraId="09768674" w14:textId="77777777" w:rsidR="00554F3E" w:rsidRPr="005968A9" w:rsidRDefault="00554F3E" w:rsidP="00D76D28">
            <w:pPr>
              <w:jc w:val="center"/>
              <w:rPr>
                <w:rFonts w:cstheme="minorHAnsi"/>
                <w:sz w:val="18"/>
                <w:szCs w:val="18"/>
              </w:rPr>
            </w:pPr>
          </w:p>
          <w:p w14:paraId="2310C7AA" w14:textId="77777777" w:rsidR="00554F3E" w:rsidRPr="005968A9" w:rsidRDefault="00554F3E" w:rsidP="00D76D28">
            <w:pPr>
              <w:jc w:val="center"/>
              <w:rPr>
                <w:rFonts w:cstheme="minorHAnsi"/>
                <w:sz w:val="18"/>
                <w:szCs w:val="18"/>
              </w:rPr>
            </w:pPr>
            <w:r w:rsidRPr="005968A9">
              <w:rPr>
                <w:rFonts w:cstheme="minorHAnsi"/>
                <w:sz w:val="18"/>
                <w:szCs w:val="18"/>
              </w:rPr>
              <w:t>N</w:t>
            </w:r>
          </w:p>
        </w:tc>
        <w:tc>
          <w:tcPr>
            <w:tcW w:w="842" w:type="dxa"/>
            <w:tcBorders>
              <w:top w:val="single" w:sz="4" w:space="0" w:color="auto"/>
            </w:tcBorders>
            <w:shd w:val="clear" w:color="auto" w:fill="D9D9D9" w:themeFill="background1" w:themeFillShade="D9"/>
          </w:tcPr>
          <w:p w14:paraId="55C88F16" w14:textId="77777777" w:rsidR="00554F3E" w:rsidRDefault="00554F3E" w:rsidP="00D76D28">
            <w:pPr>
              <w:jc w:val="center"/>
              <w:rPr>
                <w:rFonts w:cstheme="minorHAnsi"/>
                <w:sz w:val="18"/>
                <w:szCs w:val="18"/>
              </w:rPr>
            </w:pPr>
          </w:p>
          <w:p w14:paraId="0A262007" w14:textId="77777777" w:rsidR="00554F3E" w:rsidRDefault="00554F3E" w:rsidP="00D76D28">
            <w:pPr>
              <w:jc w:val="center"/>
              <w:rPr>
                <w:rFonts w:cstheme="minorHAnsi"/>
                <w:sz w:val="18"/>
                <w:szCs w:val="18"/>
              </w:rPr>
            </w:pPr>
            <w:r>
              <w:rPr>
                <w:rFonts w:cstheme="minorHAnsi"/>
                <w:sz w:val="18"/>
                <w:szCs w:val="18"/>
              </w:rPr>
              <w:t>5</w:t>
            </w:r>
          </w:p>
        </w:tc>
        <w:tc>
          <w:tcPr>
            <w:tcW w:w="851" w:type="dxa"/>
            <w:tcBorders>
              <w:top w:val="single" w:sz="4" w:space="0" w:color="auto"/>
            </w:tcBorders>
            <w:shd w:val="clear" w:color="auto" w:fill="D9D9D9" w:themeFill="background1" w:themeFillShade="D9"/>
          </w:tcPr>
          <w:p w14:paraId="73A768A2" w14:textId="77777777" w:rsidR="00554F3E" w:rsidRPr="005968A9" w:rsidRDefault="00554F3E" w:rsidP="00D76D28">
            <w:pPr>
              <w:jc w:val="center"/>
              <w:rPr>
                <w:rFonts w:cstheme="minorHAnsi"/>
                <w:sz w:val="18"/>
                <w:szCs w:val="18"/>
              </w:rPr>
            </w:pPr>
          </w:p>
          <w:p w14:paraId="7866029D" w14:textId="77777777" w:rsidR="00554F3E" w:rsidRPr="000B4DF4" w:rsidRDefault="00554F3E" w:rsidP="00D76D28">
            <w:pPr>
              <w:jc w:val="center"/>
              <w:rPr>
                <w:rFonts w:cstheme="minorHAnsi"/>
                <w:sz w:val="18"/>
                <w:szCs w:val="18"/>
              </w:rPr>
            </w:pPr>
            <w:r w:rsidRPr="005968A9">
              <w:rPr>
                <w:rFonts w:cstheme="minorHAnsi"/>
                <w:sz w:val="18"/>
                <w:szCs w:val="18"/>
              </w:rPr>
              <w:sym w:font="Wingdings" w:char="F0FC"/>
            </w:r>
          </w:p>
        </w:tc>
      </w:tr>
      <w:tr w:rsidR="00554F3E" w:rsidRPr="000926D0" w14:paraId="1D41E8A6" w14:textId="77777777" w:rsidTr="00D76D28">
        <w:tc>
          <w:tcPr>
            <w:tcW w:w="1853" w:type="dxa"/>
            <w:shd w:val="clear" w:color="auto" w:fill="D9D9D9" w:themeFill="background1" w:themeFillShade="D9"/>
          </w:tcPr>
          <w:p w14:paraId="36DFEAF6" w14:textId="77777777" w:rsidR="00554F3E" w:rsidRPr="005968A9" w:rsidRDefault="00554F3E" w:rsidP="00D76D28">
            <w:pPr>
              <w:rPr>
                <w:b/>
                <w:bCs/>
                <w:color w:val="000000"/>
                <w:sz w:val="18"/>
                <w:szCs w:val="18"/>
              </w:rPr>
            </w:pPr>
            <w:r w:rsidRPr="005968A9">
              <w:rPr>
                <w:b/>
                <w:bCs/>
                <w:sz w:val="18"/>
                <w:szCs w:val="18"/>
              </w:rPr>
              <w:t>Scottish Intercollegiate Guidelines Network (SIGN) guideline, 2015</w:t>
            </w:r>
            <w:r>
              <w:rPr>
                <w:b/>
                <w:bCs/>
                <w:sz w:val="18"/>
                <w:szCs w:val="18"/>
              </w:rPr>
              <w:t xml:space="preserve"> </w:t>
            </w:r>
            <w:r w:rsidRPr="005968A9">
              <w:rPr>
                <w:b/>
                <w:bCs/>
                <w:sz w:val="18"/>
                <w:szCs w:val="18"/>
              </w:rPr>
              <w:fldChar w:fldCharType="begin" w:fldLock="1"/>
            </w:r>
            <w:r>
              <w:rPr>
                <w:b/>
                <w:bCs/>
                <w:sz w:val="18"/>
                <w:szCs w:val="18"/>
              </w:rPr>
              <w:instrText>ADDIN CSL_CITATION { "citationItems" : [ { "id" : "ITEM-1", "itemData" : { "author" : [ { "dropping-particle" : "", "family" : "Scottish Intercollegiate Guideline", "given" : "", "non-dropping-particle" : "", "parse-names" : false, "suffix" : "" }, { "dropping-particle" : "", "family" : "Network", "given" : "", "non-dropping-particle" : "", "parse-names" : false, "suffix" : "" } ], "id" : "ITEM-1", "issued" : { "date-parts" : [ [ "2015" ] ] }, "number-of-pages" : "1-128", "publisher-place" : "Edinburgh, Scotland", "title" : "SIGN 142 @BULLET Management of osteoporosis and the prevention of fragility fractures", "type" : "report" }, "uris" : [ "http://www.mendeley.com/documents/?uuid=72946b57-46e1-3bf5-a7d0-0f797fabc14d" ] } ], "mendeley" : { "formattedCitation" : "&lt;sup&gt;52&lt;/sup&gt;", "plainTextFormattedCitation" : "52", "previouslyFormattedCitation" : "&lt;sup&gt;52&lt;/sup&gt;" }, "properties" : {  }, "schema" : "https://github.com/citation-style-language/schema/raw/master/csl-citation.json" }</w:instrText>
            </w:r>
            <w:r w:rsidRPr="005968A9">
              <w:rPr>
                <w:b/>
                <w:bCs/>
                <w:sz w:val="18"/>
                <w:szCs w:val="18"/>
              </w:rPr>
              <w:fldChar w:fldCharType="separate"/>
            </w:r>
            <w:r w:rsidRPr="00C6554C">
              <w:rPr>
                <w:bCs/>
                <w:noProof/>
                <w:sz w:val="18"/>
                <w:szCs w:val="18"/>
                <w:vertAlign w:val="superscript"/>
              </w:rPr>
              <w:t>52</w:t>
            </w:r>
            <w:r w:rsidRPr="005968A9">
              <w:rPr>
                <w:b/>
                <w:bCs/>
                <w:sz w:val="18"/>
                <w:szCs w:val="18"/>
              </w:rPr>
              <w:fldChar w:fldCharType="end"/>
            </w:r>
          </w:p>
        </w:tc>
        <w:tc>
          <w:tcPr>
            <w:tcW w:w="1275" w:type="dxa"/>
            <w:shd w:val="clear" w:color="auto" w:fill="D9D9D9" w:themeFill="background1" w:themeFillShade="D9"/>
          </w:tcPr>
          <w:p w14:paraId="4745BF0D" w14:textId="77777777" w:rsidR="00554F3E" w:rsidRPr="005968A9" w:rsidRDefault="00554F3E" w:rsidP="00D76D28">
            <w:pPr>
              <w:tabs>
                <w:tab w:val="left" w:pos="2775"/>
              </w:tabs>
              <w:jc w:val="center"/>
              <w:rPr>
                <w:sz w:val="18"/>
                <w:szCs w:val="18"/>
              </w:rPr>
            </w:pPr>
          </w:p>
          <w:p w14:paraId="59BF2DD6" w14:textId="77777777" w:rsidR="00554F3E" w:rsidRPr="005968A9" w:rsidRDefault="00554F3E" w:rsidP="00D76D28">
            <w:pPr>
              <w:tabs>
                <w:tab w:val="left" w:pos="2775"/>
              </w:tabs>
              <w:jc w:val="center"/>
              <w:rPr>
                <w:sz w:val="18"/>
                <w:szCs w:val="18"/>
              </w:rPr>
            </w:pPr>
          </w:p>
          <w:p w14:paraId="164E5BF6" w14:textId="77777777" w:rsidR="00554F3E" w:rsidRPr="005968A9" w:rsidRDefault="00554F3E" w:rsidP="00D76D28">
            <w:pPr>
              <w:jc w:val="center"/>
              <w:rPr>
                <w:rFonts w:cstheme="minorHAnsi"/>
                <w:sz w:val="18"/>
                <w:szCs w:val="18"/>
              </w:rPr>
            </w:pPr>
            <w:r w:rsidRPr="005968A9">
              <w:rPr>
                <w:sz w:val="18"/>
                <w:szCs w:val="18"/>
              </w:rPr>
              <w:t>Y</w:t>
            </w:r>
          </w:p>
        </w:tc>
        <w:tc>
          <w:tcPr>
            <w:tcW w:w="1560" w:type="dxa"/>
            <w:shd w:val="clear" w:color="auto" w:fill="D9D9D9" w:themeFill="background1" w:themeFillShade="D9"/>
          </w:tcPr>
          <w:p w14:paraId="572AB173" w14:textId="77777777" w:rsidR="00554F3E" w:rsidRPr="005968A9" w:rsidRDefault="00554F3E" w:rsidP="00D76D28">
            <w:pPr>
              <w:tabs>
                <w:tab w:val="left" w:pos="2775"/>
              </w:tabs>
              <w:jc w:val="center"/>
              <w:rPr>
                <w:sz w:val="18"/>
                <w:szCs w:val="18"/>
              </w:rPr>
            </w:pPr>
          </w:p>
          <w:p w14:paraId="1BE674C0" w14:textId="77777777" w:rsidR="00554F3E" w:rsidRPr="005968A9" w:rsidRDefault="00554F3E" w:rsidP="00D76D28">
            <w:pPr>
              <w:tabs>
                <w:tab w:val="left" w:pos="2775"/>
              </w:tabs>
              <w:jc w:val="center"/>
              <w:rPr>
                <w:sz w:val="18"/>
                <w:szCs w:val="18"/>
              </w:rPr>
            </w:pPr>
          </w:p>
          <w:p w14:paraId="7319B9C5" w14:textId="77777777" w:rsidR="00554F3E" w:rsidRPr="005968A9" w:rsidRDefault="00554F3E" w:rsidP="00D76D28">
            <w:pPr>
              <w:jc w:val="center"/>
              <w:rPr>
                <w:rFonts w:cstheme="minorHAnsi"/>
                <w:sz w:val="18"/>
                <w:szCs w:val="18"/>
              </w:rPr>
            </w:pPr>
            <w:r w:rsidRPr="005968A9">
              <w:rPr>
                <w:sz w:val="18"/>
                <w:szCs w:val="18"/>
              </w:rPr>
              <w:t>Y</w:t>
            </w:r>
          </w:p>
        </w:tc>
        <w:tc>
          <w:tcPr>
            <w:tcW w:w="1275" w:type="dxa"/>
            <w:shd w:val="clear" w:color="auto" w:fill="D9D9D9" w:themeFill="background1" w:themeFillShade="D9"/>
          </w:tcPr>
          <w:p w14:paraId="3CF8BA78" w14:textId="77777777" w:rsidR="00554F3E" w:rsidRPr="005968A9" w:rsidRDefault="00554F3E" w:rsidP="00D76D28">
            <w:pPr>
              <w:tabs>
                <w:tab w:val="left" w:pos="2775"/>
              </w:tabs>
              <w:jc w:val="center"/>
              <w:rPr>
                <w:sz w:val="18"/>
                <w:szCs w:val="18"/>
              </w:rPr>
            </w:pPr>
          </w:p>
          <w:p w14:paraId="2D1669D5" w14:textId="77777777" w:rsidR="00554F3E" w:rsidRPr="005968A9" w:rsidRDefault="00554F3E" w:rsidP="00D76D28">
            <w:pPr>
              <w:tabs>
                <w:tab w:val="left" w:pos="2775"/>
              </w:tabs>
              <w:jc w:val="center"/>
              <w:rPr>
                <w:sz w:val="18"/>
                <w:szCs w:val="18"/>
              </w:rPr>
            </w:pPr>
          </w:p>
          <w:p w14:paraId="4FE6DADB" w14:textId="77777777" w:rsidR="00554F3E" w:rsidRPr="005968A9" w:rsidRDefault="00554F3E" w:rsidP="00D76D28">
            <w:pPr>
              <w:jc w:val="center"/>
              <w:rPr>
                <w:rFonts w:cstheme="minorHAnsi"/>
                <w:sz w:val="18"/>
                <w:szCs w:val="18"/>
              </w:rPr>
            </w:pPr>
            <w:r w:rsidRPr="005968A9">
              <w:rPr>
                <w:sz w:val="18"/>
                <w:szCs w:val="18"/>
              </w:rPr>
              <w:t>Y</w:t>
            </w:r>
          </w:p>
        </w:tc>
        <w:tc>
          <w:tcPr>
            <w:tcW w:w="1701" w:type="dxa"/>
            <w:shd w:val="clear" w:color="auto" w:fill="D9D9D9" w:themeFill="background1" w:themeFillShade="D9"/>
          </w:tcPr>
          <w:p w14:paraId="6666F286" w14:textId="77777777" w:rsidR="00554F3E" w:rsidRPr="005968A9" w:rsidRDefault="00554F3E" w:rsidP="00D76D28">
            <w:pPr>
              <w:tabs>
                <w:tab w:val="left" w:pos="2775"/>
              </w:tabs>
              <w:jc w:val="center"/>
              <w:rPr>
                <w:sz w:val="18"/>
                <w:szCs w:val="18"/>
              </w:rPr>
            </w:pPr>
          </w:p>
          <w:p w14:paraId="1672FF42" w14:textId="77777777" w:rsidR="00554F3E" w:rsidRPr="005968A9" w:rsidRDefault="00554F3E" w:rsidP="00D76D28">
            <w:pPr>
              <w:tabs>
                <w:tab w:val="left" w:pos="2775"/>
              </w:tabs>
              <w:jc w:val="center"/>
              <w:rPr>
                <w:sz w:val="18"/>
                <w:szCs w:val="18"/>
              </w:rPr>
            </w:pPr>
          </w:p>
          <w:p w14:paraId="54B75520" w14:textId="77777777" w:rsidR="00554F3E" w:rsidRPr="005968A9" w:rsidRDefault="00554F3E" w:rsidP="00D76D28">
            <w:pPr>
              <w:jc w:val="center"/>
              <w:rPr>
                <w:rFonts w:cstheme="minorHAnsi"/>
                <w:sz w:val="18"/>
                <w:szCs w:val="18"/>
              </w:rPr>
            </w:pPr>
            <w:r w:rsidRPr="005968A9">
              <w:rPr>
                <w:sz w:val="18"/>
                <w:szCs w:val="18"/>
              </w:rPr>
              <w:t>Y</w:t>
            </w:r>
          </w:p>
        </w:tc>
        <w:tc>
          <w:tcPr>
            <w:tcW w:w="1843" w:type="dxa"/>
            <w:shd w:val="clear" w:color="auto" w:fill="D9D9D9" w:themeFill="background1" w:themeFillShade="D9"/>
          </w:tcPr>
          <w:p w14:paraId="184997C6" w14:textId="77777777" w:rsidR="00554F3E" w:rsidRPr="005968A9" w:rsidRDefault="00554F3E" w:rsidP="00D76D28">
            <w:pPr>
              <w:tabs>
                <w:tab w:val="left" w:pos="2775"/>
              </w:tabs>
              <w:jc w:val="center"/>
              <w:rPr>
                <w:sz w:val="18"/>
                <w:szCs w:val="18"/>
              </w:rPr>
            </w:pPr>
          </w:p>
          <w:p w14:paraId="5A505707" w14:textId="77777777" w:rsidR="00554F3E" w:rsidRPr="005968A9" w:rsidRDefault="00554F3E" w:rsidP="00D76D28">
            <w:pPr>
              <w:tabs>
                <w:tab w:val="left" w:pos="2775"/>
              </w:tabs>
              <w:jc w:val="center"/>
              <w:rPr>
                <w:sz w:val="18"/>
                <w:szCs w:val="18"/>
              </w:rPr>
            </w:pPr>
          </w:p>
          <w:p w14:paraId="5727880D" w14:textId="77777777" w:rsidR="00554F3E" w:rsidRPr="005968A9" w:rsidRDefault="00554F3E" w:rsidP="00D76D28">
            <w:pPr>
              <w:jc w:val="center"/>
              <w:rPr>
                <w:rFonts w:cstheme="minorHAnsi"/>
                <w:sz w:val="18"/>
                <w:szCs w:val="18"/>
              </w:rPr>
            </w:pPr>
            <w:r w:rsidRPr="005968A9">
              <w:rPr>
                <w:sz w:val="18"/>
                <w:szCs w:val="18"/>
              </w:rPr>
              <w:t>Y</w:t>
            </w:r>
          </w:p>
        </w:tc>
        <w:tc>
          <w:tcPr>
            <w:tcW w:w="1559" w:type="dxa"/>
            <w:shd w:val="clear" w:color="auto" w:fill="D9D9D9" w:themeFill="background1" w:themeFillShade="D9"/>
          </w:tcPr>
          <w:p w14:paraId="229B32C4" w14:textId="77777777" w:rsidR="00554F3E" w:rsidRPr="005968A9" w:rsidRDefault="00554F3E" w:rsidP="00D76D28">
            <w:pPr>
              <w:tabs>
                <w:tab w:val="left" w:pos="2775"/>
              </w:tabs>
              <w:jc w:val="center"/>
              <w:rPr>
                <w:sz w:val="18"/>
                <w:szCs w:val="18"/>
              </w:rPr>
            </w:pPr>
          </w:p>
          <w:p w14:paraId="36F74D17" w14:textId="77777777" w:rsidR="00554F3E" w:rsidRPr="005968A9" w:rsidRDefault="00554F3E" w:rsidP="00D76D28">
            <w:pPr>
              <w:tabs>
                <w:tab w:val="left" w:pos="2775"/>
              </w:tabs>
              <w:jc w:val="center"/>
              <w:rPr>
                <w:sz w:val="18"/>
                <w:szCs w:val="18"/>
              </w:rPr>
            </w:pPr>
          </w:p>
          <w:p w14:paraId="4855348F" w14:textId="77777777" w:rsidR="00554F3E" w:rsidRPr="005968A9" w:rsidRDefault="00554F3E" w:rsidP="00D76D28">
            <w:pPr>
              <w:jc w:val="center"/>
              <w:rPr>
                <w:rFonts w:cstheme="minorHAnsi"/>
                <w:sz w:val="18"/>
                <w:szCs w:val="18"/>
              </w:rPr>
            </w:pPr>
            <w:r w:rsidRPr="005968A9">
              <w:rPr>
                <w:sz w:val="18"/>
                <w:szCs w:val="18"/>
              </w:rPr>
              <w:t>Y</w:t>
            </w:r>
          </w:p>
        </w:tc>
        <w:tc>
          <w:tcPr>
            <w:tcW w:w="1276" w:type="dxa"/>
            <w:shd w:val="clear" w:color="auto" w:fill="D9D9D9" w:themeFill="background1" w:themeFillShade="D9"/>
          </w:tcPr>
          <w:p w14:paraId="07CE3D8D" w14:textId="77777777" w:rsidR="00554F3E" w:rsidRPr="005968A9" w:rsidRDefault="00554F3E" w:rsidP="00D76D28">
            <w:pPr>
              <w:tabs>
                <w:tab w:val="left" w:pos="2775"/>
              </w:tabs>
              <w:jc w:val="center"/>
              <w:rPr>
                <w:sz w:val="18"/>
                <w:szCs w:val="18"/>
              </w:rPr>
            </w:pPr>
          </w:p>
          <w:p w14:paraId="0E1BF768" w14:textId="77777777" w:rsidR="00554F3E" w:rsidRPr="005968A9" w:rsidRDefault="00554F3E" w:rsidP="00D76D28">
            <w:pPr>
              <w:tabs>
                <w:tab w:val="left" w:pos="2775"/>
              </w:tabs>
              <w:jc w:val="center"/>
              <w:rPr>
                <w:sz w:val="18"/>
                <w:szCs w:val="18"/>
              </w:rPr>
            </w:pPr>
          </w:p>
          <w:p w14:paraId="61EF1890" w14:textId="77777777" w:rsidR="00554F3E" w:rsidRPr="005968A9" w:rsidRDefault="00554F3E" w:rsidP="00D76D28">
            <w:pPr>
              <w:jc w:val="center"/>
              <w:rPr>
                <w:rFonts w:cstheme="minorHAnsi"/>
                <w:sz w:val="18"/>
                <w:szCs w:val="18"/>
              </w:rPr>
            </w:pPr>
            <w:r w:rsidRPr="005968A9">
              <w:rPr>
                <w:sz w:val="18"/>
                <w:szCs w:val="18"/>
              </w:rPr>
              <w:t>Y</w:t>
            </w:r>
          </w:p>
        </w:tc>
        <w:tc>
          <w:tcPr>
            <w:tcW w:w="992" w:type="dxa"/>
            <w:shd w:val="clear" w:color="auto" w:fill="D9D9D9" w:themeFill="background1" w:themeFillShade="D9"/>
          </w:tcPr>
          <w:p w14:paraId="2C8E269A" w14:textId="77777777" w:rsidR="00554F3E" w:rsidRPr="005968A9" w:rsidRDefault="00554F3E" w:rsidP="00D76D28">
            <w:pPr>
              <w:tabs>
                <w:tab w:val="left" w:pos="2775"/>
              </w:tabs>
              <w:jc w:val="center"/>
              <w:rPr>
                <w:sz w:val="18"/>
                <w:szCs w:val="18"/>
              </w:rPr>
            </w:pPr>
          </w:p>
          <w:p w14:paraId="646BB710" w14:textId="77777777" w:rsidR="00554F3E" w:rsidRPr="005968A9" w:rsidRDefault="00554F3E" w:rsidP="00D76D28">
            <w:pPr>
              <w:tabs>
                <w:tab w:val="left" w:pos="2775"/>
              </w:tabs>
              <w:jc w:val="center"/>
              <w:rPr>
                <w:sz w:val="18"/>
                <w:szCs w:val="18"/>
              </w:rPr>
            </w:pPr>
          </w:p>
          <w:p w14:paraId="135AC7D8" w14:textId="77777777" w:rsidR="00554F3E" w:rsidRPr="005968A9" w:rsidRDefault="00554F3E" w:rsidP="00D76D28">
            <w:pPr>
              <w:jc w:val="center"/>
              <w:rPr>
                <w:rFonts w:cstheme="minorHAnsi"/>
                <w:sz w:val="18"/>
                <w:szCs w:val="18"/>
              </w:rPr>
            </w:pPr>
            <w:r w:rsidRPr="005968A9">
              <w:rPr>
                <w:sz w:val="18"/>
                <w:szCs w:val="18"/>
              </w:rPr>
              <w:t>Y</w:t>
            </w:r>
          </w:p>
        </w:tc>
        <w:tc>
          <w:tcPr>
            <w:tcW w:w="842" w:type="dxa"/>
            <w:shd w:val="clear" w:color="auto" w:fill="D9D9D9" w:themeFill="background1" w:themeFillShade="D9"/>
          </w:tcPr>
          <w:p w14:paraId="1CB15395" w14:textId="77777777" w:rsidR="00554F3E" w:rsidRDefault="00554F3E" w:rsidP="00D76D28">
            <w:pPr>
              <w:tabs>
                <w:tab w:val="left" w:pos="2775"/>
              </w:tabs>
              <w:jc w:val="center"/>
              <w:rPr>
                <w:sz w:val="18"/>
                <w:szCs w:val="18"/>
              </w:rPr>
            </w:pPr>
          </w:p>
          <w:p w14:paraId="59E031C0" w14:textId="77777777" w:rsidR="00554F3E" w:rsidRDefault="00554F3E" w:rsidP="00D76D28">
            <w:pPr>
              <w:tabs>
                <w:tab w:val="left" w:pos="2775"/>
              </w:tabs>
              <w:jc w:val="center"/>
              <w:rPr>
                <w:sz w:val="18"/>
                <w:szCs w:val="18"/>
              </w:rPr>
            </w:pPr>
          </w:p>
          <w:p w14:paraId="08E17C8D" w14:textId="77777777" w:rsidR="00554F3E" w:rsidRDefault="00554F3E" w:rsidP="00D76D28">
            <w:pPr>
              <w:jc w:val="center"/>
              <w:rPr>
                <w:rFonts w:cstheme="minorHAnsi"/>
                <w:sz w:val="18"/>
                <w:szCs w:val="18"/>
              </w:rPr>
            </w:pPr>
            <w:r>
              <w:rPr>
                <w:sz w:val="18"/>
                <w:szCs w:val="18"/>
              </w:rPr>
              <w:t>8</w:t>
            </w:r>
          </w:p>
        </w:tc>
        <w:tc>
          <w:tcPr>
            <w:tcW w:w="851" w:type="dxa"/>
            <w:shd w:val="clear" w:color="auto" w:fill="D9D9D9" w:themeFill="background1" w:themeFillShade="D9"/>
          </w:tcPr>
          <w:p w14:paraId="4D73F2FB" w14:textId="77777777" w:rsidR="00554F3E" w:rsidRPr="005968A9" w:rsidRDefault="00554F3E" w:rsidP="00D76D28">
            <w:pPr>
              <w:tabs>
                <w:tab w:val="left" w:pos="2775"/>
              </w:tabs>
              <w:jc w:val="center"/>
              <w:rPr>
                <w:sz w:val="18"/>
                <w:szCs w:val="18"/>
              </w:rPr>
            </w:pPr>
          </w:p>
          <w:p w14:paraId="743D6524" w14:textId="77777777" w:rsidR="00554F3E" w:rsidRPr="005968A9" w:rsidRDefault="00554F3E" w:rsidP="00D76D28">
            <w:pPr>
              <w:tabs>
                <w:tab w:val="left" w:pos="2775"/>
              </w:tabs>
              <w:jc w:val="center"/>
              <w:rPr>
                <w:sz w:val="18"/>
                <w:szCs w:val="18"/>
              </w:rPr>
            </w:pPr>
          </w:p>
          <w:p w14:paraId="725E0DBC" w14:textId="77777777" w:rsidR="00554F3E" w:rsidRPr="005968A9" w:rsidRDefault="00554F3E" w:rsidP="00D76D28">
            <w:pPr>
              <w:jc w:val="center"/>
              <w:rPr>
                <w:rFonts w:cstheme="minorHAnsi"/>
                <w:sz w:val="18"/>
                <w:szCs w:val="18"/>
              </w:rPr>
            </w:pPr>
            <w:r w:rsidRPr="005968A9">
              <w:rPr>
                <w:sz w:val="18"/>
                <w:szCs w:val="18"/>
              </w:rPr>
              <w:sym w:font="Wingdings" w:char="F0FC"/>
            </w:r>
          </w:p>
        </w:tc>
      </w:tr>
      <w:tr w:rsidR="00554F3E" w:rsidRPr="000926D0" w14:paraId="443976AA" w14:textId="77777777" w:rsidTr="00D76D28">
        <w:tc>
          <w:tcPr>
            <w:tcW w:w="1853" w:type="dxa"/>
            <w:shd w:val="clear" w:color="auto" w:fill="FFFFFF" w:themeFill="background1"/>
          </w:tcPr>
          <w:p w14:paraId="0486EBD2" w14:textId="77777777" w:rsidR="00554F3E" w:rsidRPr="005968A9" w:rsidRDefault="00554F3E" w:rsidP="00D76D28">
            <w:pPr>
              <w:rPr>
                <w:b/>
                <w:bCs/>
                <w:sz w:val="18"/>
                <w:szCs w:val="18"/>
              </w:rPr>
            </w:pPr>
            <w:r w:rsidRPr="005968A9">
              <w:rPr>
                <w:rFonts w:cstheme="minorHAnsi"/>
                <w:b/>
                <w:bCs/>
                <w:color w:val="0F0F1E"/>
                <w:sz w:val="18"/>
                <w:szCs w:val="18"/>
                <w:shd w:val="clear" w:color="auto" w:fill="FFFFFF"/>
              </w:rPr>
              <w:t xml:space="preserve">2015 Guidelines for Osteoporosis in Saudi Arabia </w:t>
            </w:r>
            <w:r w:rsidRPr="005968A9">
              <w:rPr>
                <w:rFonts w:cstheme="minorHAnsi"/>
                <w:b/>
                <w:bCs/>
                <w:color w:val="0F0F1E"/>
                <w:sz w:val="18"/>
                <w:szCs w:val="18"/>
                <w:shd w:val="clear" w:color="auto" w:fill="FFFFFF"/>
              </w:rPr>
              <w:fldChar w:fldCharType="begin" w:fldLock="1"/>
            </w:r>
            <w:r>
              <w:rPr>
                <w:rFonts w:cstheme="minorHAnsi"/>
                <w:b/>
                <w:bCs/>
                <w:color w:val="0F0F1E"/>
                <w:sz w:val="18"/>
                <w:szCs w:val="18"/>
                <w:shd w:val="clear" w:color="auto" w:fill="FFFFFF"/>
              </w:rPr>
              <w:instrText>ADDIN CSL_CITATION { "citationItems" : [ { "id" : "ITEM-1", "itemData" : { "DOI" : "10.5144/0256-4947.2015.1", "ISSN" : "0975-4466", "PMID" : "26142931", "abstract" : "BACKGROUND AND OBJECTIVES To provide guidelines for medical professionals in Saudi Arabia regarding osteoporosis. DESIGN AND SETTINGS A panel of 14 local experts in osteoporosis assembled to provide consensus based on the strength of evidence and expert opinions on osteoporosis treatment. PATIENTS AND METHODS The Saudi Osteoporosis Society (SOS) formed a panel of experts who performed an extensive published studies search to formulate recommendations regarding prevention, diagnosis, and treatment of osteoporosis in Saudi Arabia. Both local and international published studies were utilized whenever available. RESULTS Dual x-ray absorptiometry (DXA) scanning is still the golden standard for assessing bone mineral density (BMD). In the absence of local, country-specific fracture risk assessment tool (FRAX), the SOS recommends using the USA (White) version of the FRAX tool. All women above 60 years of age should be evaluated for BMD. This is because the panel recognized that osteoporosis and osteoporotic fractures occur at a younger age in Saudi Arabia. Hormone replacement therapy (HRT) is not recommended for treating postmenopausal women with osteoporosis. BMD evaluation should be performed 1-2 years after initiating intervention, and the assessment of bone turnover biomarkers should be performed whenever available to determine the efficacy of intervention. CONCLUSION All Saudi women above the age of 60 years must undergo a BMD assessment using DXA. Therapy decisions should be formulated with the use of the USA (White) version of the FRAX tool.", "author" : [ { "dropping-particle" : "", "family" : "Al-Saleh", "given" : "Yousef", "non-dropping-particle" : "", "parse-names" : false, "suffix" : "" }, { "dropping-particle" : "", "family" : "Sulimani", "given" : "Riad", "non-dropping-particle" : "", "parse-names" : false, "suffix" : "" }, { "dropping-particle" : "", "family" : "Sabico", "given" : "Shaun", "non-dropping-particle" : "", "parse-names" : false, "suffix" : "" }, { "dropping-particle" : "", "family" : "Raef", "given" : "Hussein", "non-dropping-particle" : "", "parse-names" : false, "suffix" : "" }, { "dropping-particle" : "", "family" : "Fouda", "given" : "Mona", "non-dropping-particle" : "", "parse-names" : false, "suffix" : "" }, { "dropping-particle" : "", "family" : "Alshahrani", "given" : "Fahad", "non-dropping-particle" : "", "parse-names" : false, "suffix" : "" }, { "dropping-particle" : "", "family" : "Shaker", "given" : "Mohammad", "non-dropping-particle" : "Al", "parse-names" : false, "suffix" : "" }, { "dropping-particle" : "", "family" : "Wahabi", "given" : "Basma", "non-dropping-particle" : "Al", "parse-names" : false, "suffix" : "" }, { "dropping-particle" : "", "family" : "Sadat-Ali", "given" : "Mir", "non-dropping-particle" : "", "parse-names" : false, "suffix" : "" }, { "dropping-particle" : "", "family" : "Rayes", "given" : "Hanan", "non-dropping-particle" : "Al", "parse-names" : false, "suffix" : "" }, { "dropping-particle" : "", "family" : "Aidarous", "given" : "Salwa", "non-dropping-particle" : "Al", "parse-names" : false, "suffix" : "" }, { "dropping-particle" : "", "family" : "Saleh", "given" : "Siham", "non-dropping-particle" : "", "parse-names" : false, "suffix" : "" }, { "dropping-particle" : "", "family" : "Ayoubi", "given" : "Fakhr", "non-dropping-particle" : "Al", "parse-names" : false, "suffix" : "" }, { "dropping-particle" : "", "family" : "Al-Daghri", "given" : "Nasser M", "non-dropping-particle" : "", "parse-names" : false, "suffix" : "" } ], "container-title" : "Annals of Saudi medicine", "id" : "ITEM-1", "issue" : "1", "issued" : { "date-parts" : [ [ "2015" ] ] }, "page" : "1-12", "title" : "2015 Guidelines for Osteoporosis in Saudi Arabia: Recommendations from the Saudi Osteoporosis Society.", "type" : "article-journal", "volume" : "35" }, "uris" : [ "http://www.mendeley.com/documents/?uuid=edb7ef32-c5b8-34c2-bd82-81781d684f17" ] } ], "mendeley" : { "formattedCitation" : "&lt;sup&gt;73&lt;/sup&gt;", "plainTextFormattedCitation" : "73", "previouslyFormattedCitation" : "&lt;sup&gt;73&lt;/sup&gt;" }, "properties" : {  }, "schema" : "https://github.com/citation-style-language/schema/raw/master/csl-citation.json" }</w:instrText>
            </w:r>
            <w:r w:rsidRPr="005968A9">
              <w:rPr>
                <w:rFonts w:cstheme="minorHAnsi"/>
                <w:b/>
                <w:bCs/>
                <w:color w:val="0F0F1E"/>
                <w:sz w:val="18"/>
                <w:szCs w:val="18"/>
                <w:shd w:val="clear" w:color="auto" w:fill="FFFFFF"/>
              </w:rPr>
              <w:fldChar w:fldCharType="separate"/>
            </w:r>
            <w:r w:rsidRPr="00C6554C">
              <w:rPr>
                <w:rFonts w:cstheme="minorHAnsi"/>
                <w:bCs/>
                <w:noProof/>
                <w:color w:val="0F0F1E"/>
                <w:sz w:val="18"/>
                <w:szCs w:val="18"/>
                <w:shd w:val="clear" w:color="auto" w:fill="FFFFFF"/>
                <w:vertAlign w:val="superscript"/>
              </w:rPr>
              <w:t>73</w:t>
            </w:r>
            <w:r w:rsidRPr="005968A9">
              <w:rPr>
                <w:rFonts w:cstheme="minorHAnsi"/>
                <w:b/>
                <w:bCs/>
                <w:color w:val="0F0F1E"/>
                <w:sz w:val="18"/>
                <w:szCs w:val="18"/>
                <w:shd w:val="clear" w:color="auto" w:fill="FFFFFF"/>
              </w:rPr>
              <w:fldChar w:fldCharType="end"/>
            </w:r>
            <w:r w:rsidRPr="005968A9">
              <w:rPr>
                <w:rFonts w:cstheme="minorHAnsi"/>
                <w:b/>
                <w:bCs/>
                <w:color w:val="0F0F1E"/>
                <w:sz w:val="18"/>
                <w:szCs w:val="18"/>
                <w:shd w:val="clear" w:color="auto" w:fill="FFFFFF"/>
              </w:rPr>
              <w:t>.</w:t>
            </w:r>
          </w:p>
        </w:tc>
        <w:tc>
          <w:tcPr>
            <w:tcW w:w="1275" w:type="dxa"/>
            <w:shd w:val="clear" w:color="auto" w:fill="FFFFFF" w:themeFill="background1"/>
          </w:tcPr>
          <w:p w14:paraId="47117DA7" w14:textId="77777777" w:rsidR="00554F3E" w:rsidRPr="005968A9" w:rsidRDefault="00554F3E" w:rsidP="00D76D28">
            <w:pPr>
              <w:tabs>
                <w:tab w:val="left" w:pos="2775"/>
              </w:tabs>
              <w:jc w:val="center"/>
              <w:rPr>
                <w:sz w:val="18"/>
                <w:szCs w:val="18"/>
              </w:rPr>
            </w:pPr>
          </w:p>
          <w:p w14:paraId="050E4983" w14:textId="77777777" w:rsidR="00554F3E" w:rsidRPr="005968A9" w:rsidRDefault="00554F3E" w:rsidP="00D76D28">
            <w:pPr>
              <w:tabs>
                <w:tab w:val="left" w:pos="2775"/>
              </w:tabs>
              <w:jc w:val="center"/>
              <w:rPr>
                <w:sz w:val="18"/>
                <w:szCs w:val="18"/>
              </w:rPr>
            </w:pPr>
            <w:r w:rsidRPr="005968A9">
              <w:rPr>
                <w:sz w:val="18"/>
                <w:szCs w:val="18"/>
              </w:rPr>
              <w:t>Y</w:t>
            </w:r>
          </w:p>
        </w:tc>
        <w:tc>
          <w:tcPr>
            <w:tcW w:w="1560" w:type="dxa"/>
            <w:shd w:val="clear" w:color="auto" w:fill="FFFFFF" w:themeFill="background1"/>
          </w:tcPr>
          <w:p w14:paraId="1026D1E7" w14:textId="77777777" w:rsidR="00554F3E" w:rsidRPr="005968A9" w:rsidRDefault="00554F3E" w:rsidP="00D76D28">
            <w:pPr>
              <w:tabs>
                <w:tab w:val="left" w:pos="2775"/>
              </w:tabs>
              <w:jc w:val="center"/>
              <w:rPr>
                <w:sz w:val="18"/>
                <w:szCs w:val="18"/>
              </w:rPr>
            </w:pPr>
          </w:p>
          <w:p w14:paraId="3C4F3DF2" w14:textId="77777777" w:rsidR="00554F3E" w:rsidRPr="005968A9" w:rsidRDefault="00554F3E" w:rsidP="00D76D28">
            <w:pPr>
              <w:tabs>
                <w:tab w:val="left" w:pos="2775"/>
              </w:tabs>
              <w:jc w:val="center"/>
              <w:rPr>
                <w:sz w:val="18"/>
                <w:szCs w:val="18"/>
              </w:rPr>
            </w:pPr>
            <w:r w:rsidRPr="005968A9">
              <w:rPr>
                <w:sz w:val="18"/>
                <w:szCs w:val="18"/>
              </w:rPr>
              <w:t>Y</w:t>
            </w:r>
          </w:p>
        </w:tc>
        <w:tc>
          <w:tcPr>
            <w:tcW w:w="1275" w:type="dxa"/>
            <w:shd w:val="clear" w:color="auto" w:fill="FFFFFF" w:themeFill="background1"/>
          </w:tcPr>
          <w:p w14:paraId="47083B24" w14:textId="77777777" w:rsidR="00554F3E" w:rsidRPr="005968A9" w:rsidRDefault="00554F3E" w:rsidP="00D76D28">
            <w:pPr>
              <w:tabs>
                <w:tab w:val="left" w:pos="2775"/>
              </w:tabs>
              <w:jc w:val="center"/>
              <w:rPr>
                <w:sz w:val="18"/>
                <w:szCs w:val="18"/>
              </w:rPr>
            </w:pPr>
          </w:p>
          <w:p w14:paraId="21D19FD5" w14:textId="77777777" w:rsidR="00554F3E" w:rsidRPr="005968A9" w:rsidRDefault="00554F3E" w:rsidP="00D76D28">
            <w:pPr>
              <w:tabs>
                <w:tab w:val="left" w:pos="2775"/>
              </w:tabs>
              <w:jc w:val="center"/>
              <w:rPr>
                <w:sz w:val="18"/>
                <w:szCs w:val="18"/>
              </w:rPr>
            </w:pPr>
            <w:r w:rsidRPr="005968A9">
              <w:rPr>
                <w:sz w:val="18"/>
                <w:szCs w:val="18"/>
              </w:rPr>
              <w:t>N</w:t>
            </w:r>
          </w:p>
        </w:tc>
        <w:tc>
          <w:tcPr>
            <w:tcW w:w="1701" w:type="dxa"/>
            <w:shd w:val="clear" w:color="auto" w:fill="FFFFFF" w:themeFill="background1"/>
          </w:tcPr>
          <w:p w14:paraId="01ED7A5C" w14:textId="77777777" w:rsidR="00554F3E" w:rsidRPr="005968A9" w:rsidRDefault="00554F3E" w:rsidP="00D76D28">
            <w:pPr>
              <w:tabs>
                <w:tab w:val="left" w:pos="2775"/>
              </w:tabs>
              <w:jc w:val="center"/>
              <w:rPr>
                <w:sz w:val="18"/>
                <w:szCs w:val="18"/>
              </w:rPr>
            </w:pPr>
          </w:p>
          <w:p w14:paraId="0E7BD5F2" w14:textId="77777777" w:rsidR="00554F3E" w:rsidRPr="005968A9" w:rsidRDefault="00554F3E" w:rsidP="00D76D28">
            <w:pPr>
              <w:tabs>
                <w:tab w:val="left" w:pos="2775"/>
              </w:tabs>
              <w:jc w:val="center"/>
              <w:rPr>
                <w:sz w:val="18"/>
                <w:szCs w:val="18"/>
              </w:rPr>
            </w:pPr>
            <w:r w:rsidRPr="005968A9">
              <w:rPr>
                <w:sz w:val="18"/>
                <w:szCs w:val="18"/>
              </w:rPr>
              <w:t>Y</w:t>
            </w:r>
          </w:p>
        </w:tc>
        <w:tc>
          <w:tcPr>
            <w:tcW w:w="1843" w:type="dxa"/>
            <w:shd w:val="clear" w:color="auto" w:fill="FFFFFF" w:themeFill="background1"/>
          </w:tcPr>
          <w:p w14:paraId="3FCB5313" w14:textId="77777777" w:rsidR="00554F3E" w:rsidRPr="005968A9" w:rsidRDefault="00554F3E" w:rsidP="00D76D28">
            <w:pPr>
              <w:tabs>
                <w:tab w:val="left" w:pos="2775"/>
              </w:tabs>
              <w:jc w:val="center"/>
              <w:rPr>
                <w:sz w:val="18"/>
                <w:szCs w:val="18"/>
              </w:rPr>
            </w:pPr>
          </w:p>
          <w:p w14:paraId="763EC62F" w14:textId="77777777" w:rsidR="00554F3E" w:rsidRPr="005968A9" w:rsidRDefault="00554F3E" w:rsidP="00D76D28">
            <w:pPr>
              <w:tabs>
                <w:tab w:val="left" w:pos="2775"/>
              </w:tabs>
              <w:jc w:val="center"/>
              <w:rPr>
                <w:sz w:val="18"/>
                <w:szCs w:val="18"/>
              </w:rPr>
            </w:pPr>
            <w:r w:rsidRPr="005968A9">
              <w:rPr>
                <w:sz w:val="18"/>
                <w:szCs w:val="18"/>
              </w:rPr>
              <w:t>N</w:t>
            </w:r>
          </w:p>
        </w:tc>
        <w:tc>
          <w:tcPr>
            <w:tcW w:w="1559" w:type="dxa"/>
            <w:shd w:val="clear" w:color="auto" w:fill="FFFFFF" w:themeFill="background1"/>
          </w:tcPr>
          <w:p w14:paraId="6145E173" w14:textId="77777777" w:rsidR="00554F3E" w:rsidRPr="005968A9" w:rsidRDefault="00554F3E" w:rsidP="00D76D28">
            <w:pPr>
              <w:tabs>
                <w:tab w:val="left" w:pos="2775"/>
              </w:tabs>
              <w:jc w:val="center"/>
              <w:rPr>
                <w:sz w:val="18"/>
                <w:szCs w:val="18"/>
              </w:rPr>
            </w:pPr>
          </w:p>
          <w:p w14:paraId="50E6D3AA" w14:textId="77777777" w:rsidR="00554F3E" w:rsidRPr="005968A9" w:rsidRDefault="00554F3E" w:rsidP="00D76D28">
            <w:pPr>
              <w:tabs>
                <w:tab w:val="left" w:pos="2775"/>
              </w:tabs>
              <w:jc w:val="center"/>
              <w:rPr>
                <w:sz w:val="18"/>
                <w:szCs w:val="18"/>
              </w:rPr>
            </w:pPr>
            <w:r w:rsidRPr="005968A9">
              <w:rPr>
                <w:sz w:val="18"/>
                <w:szCs w:val="18"/>
              </w:rPr>
              <w:t>N</w:t>
            </w:r>
          </w:p>
        </w:tc>
        <w:tc>
          <w:tcPr>
            <w:tcW w:w="1276" w:type="dxa"/>
            <w:shd w:val="clear" w:color="auto" w:fill="FFFFFF" w:themeFill="background1"/>
          </w:tcPr>
          <w:p w14:paraId="42530743" w14:textId="77777777" w:rsidR="00554F3E" w:rsidRPr="005968A9" w:rsidRDefault="00554F3E" w:rsidP="00D76D28">
            <w:pPr>
              <w:tabs>
                <w:tab w:val="left" w:pos="2775"/>
              </w:tabs>
              <w:jc w:val="center"/>
              <w:rPr>
                <w:sz w:val="18"/>
                <w:szCs w:val="18"/>
              </w:rPr>
            </w:pPr>
          </w:p>
          <w:p w14:paraId="064A5B67" w14:textId="77777777" w:rsidR="00554F3E" w:rsidRPr="005968A9" w:rsidRDefault="00554F3E" w:rsidP="00D76D28">
            <w:pPr>
              <w:tabs>
                <w:tab w:val="left" w:pos="2775"/>
              </w:tabs>
              <w:jc w:val="center"/>
              <w:rPr>
                <w:sz w:val="18"/>
                <w:szCs w:val="18"/>
              </w:rPr>
            </w:pPr>
            <w:r w:rsidRPr="005968A9">
              <w:rPr>
                <w:sz w:val="18"/>
                <w:szCs w:val="18"/>
              </w:rPr>
              <w:t>N</w:t>
            </w:r>
          </w:p>
        </w:tc>
        <w:tc>
          <w:tcPr>
            <w:tcW w:w="992" w:type="dxa"/>
            <w:shd w:val="clear" w:color="auto" w:fill="FFFFFF" w:themeFill="background1"/>
          </w:tcPr>
          <w:p w14:paraId="6DA12B86" w14:textId="77777777" w:rsidR="00554F3E" w:rsidRPr="005968A9" w:rsidRDefault="00554F3E" w:rsidP="00D76D28">
            <w:pPr>
              <w:tabs>
                <w:tab w:val="left" w:pos="2775"/>
              </w:tabs>
              <w:jc w:val="center"/>
              <w:rPr>
                <w:sz w:val="18"/>
                <w:szCs w:val="18"/>
              </w:rPr>
            </w:pPr>
          </w:p>
          <w:p w14:paraId="5B0F9ADB" w14:textId="77777777" w:rsidR="00554F3E" w:rsidRPr="005968A9" w:rsidRDefault="00554F3E" w:rsidP="00D76D28">
            <w:pPr>
              <w:tabs>
                <w:tab w:val="left" w:pos="2775"/>
              </w:tabs>
              <w:jc w:val="center"/>
              <w:rPr>
                <w:sz w:val="18"/>
                <w:szCs w:val="18"/>
              </w:rPr>
            </w:pPr>
            <w:r w:rsidRPr="005968A9">
              <w:rPr>
                <w:sz w:val="18"/>
                <w:szCs w:val="18"/>
              </w:rPr>
              <w:t>N</w:t>
            </w:r>
          </w:p>
        </w:tc>
        <w:tc>
          <w:tcPr>
            <w:tcW w:w="842" w:type="dxa"/>
            <w:shd w:val="clear" w:color="auto" w:fill="FFFFFF" w:themeFill="background1"/>
          </w:tcPr>
          <w:p w14:paraId="00B4A20C" w14:textId="77777777" w:rsidR="00554F3E" w:rsidRDefault="00554F3E" w:rsidP="00D76D28">
            <w:pPr>
              <w:tabs>
                <w:tab w:val="left" w:pos="2775"/>
              </w:tabs>
              <w:rPr>
                <w:sz w:val="18"/>
                <w:szCs w:val="18"/>
              </w:rPr>
            </w:pPr>
          </w:p>
          <w:p w14:paraId="2CB95BB6" w14:textId="77777777" w:rsidR="00554F3E" w:rsidRDefault="00554F3E" w:rsidP="00D76D28">
            <w:pPr>
              <w:tabs>
                <w:tab w:val="left" w:pos="2775"/>
              </w:tabs>
              <w:jc w:val="center"/>
              <w:rPr>
                <w:sz w:val="18"/>
                <w:szCs w:val="18"/>
              </w:rPr>
            </w:pPr>
            <w:r>
              <w:rPr>
                <w:sz w:val="18"/>
                <w:szCs w:val="18"/>
              </w:rPr>
              <w:t>3</w:t>
            </w:r>
          </w:p>
        </w:tc>
        <w:tc>
          <w:tcPr>
            <w:tcW w:w="851" w:type="dxa"/>
            <w:shd w:val="clear" w:color="auto" w:fill="FFFFFF" w:themeFill="background1"/>
          </w:tcPr>
          <w:p w14:paraId="5E00152E" w14:textId="77777777" w:rsidR="00554F3E" w:rsidRPr="005968A9" w:rsidRDefault="00554F3E" w:rsidP="00D76D28">
            <w:pPr>
              <w:tabs>
                <w:tab w:val="left" w:pos="2775"/>
              </w:tabs>
              <w:jc w:val="center"/>
              <w:rPr>
                <w:sz w:val="18"/>
                <w:szCs w:val="18"/>
              </w:rPr>
            </w:pPr>
          </w:p>
        </w:tc>
      </w:tr>
      <w:tr w:rsidR="00554F3E" w:rsidRPr="000926D0" w14:paraId="7B19EF18" w14:textId="77777777" w:rsidTr="00D76D28">
        <w:tc>
          <w:tcPr>
            <w:tcW w:w="1853" w:type="dxa"/>
            <w:shd w:val="clear" w:color="auto" w:fill="FFFFFF" w:themeFill="background1"/>
          </w:tcPr>
          <w:p w14:paraId="6B8A3DF5" w14:textId="77777777" w:rsidR="00554F3E" w:rsidRPr="005968A9" w:rsidRDefault="00554F3E" w:rsidP="00D76D28">
            <w:pPr>
              <w:rPr>
                <w:rFonts w:cstheme="minorHAnsi"/>
                <w:b/>
                <w:bCs/>
                <w:color w:val="0F0F1E"/>
                <w:sz w:val="18"/>
                <w:szCs w:val="18"/>
                <w:shd w:val="clear" w:color="auto" w:fill="FFFFFF"/>
              </w:rPr>
            </w:pPr>
            <w:r w:rsidRPr="005968A9">
              <w:rPr>
                <w:b/>
                <w:bCs/>
                <w:sz w:val="18"/>
                <w:szCs w:val="18"/>
              </w:rPr>
              <w:t xml:space="preserve">National Osteoporosis Guideline Group(NOGG)/UK, 2016 </w:t>
            </w:r>
            <w:r w:rsidRPr="005968A9">
              <w:rPr>
                <w:b/>
                <w:bCs/>
                <w:sz w:val="18"/>
                <w:szCs w:val="18"/>
              </w:rPr>
              <w:fldChar w:fldCharType="begin" w:fldLock="1"/>
            </w:r>
            <w:r>
              <w:rPr>
                <w:b/>
                <w:bCs/>
                <w:sz w:val="18"/>
                <w:szCs w:val="18"/>
              </w:rPr>
              <w:instrText>ADDIN CSL_CITATION { "citationItems" : [ { "id" : "ITEM-1", "itemData" : { "abstract" : "1. This document has been prepared with the support of the Societies listed above to provide guidance on prevention and treatment of osteoporosis. This guidline updates that previously developed by the Royal College of Physicians in the light of recent appraisals by the National Institute for Health and Clinical Excellence and the development of fracture risk assessment tools made available through the World Health Organization. 2. The scope of the guideline is to review the assessment and diagnosis of osteoporosis, the therapeutic agents available and the manner in which these can be used to develop management strategies for the prevention of osteoporotic fracture in postmenopausal women and in men aged over 50 years. 3. The guideline has been prepared by a writing group (see page 25) and has been sent out for wider consultation (see Appendix IV). 4. The conclusions and recommendations in the document are systematically graded, according to the quality of information available, to indicate the level of evidence on which recommendations are based. The grading methodology is summarised in the appendix. The recommendations in this report were agreed unanimously by the writing group. 5. This summary outlines: \u2022 introduction and scope \u2022 background \u2022 definition and diagnosis of osteoporosis \u2022 assessment of fracture risk \u2022 global strategies for the prevention of osteoporosis \u2022 supportive measures \u2022 high risk strategies \u2022 major pharmacological interventions \u2022 other pharmacological interventions \u2022 treatment of osteoporosis in men \u2022 treatment of fractures \u2022 case finding \u2022 recommendations for training \u2022 recommendations for health authorities and other commissioners of health care \u2022 recommendations to the Department of Health 6. The aim of the guideline is not to provide a working document for clinical practice but rather to provide a framework from which local management protocols should be developed. The recommendations in the guideline should be used to aid management decisions but do not replace the need for clinical judgement in the care of individual patients in clinical practice.", "author" : [ { "dropping-particle" : "", "family" : "National osteoporosis Guideline Group", "given" : "", "non-dropping-particle" : "", "parse-names" : false, "suffix" : "" } ], "id" : "ITEM-1", "issued" : { "date-parts" : [ [ "2016" ] ] }, "number-of-pages" : "1-28", "title" : "Osteoporosis Clinical guideline for prevention and treatment", "type" : "report" }, "uris" : [ "http://www.mendeley.com/documents/?uuid=73647dd2-c397-3210-bc8e-9daa4085c48e" ] } ], "mendeley" : { "formattedCitation" : "&lt;sup&gt;74&lt;/sup&gt;", "plainTextFormattedCitation" : "74", "previouslyFormattedCitation" : "&lt;sup&gt;74&lt;/sup&gt;" }, "properties" : {  }, "schema" : "https://github.com/citation-style-language/schema/raw/master/csl-citation.json" }</w:instrText>
            </w:r>
            <w:r w:rsidRPr="005968A9">
              <w:rPr>
                <w:b/>
                <w:bCs/>
                <w:sz w:val="18"/>
                <w:szCs w:val="18"/>
              </w:rPr>
              <w:fldChar w:fldCharType="separate"/>
            </w:r>
            <w:r w:rsidRPr="00C6554C">
              <w:rPr>
                <w:bCs/>
                <w:noProof/>
                <w:sz w:val="18"/>
                <w:szCs w:val="18"/>
                <w:vertAlign w:val="superscript"/>
              </w:rPr>
              <w:t>74</w:t>
            </w:r>
            <w:r w:rsidRPr="005968A9">
              <w:rPr>
                <w:b/>
                <w:bCs/>
                <w:sz w:val="18"/>
                <w:szCs w:val="18"/>
              </w:rPr>
              <w:fldChar w:fldCharType="end"/>
            </w:r>
            <w:r w:rsidRPr="005968A9">
              <w:rPr>
                <w:b/>
                <w:bCs/>
                <w:sz w:val="18"/>
                <w:szCs w:val="18"/>
              </w:rPr>
              <w:t>.</w:t>
            </w:r>
          </w:p>
        </w:tc>
        <w:tc>
          <w:tcPr>
            <w:tcW w:w="1275" w:type="dxa"/>
            <w:shd w:val="clear" w:color="auto" w:fill="FFFFFF" w:themeFill="background1"/>
          </w:tcPr>
          <w:p w14:paraId="3177D6EB" w14:textId="77777777" w:rsidR="00554F3E" w:rsidRPr="005968A9" w:rsidRDefault="00554F3E" w:rsidP="00D76D28">
            <w:pPr>
              <w:tabs>
                <w:tab w:val="left" w:pos="2775"/>
              </w:tabs>
              <w:jc w:val="center"/>
              <w:rPr>
                <w:sz w:val="18"/>
                <w:szCs w:val="18"/>
              </w:rPr>
            </w:pPr>
          </w:p>
          <w:p w14:paraId="5D7CB309" w14:textId="77777777" w:rsidR="00554F3E" w:rsidRPr="005968A9" w:rsidRDefault="00554F3E" w:rsidP="00D76D28">
            <w:pPr>
              <w:tabs>
                <w:tab w:val="left" w:pos="2775"/>
              </w:tabs>
              <w:jc w:val="center"/>
              <w:rPr>
                <w:sz w:val="18"/>
                <w:szCs w:val="18"/>
              </w:rPr>
            </w:pPr>
            <w:r w:rsidRPr="005968A9">
              <w:rPr>
                <w:sz w:val="18"/>
                <w:szCs w:val="18"/>
              </w:rPr>
              <w:t>Y</w:t>
            </w:r>
          </w:p>
        </w:tc>
        <w:tc>
          <w:tcPr>
            <w:tcW w:w="1560" w:type="dxa"/>
            <w:shd w:val="clear" w:color="auto" w:fill="FFFFFF" w:themeFill="background1"/>
          </w:tcPr>
          <w:p w14:paraId="13ED4CEB" w14:textId="77777777" w:rsidR="00554F3E" w:rsidRPr="005968A9" w:rsidRDefault="00554F3E" w:rsidP="00D76D28">
            <w:pPr>
              <w:tabs>
                <w:tab w:val="left" w:pos="2775"/>
              </w:tabs>
              <w:jc w:val="center"/>
              <w:rPr>
                <w:sz w:val="18"/>
                <w:szCs w:val="18"/>
              </w:rPr>
            </w:pPr>
          </w:p>
          <w:p w14:paraId="11AC9563" w14:textId="77777777" w:rsidR="00554F3E" w:rsidRPr="005968A9" w:rsidRDefault="00554F3E" w:rsidP="00D76D28">
            <w:pPr>
              <w:tabs>
                <w:tab w:val="left" w:pos="2775"/>
              </w:tabs>
              <w:jc w:val="center"/>
              <w:rPr>
                <w:sz w:val="18"/>
                <w:szCs w:val="18"/>
              </w:rPr>
            </w:pPr>
            <w:r w:rsidRPr="005968A9">
              <w:rPr>
                <w:sz w:val="18"/>
                <w:szCs w:val="18"/>
              </w:rPr>
              <w:t>Y</w:t>
            </w:r>
          </w:p>
        </w:tc>
        <w:tc>
          <w:tcPr>
            <w:tcW w:w="1275" w:type="dxa"/>
            <w:shd w:val="clear" w:color="auto" w:fill="FFFFFF" w:themeFill="background1"/>
          </w:tcPr>
          <w:p w14:paraId="24EBAB6B" w14:textId="77777777" w:rsidR="00554F3E" w:rsidRPr="005968A9" w:rsidRDefault="00554F3E" w:rsidP="00D76D28">
            <w:pPr>
              <w:tabs>
                <w:tab w:val="left" w:pos="2775"/>
              </w:tabs>
              <w:jc w:val="center"/>
              <w:rPr>
                <w:sz w:val="18"/>
                <w:szCs w:val="18"/>
              </w:rPr>
            </w:pPr>
          </w:p>
          <w:p w14:paraId="001BE10C" w14:textId="77777777" w:rsidR="00554F3E" w:rsidRPr="005968A9" w:rsidRDefault="00554F3E" w:rsidP="00D76D28">
            <w:pPr>
              <w:tabs>
                <w:tab w:val="left" w:pos="2775"/>
              </w:tabs>
              <w:jc w:val="center"/>
              <w:rPr>
                <w:sz w:val="18"/>
                <w:szCs w:val="18"/>
              </w:rPr>
            </w:pPr>
            <w:r w:rsidRPr="005968A9">
              <w:rPr>
                <w:sz w:val="18"/>
                <w:szCs w:val="18"/>
              </w:rPr>
              <w:t>Y</w:t>
            </w:r>
          </w:p>
        </w:tc>
        <w:tc>
          <w:tcPr>
            <w:tcW w:w="1701" w:type="dxa"/>
            <w:shd w:val="clear" w:color="auto" w:fill="FFFFFF" w:themeFill="background1"/>
          </w:tcPr>
          <w:p w14:paraId="48952D2D" w14:textId="77777777" w:rsidR="00554F3E" w:rsidRPr="005968A9" w:rsidRDefault="00554F3E" w:rsidP="00D76D28">
            <w:pPr>
              <w:tabs>
                <w:tab w:val="left" w:pos="2775"/>
              </w:tabs>
              <w:jc w:val="center"/>
              <w:rPr>
                <w:sz w:val="18"/>
                <w:szCs w:val="18"/>
              </w:rPr>
            </w:pPr>
          </w:p>
          <w:p w14:paraId="1DF2EA72" w14:textId="77777777" w:rsidR="00554F3E" w:rsidRPr="005968A9" w:rsidRDefault="00554F3E" w:rsidP="00D76D28">
            <w:pPr>
              <w:tabs>
                <w:tab w:val="left" w:pos="2775"/>
              </w:tabs>
              <w:jc w:val="center"/>
              <w:rPr>
                <w:sz w:val="18"/>
                <w:szCs w:val="18"/>
              </w:rPr>
            </w:pPr>
            <w:r w:rsidRPr="005968A9">
              <w:rPr>
                <w:sz w:val="18"/>
                <w:szCs w:val="18"/>
              </w:rPr>
              <w:t>N</w:t>
            </w:r>
          </w:p>
        </w:tc>
        <w:tc>
          <w:tcPr>
            <w:tcW w:w="1843" w:type="dxa"/>
            <w:shd w:val="clear" w:color="auto" w:fill="FFFFFF" w:themeFill="background1"/>
          </w:tcPr>
          <w:p w14:paraId="0B18EA23" w14:textId="77777777" w:rsidR="00554F3E" w:rsidRPr="005968A9" w:rsidRDefault="00554F3E" w:rsidP="00D76D28">
            <w:pPr>
              <w:tabs>
                <w:tab w:val="left" w:pos="2775"/>
              </w:tabs>
              <w:jc w:val="center"/>
              <w:rPr>
                <w:sz w:val="18"/>
                <w:szCs w:val="18"/>
              </w:rPr>
            </w:pPr>
          </w:p>
          <w:p w14:paraId="55DB0892" w14:textId="77777777" w:rsidR="00554F3E" w:rsidRPr="005968A9" w:rsidRDefault="00554F3E" w:rsidP="00D76D28">
            <w:pPr>
              <w:tabs>
                <w:tab w:val="left" w:pos="2775"/>
              </w:tabs>
              <w:jc w:val="center"/>
              <w:rPr>
                <w:sz w:val="18"/>
                <w:szCs w:val="18"/>
              </w:rPr>
            </w:pPr>
            <w:r w:rsidRPr="005968A9">
              <w:rPr>
                <w:sz w:val="18"/>
                <w:szCs w:val="18"/>
              </w:rPr>
              <w:t>Y</w:t>
            </w:r>
          </w:p>
        </w:tc>
        <w:tc>
          <w:tcPr>
            <w:tcW w:w="1559" w:type="dxa"/>
            <w:shd w:val="clear" w:color="auto" w:fill="FFFFFF" w:themeFill="background1"/>
          </w:tcPr>
          <w:p w14:paraId="4EE4AA4C" w14:textId="77777777" w:rsidR="00554F3E" w:rsidRPr="005968A9" w:rsidRDefault="00554F3E" w:rsidP="00D76D28">
            <w:pPr>
              <w:tabs>
                <w:tab w:val="left" w:pos="2775"/>
              </w:tabs>
              <w:jc w:val="center"/>
              <w:rPr>
                <w:sz w:val="18"/>
                <w:szCs w:val="18"/>
              </w:rPr>
            </w:pPr>
          </w:p>
          <w:p w14:paraId="3565F69C" w14:textId="77777777" w:rsidR="00554F3E" w:rsidRPr="005968A9" w:rsidRDefault="00554F3E" w:rsidP="00D76D28">
            <w:pPr>
              <w:tabs>
                <w:tab w:val="left" w:pos="2775"/>
              </w:tabs>
              <w:jc w:val="center"/>
              <w:rPr>
                <w:sz w:val="18"/>
                <w:szCs w:val="18"/>
              </w:rPr>
            </w:pPr>
            <w:r w:rsidRPr="005968A9">
              <w:rPr>
                <w:sz w:val="18"/>
                <w:szCs w:val="18"/>
              </w:rPr>
              <w:t>Y</w:t>
            </w:r>
          </w:p>
        </w:tc>
        <w:tc>
          <w:tcPr>
            <w:tcW w:w="1276" w:type="dxa"/>
            <w:shd w:val="clear" w:color="auto" w:fill="FFFFFF" w:themeFill="background1"/>
          </w:tcPr>
          <w:p w14:paraId="23B27FB6" w14:textId="77777777" w:rsidR="00554F3E" w:rsidRPr="005968A9" w:rsidRDefault="00554F3E" w:rsidP="00D76D28">
            <w:pPr>
              <w:tabs>
                <w:tab w:val="left" w:pos="2775"/>
              </w:tabs>
              <w:jc w:val="center"/>
              <w:rPr>
                <w:sz w:val="18"/>
                <w:szCs w:val="18"/>
              </w:rPr>
            </w:pPr>
          </w:p>
          <w:p w14:paraId="11DA3612" w14:textId="77777777" w:rsidR="00554F3E" w:rsidRPr="005968A9" w:rsidRDefault="00554F3E" w:rsidP="00D76D28">
            <w:pPr>
              <w:tabs>
                <w:tab w:val="left" w:pos="2775"/>
              </w:tabs>
              <w:jc w:val="center"/>
              <w:rPr>
                <w:sz w:val="18"/>
                <w:szCs w:val="18"/>
              </w:rPr>
            </w:pPr>
            <w:r w:rsidRPr="005968A9">
              <w:rPr>
                <w:sz w:val="18"/>
                <w:szCs w:val="18"/>
              </w:rPr>
              <w:t>Y</w:t>
            </w:r>
          </w:p>
        </w:tc>
        <w:tc>
          <w:tcPr>
            <w:tcW w:w="992" w:type="dxa"/>
            <w:shd w:val="clear" w:color="auto" w:fill="FFFFFF" w:themeFill="background1"/>
          </w:tcPr>
          <w:p w14:paraId="7B5918EB" w14:textId="77777777" w:rsidR="00554F3E" w:rsidRPr="005968A9" w:rsidRDefault="00554F3E" w:rsidP="00D76D28">
            <w:pPr>
              <w:tabs>
                <w:tab w:val="left" w:pos="2775"/>
              </w:tabs>
              <w:jc w:val="center"/>
              <w:rPr>
                <w:sz w:val="18"/>
                <w:szCs w:val="18"/>
              </w:rPr>
            </w:pPr>
          </w:p>
          <w:p w14:paraId="241DDB0C" w14:textId="77777777" w:rsidR="00554F3E" w:rsidRPr="005968A9" w:rsidRDefault="00554F3E" w:rsidP="00D76D28">
            <w:pPr>
              <w:tabs>
                <w:tab w:val="left" w:pos="2775"/>
              </w:tabs>
              <w:jc w:val="center"/>
              <w:rPr>
                <w:sz w:val="18"/>
                <w:szCs w:val="18"/>
              </w:rPr>
            </w:pPr>
            <w:r w:rsidRPr="005968A9">
              <w:rPr>
                <w:sz w:val="18"/>
                <w:szCs w:val="18"/>
              </w:rPr>
              <w:t>Y</w:t>
            </w:r>
          </w:p>
        </w:tc>
        <w:tc>
          <w:tcPr>
            <w:tcW w:w="842" w:type="dxa"/>
            <w:shd w:val="clear" w:color="auto" w:fill="FFFFFF" w:themeFill="background1"/>
          </w:tcPr>
          <w:p w14:paraId="28690F96" w14:textId="77777777" w:rsidR="00554F3E" w:rsidRDefault="00554F3E" w:rsidP="00D76D28">
            <w:pPr>
              <w:tabs>
                <w:tab w:val="left" w:pos="2775"/>
              </w:tabs>
              <w:jc w:val="center"/>
              <w:rPr>
                <w:sz w:val="18"/>
                <w:szCs w:val="18"/>
              </w:rPr>
            </w:pPr>
          </w:p>
          <w:p w14:paraId="6187B81E" w14:textId="77777777" w:rsidR="00554F3E" w:rsidRDefault="00554F3E" w:rsidP="00D76D28">
            <w:pPr>
              <w:tabs>
                <w:tab w:val="left" w:pos="2775"/>
              </w:tabs>
              <w:rPr>
                <w:sz w:val="18"/>
                <w:szCs w:val="18"/>
              </w:rPr>
            </w:pPr>
            <w:r>
              <w:rPr>
                <w:sz w:val="18"/>
                <w:szCs w:val="18"/>
              </w:rPr>
              <w:t>7</w:t>
            </w:r>
          </w:p>
        </w:tc>
        <w:tc>
          <w:tcPr>
            <w:tcW w:w="851" w:type="dxa"/>
            <w:shd w:val="clear" w:color="auto" w:fill="FFFFFF" w:themeFill="background1"/>
          </w:tcPr>
          <w:p w14:paraId="2EAF53CE" w14:textId="77777777" w:rsidR="00554F3E" w:rsidRPr="005968A9" w:rsidRDefault="00554F3E" w:rsidP="00D76D28">
            <w:pPr>
              <w:tabs>
                <w:tab w:val="left" w:pos="2775"/>
              </w:tabs>
              <w:jc w:val="center"/>
              <w:rPr>
                <w:sz w:val="18"/>
                <w:szCs w:val="18"/>
              </w:rPr>
            </w:pPr>
          </w:p>
          <w:p w14:paraId="172ED7CF" w14:textId="77777777" w:rsidR="00554F3E" w:rsidRPr="005968A9" w:rsidRDefault="00554F3E" w:rsidP="00D76D28">
            <w:pPr>
              <w:tabs>
                <w:tab w:val="left" w:pos="2775"/>
              </w:tabs>
              <w:jc w:val="center"/>
              <w:rPr>
                <w:sz w:val="18"/>
                <w:szCs w:val="18"/>
              </w:rPr>
            </w:pPr>
          </w:p>
        </w:tc>
      </w:tr>
      <w:tr w:rsidR="00554F3E" w:rsidRPr="000926D0" w14:paraId="244CB77F" w14:textId="77777777" w:rsidTr="00D76D28">
        <w:tc>
          <w:tcPr>
            <w:tcW w:w="1853" w:type="dxa"/>
            <w:shd w:val="clear" w:color="auto" w:fill="FFFFFF" w:themeFill="background1"/>
          </w:tcPr>
          <w:p w14:paraId="2CF67630" w14:textId="77777777" w:rsidR="00554F3E" w:rsidRPr="005968A9" w:rsidRDefault="00554F3E" w:rsidP="00D76D28">
            <w:pPr>
              <w:rPr>
                <w:b/>
                <w:bCs/>
                <w:sz w:val="18"/>
                <w:szCs w:val="18"/>
              </w:rPr>
            </w:pPr>
            <w:r w:rsidRPr="005968A9">
              <w:rPr>
                <w:b/>
                <w:bCs/>
                <w:sz w:val="18"/>
                <w:szCs w:val="18"/>
              </w:rPr>
              <w:t xml:space="preserve">Italian Society for Osteoporosis, Mineral metabolism and Bone Diseases (SIOMMMS) 2016 </w:t>
            </w:r>
            <w:r w:rsidRPr="005968A9">
              <w:rPr>
                <w:b/>
                <w:bCs/>
                <w:sz w:val="18"/>
                <w:szCs w:val="18"/>
              </w:rPr>
              <w:fldChar w:fldCharType="begin" w:fldLock="1"/>
            </w:r>
            <w:r>
              <w:rPr>
                <w:b/>
                <w:bCs/>
                <w:sz w:val="18"/>
                <w:szCs w:val="18"/>
              </w:rPr>
              <w:instrText>ADDIN CSL_CITATION { "citationItems" : [ { "id" : "ITEM-1", "itemData" : { "DOI" : "10.4081/reumatismo.2016.870", "ISSN" : "2240-2683", "abstract" : "&lt;p&gt;Osteoporosis poses a significant public health issue. National Societies have developed Guidelines for the diagnosis and treatment of this disorder with an effort of adapting specific tools for risk assessment on the peculiar characteristics of a given population. The Italian Society for Osteoporosis, Mineral Metabolism and Bone Diseases (SIOMMMS) has recently revised the previously published Guidelines on the diagnosis, riskassessment, prevention and management of primary and secondary osteoporosis. The guidelines were first drafted by a working group and then approved by the board of SIOMMMS. Subsequently they received also the endorsement of other major Scientific Societies that deal with bone metabolic disease. These recommendations are based on systematic reviews of the best available evidence and explicit consideration of cost effectiveness. When minimal evidence is available, recommendations are based on leading experts\u2019 experience and opinion, and on good clinical practice. The osteoporosis prevention should be based on the elimination of specific risk factors. The use of drugs registered for the treatment of osteoporosis are recommended when the benefits overcome the risk, and this is the case only when the risk of fracture is rather high as measured with variables susceptible to pharmacological effect. DeFRA (FRAX\u00ae derived fracture risk assessment) is recognized as a useful tool for easily estimate the long-term fracture risk. Several secondary forms of osteoporosis require a specific diagnostic and therapeutic management.&lt;/p&gt;", "author" : [ { "dropping-particle" : "", "family" : "Rossini", "given" : "M.", "non-dropping-particle" : "", "parse-names" : false, "suffix" : "" }, { "dropping-particle" : "", "family" : "Adami", "given" : "S.", "non-dropping-particle" : "", "parse-names" : false, "suffix" : "" }, { "dropping-particle" : "", "family" : "Bertoldo", "given" : "F.", "non-dropping-particle" : "", "parse-names" : false, "suffix" : "" }, { "dropping-particle" : "", "family" : "Diacinti", "given" : "D.", "non-dropping-particle" : "", "parse-names" : false, "suffix" : "" }, { "dropping-particle" : "", "family" : "Gatti", "given" : "D.", "non-dropping-particle" : "", "parse-names" : false, "suffix" : "" }, { "dropping-particle" : "", "family" : "Giannini", "given" : "S.", "non-dropping-particle" : "", "parse-names" : false, "suffix" : "" }, { "dropping-particle" : "", "family" : "Giusti", "given" : "A.", "non-dropping-particle" : "", "parse-names" : false, "suffix" : "" }, { "dropping-particle" : "", "family" : "Malavolta", "given" : "N.", "non-dropping-particle" : "", "parse-names" : false, "suffix" : "" }, { "dropping-particle" : "", "family" : "Minisola", "given" : "S.", "non-dropping-particle" : "", "parse-names" : false, "suffix" : "" }, { "dropping-particle" : "", "family" : "Osella", "given" : "G.", "non-dropping-particle" : "", "parse-names" : false, "suffix" : "" }, { "dropping-particle" : "", "family" : "Pedrazzoni", "given" : "M.", "non-dropping-particle" : "", "parse-names" : false, "suffix" : "" }, { "dropping-particle" : "", "family" : "Sinigaglia", "given" : "L.", "non-dropping-particle" : "", "parse-names" : false, "suffix" : "" }, { "dropping-particle" : "", "family" : "Viapiana", "given" : "O.", "non-dropping-particle" : "", "parse-names" : false, "suffix" : "" }, { "dropping-particle" : "", "family" : "Isaia", "given" : "G. C.", "non-dropping-particle" : "", "parse-names" : false, "suffix" : "" } ], "container-title" : "Reumatismo", "id" : "ITEM-1", "issue" : "1", "issued" : { "date-parts" : [ [ "2016", "6", "23" ] ] }, "page" : "1", "title" : "Guidelines for the diagnosis, prevention and management of osteoporosis", "type" : "article-journal", "volume" : "68" }, "uris" : [ "http://www.mendeley.com/documents/?uuid=4401907c-144a-32f6-85b1-195575d29f98" ] } ], "mendeley" : { "formattedCitation" : "&lt;sup&gt;75&lt;/sup&gt;", "plainTextFormattedCitation" : "75", "previouslyFormattedCitation" : "&lt;sup&gt;75&lt;/sup&gt;" }, "properties" : {  }, "schema" : "https://github.com/citation-style-language/schema/raw/master/csl-citation.json" }</w:instrText>
            </w:r>
            <w:r w:rsidRPr="005968A9">
              <w:rPr>
                <w:b/>
                <w:bCs/>
                <w:sz w:val="18"/>
                <w:szCs w:val="18"/>
              </w:rPr>
              <w:fldChar w:fldCharType="separate"/>
            </w:r>
            <w:r w:rsidRPr="00C6554C">
              <w:rPr>
                <w:bCs/>
                <w:noProof/>
                <w:sz w:val="18"/>
                <w:szCs w:val="18"/>
                <w:vertAlign w:val="superscript"/>
              </w:rPr>
              <w:t>75</w:t>
            </w:r>
            <w:r w:rsidRPr="005968A9">
              <w:rPr>
                <w:b/>
                <w:bCs/>
                <w:sz w:val="18"/>
                <w:szCs w:val="18"/>
              </w:rPr>
              <w:fldChar w:fldCharType="end"/>
            </w:r>
          </w:p>
        </w:tc>
        <w:tc>
          <w:tcPr>
            <w:tcW w:w="1275" w:type="dxa"/>
            <w:shd w:val="clear" w:color="auto" w:fill="FFFFFF" w:themeFill="background1"/>
          </w:tcPr>
          <w:p w14:paraId="0620DCB1" w14:textId="77777777" w:rsidR="00554F3E" w:rsidRPr="005968A9" w:rsidRDefault="00554F3E" w:rsidP="00D76D28">
            <w:pPr>
              <w:tabs>
                <w:tab w:val="left" w:pos="2775"/>
              </w:tabs>
              <w:jc w:val="center"/>
              <w:rPr>
                <w:sz w:val="18"/>
                <w:szCs w:val="18"/>
              </w:rPr>
            </w:pPr>
          </w:p>
          <w:p w14:paraId="35BF3031" w14:textId="77777777" w:rsidR="00554F3E" w:rsidRPr="005968A9" w:rsidRDefault="00554F3E" w:rsidP="00D76D28">
            <w:pPr>
              <w:tabs>
                <w:tab w:val="left" w:pos="2775"/>
              </w:tabs>
              <w:jc w:val="center"/>
              <w:rPr>
                <w:sz w:val="18"/>
                <w:szCs w:val="18"/>
              </w:rPr>
            </w:pPr>
            <w:r w:rsidRPr="005968A9">
              <w:rPr>
                <w:sz w:val="18"/>
                <w:szCs w:val="18"/>
              </w:rPr>
              <w:t>N</w:t>
            </w:r>
          </w:p>
        </w:tc>
        <w:tc>
          <w:tcPr>
            <w:tcW w:w="1560" w:type="dxa"/>
            <w:shd w:val="clear" w:color="auto" w:fill="FFFFFF" w:themeFill="background1"/>
          </w:tcPr>
          <w:p w14:paraId="02A8A2FE" w14:textId="77777777" w:rsidR="00554F3E" w:rsidRPr="005968A9" w:rsidRDefault="00554F3E" w:rsidP="00D76D28">
            <w:pPr>
              <w:tabs>
                <w:tab w:val="left" w:pos="2775"/>
              </w:tabs>
              <w:jc w:val="center"/>
              <w:rPr>
                <w:sz w:val="18"/>
                <w:szCs w:val="18"/>
              </w:rPr>
            </w:pPr>
          </w:p>
          <w:p w14:paraId="1A819FED" w14:textId="77777777" w:rsidR="00554F3E" w:rsidRPr="005968A9" w:rsidRDefault="00554F3E" w:rsidP="00D76D28">
            <w:pPr>
              <w:tabs>
                <w:tab w:val="left" w:pos="2775"/>
              </w:tabs>
              <w:jc w:val="center"/>
              <w:rPr>
                <w:sz w:val="18"/>
                <w:szCs w:val="18"/>
              </w:rPr>
            </w:pPr>
            <w:r w:rsidRPr="005968A9">
              <w:rPr>
                <w:sz w:val="18"/>
                <w:szCs w:val="18"/>
              </w:rPr>
              <w:t>N</w:t>
            </w:r>
          </w:p>
        </w:tc>
        <w:tc>
          <w:tcPr>
            <w:tcW w:w="1275" w:type="dxa"/>
            <w:shd w:val="clear" w:color="auto" w:fill="FFFFFF" w:themeFill="background1"/>
          </w:tcPr>
          <w:p w14:paraId="79E0FCAC" w14:textId="77777777" w:rsidR="00554F3E" w:rsidRPr="005968A9" w:rsidRDefault="00554F3E" w:rsidP="00D76D28">
            <w:pPr>
              <w:tabs>
                <w:tab w:val="left" w:pos="2775"/>
              </w:tabs>
              <w:jc w:val="center"/>
              <w:rPr>
                <w:sz w:val="18"/>
                <w:szCs w:val="18"/>
              </w:rPr>
            </w:pPr>
          </w:p>
          <w:p w14:paraId="474A3E75" w14:textId="77777777" w:rsidR="00554F3E" w:rsidRPr="005968A9" w:rsidRDefault="00554F3E" w:rsidP="00D76D28">
            <w:pPr>
              <w:tabs>
                <w:tab w:val="left" w:pos="2775"/>
              </w:tabs>
              <w:jc w:val="center"/>
              <w:rPr>
                <w:sz w:val="18"/>
                <w:szCs w:val="18"/>
              </w:rPr>
            </w:pPr>
            <w:r w:rsidRPr="005968A9">
              <w:rPr>
                <w:sz w:val="18"/>
                <w:szCs w:val="18"/>
              </w:rPr>
              <w:t>N</w:t>
            </w:r>
          </w:p>
          <w:p w14:paraId="064ADE9B" w14:textId="77777777" w:rsidR="00554F3E" w:rsidRPr="005968A9" w:rsidRDefault="00554F3E" w:rsidP="00D76D28">
            <w:pPr>
              <w:tabs>
                <w:tab w:val="left" w:pos="2775"/>
              </w:tabs>
              <w:jc w:val="center"/>
              <w:rPr>
                <w:sz w:val="18"/>
                <w:szCs w:val="18"/>
              </w:rPr>
            </w:pPr>
          </w:p>
        </w:tc>
        <w:tc>
          <w:tcPr>
            <w:tcW w:w="1701" w:type="dxa"/>
            <w:shd w:val="clear" w:color="auto" w:fill="FFFFFF" w:themeFill="background1"/>
          </w:tcPr>
          <w:p w14:paraId="014A9A75" w14:textId="77777777" w:rsidR="00554F3E" w:rsidRPr="005968A9" w:rsidRDefault="00554F3E" w:rsidP="00D76D28">
            <w:pPr>
              <w:tabs>
                <w:tab w:val="left" w:pos="2775"/>
              </w:tabs>
              <w:jc w:val="center"/>
              <w:rPr>
                <w:sz w:val="18"/>
                <w:szCs w:val="18"/>
              </w:rPr>
            </w:pPr>
          </w:p>
          <w:p w14:paraId="26142C2F" w14:textId="77777777" w:rsidR="00554F3E" w:rsidRPr="005968A9" w:rsidRDefault="00554F3E" w:rsidP="00D76D28">
            <w:pPr>
              <w:tabs>
                <w:tab w:val="left" w:pos="2775"/>
              </w:tabs>
              <w:jc w:val="center"/>
              <w:rPr>
                <w:sz w:val="18"/>
                <w:szCs w:val="18"/>
              </w:rPr>
            </w:pPr>
            <w:r w:rsidRPr="005968A9">
              <w:rPr>
                <w:sz w:val="18"/>
                <w:szCs w:val="18"/>
              </w:rPr>
              <w:t>N</w:t>
            </w:r>
          </w:p>
        </w:tc>
        <w:tc>
          <w:tcPr>
            <w:tcW w:w="1843" w:type="dxa"/>
            <w:shd w:val="clear" w:color="auto" w:fill="FFFFFF" w:themeFill="background1"/>
          </w:tcPr>
          <w:p w14:paraId="6EEFCAF5" w14:textId="77777777" w:rsidR="00554F3E" w:rsidRPr="005968A9" w:rsidRDefault="00554F3E" w:rsidP="00D76D28">
            <w:pPr>
              <w:tabs>
                <w:tab w:val="left" w:pos="2775"/>
              </w:tabs>
              <w:jc w:val="center"/>
              <w:rPr>
                <w:sz w:val="18"/>
                <w:szCs w:val="18"/>
              </w:rPr>
            </w:pPr>
          </w:p>
          <w:p w14:paraId="004A1414" w14:textId="77777777" w:rsidR="00554F3E" w:rsidRPr="005968A9" w:rsidRDefault="00554F3E" w:rsidP="00D76D28">
            <w:pPr>
              <w:tabs>
                <w:tab w:val="left" w:pos="2775"/>
              </w:tabs>
              <w:jc w:val="center"/>
              <w:rPr>
                <w:sz w:val="18"/>
                <w:szCs w:val="18"/>
              </w:rPr>
            </w:pPr>
            <w:r w:rsidRPr="005968A9">
              <w:rPr>
                <w:sz w:val="18"/>
                <w:szCs w:val="18"/>
              </w:rPr>
              <w:t>N</w:t>
            </w:r>
          </w:p>
        </w:tc>
        <w:tc>
          <w:tcPr>
            <w:tcW w:w="1559" w:type="dxa"/>
            <w:shd w:val="clear" w:color="auto" w:fill="FFFFFF" w:themeFill="background1"/>
          </w:tcPr>
          <w:p w14:paraId="34F0F0E6" w14:textId="77777777" w:rsidR="00554F3E" w:rsidRPr="005968A9" w:rsidRDefault="00554F3E" w:rsidP="00D76D28">
            <w:pPr>
              <w:tabs>
                <w:tab w:val="left" w:pos="2775"/>
              </w:tabs>
              <w:jc w:val="center"/>
              <w:rPr>
                <w:sz w:val="18"/>
                <w:szCs w:val="18"/>
              </w:rPr>
            </w:pPr>
          </w:p>
          <w:p w14:paraId="1A5672C9" w14:textId="77777777" w:rsidR="00554F3E" w:rsidRPr="005968A9" w:rsidRDefault="00554F3E" w:rsidP="00D76D28">
            <w:pPr>
              <w:tabs>
                <w:tab w:val="left" w:pos="2775"/>
              </w:tabs>
              <w:jc w:val="center"/>
              <w:rPr>
                <w:sz w:val="18"/>
                <w:szCs w:val="18"/>
              </w:rPr>
            </w:pPr>
            <w:r w:rsidRPr="005968A9">
              <w:rPr>
                <w:sz w:val="18"/>
                <w:szCs w:val="18"/>
              </w:rPr>
              <w:t>N</w:t>
            </w:r>
          </w:p>
        </w:tc>
        <w:tc>
          <w:tcPr>
            <w:tcW w:w="1276" w:type="dxa"/>
            <w:shd w:val="clear" w:color="auto" w:fill="FFFFFF" w:themeFill="background1"/>
          </w:tcPr>
          <w:p w14:paraId="017E58F9" w14:textId="77777777" w:rsidR="00554F3E" w:rsidRPr="005968A9" w:rsidRDefault="00554F3E" w:rsidP="00D76D28">
            <w:pPr>
              <w:tabs>
                <w:tab w:val="left" w:pos="2775"/>
              </w:tabs>
              <w:jc w:val="center"/>
              <w:rPr>
                <w:sz w:val="18"/>
                <w:szCs w:val="18"/>
              </w:rPr>
            </w:pPr>
          </w:p>
          <w:p w14:paraId="6727F4AA" w14:textId="77777777" w:rsidR="00554F3E" w:rsidRPr="005968A9" w:rsidRDefault="00554F3E" w:rsidP="00D76D28">
            <w:pPr>
              <w:tabs>
                <w:tab w:val="left" w:pos="2775"/>
              </w:tabs>
              <w:jc w:val="center"/>
              <w:rPr>
                <w:sz w:val="18"/>
                <w:szCs w:val="18"/>
              </w:rPr>
            </w:pPr>
            <w:r w:rsidRPr="005968A9">
              <w:rPr>
                <w:sz w:val="18"/>
                <w:szCs w:val="18"/>
              </w:rPr>
              <w:t>N</w:t>
            </w:r>
          </w:p>
        </w:tc>
        <w:tc>
          <w:tcPr>
            <w:tcW w:w="992" w:type="dxa"/>
            <w:shd w:val="clear" w:color="auto" w:fill="FFFFFF" w:themeFill="background1"/>
          </w:tcPr>
          <w:p w14:paraId="02E1FE0C" w14:textId="77777777" w:rsidR="00554F3E" w:rsidRPr="005968A9" w:rsidRDefault="00554F3E" w:rsidP="00D76D28">
            <w:pPr>
              <w:tabs>
                <w:tab w:val="left" w:pos="2775"/>
              </w:tabs>
              <w:jc w:val="center"/>
              <w:rPr>
                <w:sz w:val="18"/>
                <w:szCs w:val="18"/>
              </w:rPr>
            </w:pPr>
          </w:p>
          <w:p w14:paraId="32DBBA99" w14:textId="77777777" w:rsidR="00554F3E" w:rsidRPr="005968A9" w:rsidRDefault="00554F3E" w:rsidP="00D76D28">
            <w:pPr>
              <w:tabs>
                <w:tab w:val="left" w:pos="2775"/>
              </w:tabs>
              <w:jc w:val="center"/>
              <w:rPr>
                <w:sz w:val="18"/>
                <w:szCs w:val="18"/>
              </w:rPr>
            </w:pPr>
            <w:r w:rsidRPr="005968A9">
              <w:rPr>
                <w:sz w:val="18"/>
                <w:szCs w:val="18"/>
              </w:rPr>
              <w:t>N</w:t>
            </w:r>
          </w:p>
        </w:tc>
        <w:tc>
          <w:tcPr>
            <w:tcW w:w="842" w:type="dxa"/>
            <w:shd w:val="clear" w:color="auto" w:fill="FFFFFF" w:themeFill="background1"/>
          </w:tcPr>
          <w:p w14:paraId="329247D1" w14:textId="77777777" w:rsidR="00554F3E" w:rsidRDefault="00554F3E" w:rsidP="00D76D28">
            <w:pPr>
              <w:tabs>
                <w:tab w:val="left" w:pos="2775"/>
              </w:tabs>
              <w:jc w:val="center"/>
              <w:rPr>
                <w:sz w:val="18"/>
                <w:szCs w:val="18"/>
              </w:rPr>
            </w:pPr>
          </w:p>
          <w:p w14:paraId="30D9EB4D" w14:textId="77777777" w:rsidR="00554F3E" w:rsidRDefault="00554F3E" w:rsidP="00D76D28">
            <w:pPr>
              <w:tabs>
                <w:tab w:val="left" w:pos="2775"/>
              </w:tabs>
              <w:jc w:val="center"/>
              <w:rPr>
                <w:sz w:val="18"/>
                <w:szCs w:val="18"/>
              </w:rPr>
            </w:pPr>
            <w:r>
              <w:rPr>
                <w:sz w:val="18"/>
                <w:szCs w:val="18"/>
              </w:rPr>
              <w:t>0</w:t>
            </w:r>
          </w:p>
        </w:tc>
        <w:tc>
          <w:tcPr>
            <w:tcW w:w="851" w:type="dxa"/>
            <w:shd w:val="clear" w:color="auto" w:fill="FFFFFF" w:themeFill="background1"/>
          </w:tcPr>
          <w:p w14:paraId="3324C2AA" w14:textId="77777777" w:rsidR="00554F3E" w:rsidRPr="005968A9" w:rsidRDefault="00554F3E" w:rsidP="00D76D28">
            <w:pPr>
              <w:tabs>
                <w:tab w:val="left" w:pos="2775"/>
              </w:tabs>
              <w:jc w:val="center"/>
              <w:rPr>
                <w:sz w:val="18"/>
                <w:szCs w:val="18"/>
              </w:rPr>
            </w:pPr>
          </w:p>
        </w:tc>
      </w:tr>
      <w:tr w:rsidR="00554F3E" w:rsidRPr="000926D0" w14:paraId="541E9A07" w14:textId="77777777" w:rsidTr="00D76D28">
        <w:tc>
          <w:tcPr>
            <w:tcW w:w="1853" w:type="dxa"/>
            <w:shd w:val="clear" w:color="auto" w:fill="FFFFFF" w:themeFill="background1"/>
          </w:tcPr>
          <w:p w14:paraId="2E283E68" w14:textId="77777777" w:rsidR="00554F3E" w:rsidRPr="005968A9" w:rsidRDefault="00554F3E" w:rsidP="00D76D28">
            <w:pPr>
              <w:rPr>
                <w:b/>
                <w:bCs/>
                <w:sz w:val="18"/>
                <w:szCs w:val="18"/>
              </w:rPr>
            </w:pPr>
            <w:r w:rsidRPr="005968A9">
              <w:rPr>
                <w:b/>
                <w:bCs/>
                <w:sz w:val="18"/>
                <w:szCs w:val="18"/>
              </w:rPr>
              <w:t xml:space="preserve">Alberta Guidelines 2016 </w:t>
            </w:r>
            <w:r w:rsidRPr="005968A9">
              <w:rPr>
                <w:b/>
                <w:bCs/>
                <w:sz w:val="18"/>
                <w:szCs w:val="18"/>
              </w:rPr>
              <w:fldChar w:fldCharType="begin" w:fldLock="1"/>
            </w:r>
            <w:r>
              <w:rPr>
                <w:b/>
                <w:bCs/>
                <w:sz w:val="18"/>
                <w:szCs w:val="18"/>
              </w:rPr>
              <w:instrText>ADDIN CSL_CITATION { "citationItems" : [ { "id" : "ITEM-1", "itemData" : { "abstract" : "These recommendations are systematically developed statements to assist practitioner and patient decisions about appropriate health care for specific clinical circumstances. They should be used as an adjunct to sound clinical decision making.", "author" : [ { "dropping-particle" : "", "family" : "Committee", "given" : "Clinical Practice Guidelines", "non-dropping-particle" : "", "parse-names" : false, "suffix" : "" } ], "container-title" : "Towards Optimized Practice", "id" : "ITEM-1", "issued" : { "date-parts" : [ [ "2016" ] ] }, "title" : "Diagnosis and management of osteoporosis clinical practice guideline | February 2016", "type" : "article-journal" }, "uris" : [ "http://www.mendeley.com/documents/?uuid=38cc366c-e928-33a0-88d2-e9c0a390fae3" ] } ], "mendeley" : { "formattedCitation" : "&lt;sup&gt;76&lt;/sup&gt;", "plainTextFormattedCitation" : "76", "previouslyFormattedCitation" : "&lt;sup&gt;76&lt;/sup&gt;" }, "properties" : {  }, "schema" : "https://github.com/citation-style-language/schema/raw/master/csl-citation.json" }</w:instrText>
            </w:r>
            <w:r w:rsidRPr="005968A9">
              <w:rPr>
                <w:b/>
                <w:bCs/>
                <w:sz w:val="18"/>
                <w:szCs w:val="18"/>
              </w:rPr>
              <w:fldChar w:fldCharType="separate"/>
            </w:r>
            <w:r w:rsidRPr="00C6554C">
              <w:rPr>
                <w:bCs/>
                <w:noProof/>
                <w:sz w:val="18"/>
                <w:szCs w:val="18"/>
                <w:vertAlign w:val="superscript"/>
              </w:rPr>
              <w:t>76</w:t>
            </w:r>
            <w:r w:rsidRPr="005968A9">
              <w:rPr>
                <w:b/>
                <w:bCs/>
                <w:sz w:val="18"/>
                <w:szCs w:val="18"/>
              </w:rPr>
              <w:fldChar w:fldCharType="end"/>
            </w:r>
          </w:p>
          <w:p w14:paraId="58EEE942" w14:textId="77777777" w:rsidR="00554F3E" w:rsidRPr="005968A9" w:rsidRDefault="00554F3E" w:rsidP="00D76D28">
            <w:pPr>
              <w:rPr>
                <w:b/>
                <w:bCs/>
                <w:sz w:val="18"/>
                <w:szCs w:val="18"/>
              </w:rPr>
            </w:pPr>
          </w:p>
        </w:tc>
        <w:tc>
          <w:tcPr>
            <w:tcW w:w="1275" w:type="dxa"/>
            <w:shd w:val="clear" w:color="auto" w:fill="FFFFFF" w:themeFill="background1"/>
          </w:tcPr>
          <w:p w14:paraId="60775BC5" w14:textId="77777777" w:rsidR="00554F3E" w:rsidRPr="005968A9" w:rsidRDefault="00554F3E" w:rsidP="00D76D28">
            <w:pPr>
              <w:tabs>
                <w:tab w:val="left" w:pos="2775"/>
              </w:tabs>
              <w:jc w:val="center"/>
              <w:rPr>
                <w:sz w:val="18"/>
                <w:szCs w:val="18"/>
              </w:rPr>
            </w:pPr>
          </w:p>
          <w:p w14:paraId="5E0889C1" w14:textId="77777777" w:rsidR="00554F3E" w:rsidRPr="005968A9" w:rsidRDefault="00554F3E" w:rsidP="00D76D28">
            <w:pPr>
              <w:tabs>
                <w:tab w:val="left" w:pos="2775"/>
              </w:tabs>
              <w:jc w:val="center"/>
              <w:rPr>
                <w:sz w:val="18"/>
                <w:szCs w:val="18"/>
              </w:rPr>
            </w:pPr>
            <w:r w:rsidRPr="005968A9">
              <w:rPr>
                <w:sz w:val="18"/>
                <w:szCs w:val="18"/>
              </w:rPr>
              <w:t>N</w:t>
            </w:r>
          </w:p>
        </w:tc>
        <w:tc>
          <w:tcPr>
            <w:tcW w:w="1560" w:type="dxa"/>
            <w:shd w:val="clear" w:color="auto" w:fill="FFFFFF" w:themeFill="background1"/>
          </w:tcPr>
          <w:p w14:paraId="08998E41" w14:textId="77777777" w:rsidR="00554F3E" w:rsidRPr="005968A9" w:rsidRDefault="00554F3E" w:rsidP="00D76D28">
            <w:pPr>
              <w:tabs>
                <w:tab w:val="left" w:pos="2775"/>
              </w:tabs>
              <w:jc w:val="center"/>
              <w:rPr>
                <w:sz w:val="18"/>
                <w:szCs w:val="18"/>
              </w:rPr>
            </w:pPr>
          </w:p>
          <w:p w14:paraId="05F2FEA0" w14:textId="77777777" w:rsidR="00554F3E" w:rsidRPr="005968A9" w:rsidRDefault="00554F3E" w:rsidP="00D76D28">
            <w:pPr>
              <w:tabs>
                <w:tab w:val="left" w:pos="2775"/>
              </w:tabs>
              <w:jc w:val="center"/>
              <w:rPr>
                <w:sz w:val="18"/>
                <w:szCs w:val="18"/>
              </w:rPr>
            </w:pPr>
            <w:r w:rsidRPr="005968A9">
              <w:rPr>
                <w:sz w:val="18"/>
                <w:szCs w:val="18"/>
              </w:rPr>
              <w:t>N</w:t>
            </w:r>
          </w:p>
        </w:tc>
        <w:tc>
          <w:tcPr>
            <w:tcW w:w="1275" w:type="dxa"/>
            <w:shd w:val="clear" w:color="auto" w:fill="FFFFFF" w:themeFill="background1"/>
          </w:tcPr>
          <w:p w14:paraId="561EFDA4" w14:textId="77777777" w:rsidR="00554F3E" w:rsidRPr="005968A9" w:rsidRDefault="00554F3E" w:rsidP="00D76D28">
            <w:pPr>
              <w:tabs>
                <w:tab w:val="left" w:pos="2775"/>
              </w:tabs>
              <w:jc w:val="center"/>
              <w:rPr>
                <w:sz w:val="18"/>
                <w:szCs w:val="18"/>
              </w:rPr>
            </w:pPr>
          </w:p>
          <w:p w14:paraId="7DF55B49" w14:textId="77777777" w:rsidR="00554F3E" w:rsidRPr="005968A9" w:rsidRDefault="00554F3E" w:rsidP="00D76D28">
            <w:pPr>
              <w:tabs>
                <w:tab w:val="left" w:pos="2775"/>
              </w:tabs>
              <w:jc w:val="center"/>
              <w:rPr>
                <w:sz w:val="18"/>
                <w:szCs w:val="18"/>
              </w:rPr>
            </w:pPr>
            <w:r w:rsidRPr="005968A9">
              <w:rPr>
                <w:sz w:val="18"/>
                <w:szCs w:val="18"/>
              </w:rPr>
              <w:t>N</w:t>
            </w:r>
          </w:p>
        </w:tc>
        <w:tc>
          <w:tcPr>
            <w:tcW w:w="1701" w:type="dxa"/>
            <w:shd w:val="clear" w:color="auto" w:fill="FFFFFF" w:themeFill="background1"/>
          </w:tcPr>
          <w:p w14:paraId="48BBF023" w14:textId="77777777" w:rsidR="00554F3E" w:rsidRPr="005968A9" w:rsidRDefault="00554F3E" w:rsidP="00D76D28">
            <w:pPr>
              <w:tabs>
                <w:tab w:val="left" w:pos="2775"/>
              </w:tabs>
              <w:jc w:val="center"/>
              <w:rPr>
                <w:sz w:val="18"/>
                <w:szCs w:val="18"/>
              </w:rPr>
            </w:pPr>
          </w:p>
          <w:p w14:paraId="6CF848DA" w14:textId="77777777" w:rsidR="00554F3E" w:rsidRPr="005968A9" w:rsidRDefault="00554F3E" w:rsidP="00D76D28">
            <w:pPr>
              <w:tabs>
                <w:tab w:val="left" w:pos="2775"/>
              </w:tabs>
              <w:jc w:val="center"/>
              <w:rPr>
                <w:sz w:val="18"/>
                <w:szCs w:val="18"/>
              </w:rPr>
            </w:pPr>
            <w:r w:rsidRPr="005968A9">
              <w:rPr>
                <w:sz w:val="18"/>
                <w:szCs w:val="18"/>
              </w:rPr>
              <w:t>N</w:t>
            </w:r>
          </w:p>
        </w:tc>
        <w:tc>
          <w:tcPr>
            <w:tcW w:w="1843" w:type="dxa"/>
            <w:shd w:val="clear" w:color="auto" w:fill="FFFFFF" w:themeFill="background1"/>
          </w:tcPr>
          <w:p w14:paraId="0C0FC0BE" w14:textId="77777777" w:rsidR="00554F3E" w:rsidRPr="005968A9" w:rsidRDefault="00554F3E" w:rsidP="00D76D28">
            <w:pPr>
              <w:tabs>
                <w:tab w:val="left" w:pos="2775"/>
              </w:tabs>
              <w:jc w:val="center"/>
              <w:rPr>
                <w:sz w:val="18"/>
                <w:szCs w:val="18"/>
              </w:rPr>
            </w:pPr>
          </w:p>
          <w:p w14:paraId="53620214" w14:textId="77777777" w:rsidR="00554F3E" w:rsidRPr="005968A9" w:rsidRDefault="00554F3E" w:rsidP="00D76D28">
            <w:pPr>
              <w:tabs>
                <w:tab w:val="left" w:pos="2775"/>
              </w:tabs>
              <w:jc w:val="center"/>
              <w:rPr>
                <w:sz w:val="18"/>
                <w:szCs w:val="18"/>
              </w:rPr>
            </w:pPr>
            <w:r w:rsidRPr="005968A9">
              <w:rPr>
                <w:sz w:val="18"/>
                <w:szCs w:val="18"/>
              </w:rPr>
              <w:t>N</w:t>
            </w:r>
          </w:p>
        </w:tc>
        <w:tc>
          <w:tcPr>
            <w:tcW w:w="1559" w:type="dxa"/>
            <w:shd w:val="clear" w:color="auto" w:fill="FFFFFF" w:themeFill="background1"/>
          </w:tcPr>
          <w:p w14:paraId="71F696EC" w14:textId="77777777" w:rsidR="00554F3E" w:rsidRPr="005968A9" w:rsidRDefault="00554F3E" w:rsidP="00D76D28">
            <w:pPr>
              <w:tabs>
                <w:tab w:val="left" w:pos="2775"/>
              </w:tabs>
              <w:jc w:val="center"/>
              <w:rPr>
                <w:sz w:val="18"/>
                <w:szCs w:val="18"/>
              </w:rPr>
            </w:pPr>
          </w:p>
          <w:p w14:paraId="1C08DDE3" w14:textId="77777777" w:rsidR="00554F3E" w:rsidRPr="005968A9" w:rsidRDefault="00554F3E" w:rsidP="00D76D28">
            <w:pPr>
              <w:tabs>
                <w:tab w:val="left" w:pos="2775"/>
              </w:tabs>
              <w:jc w:val="center"/>
              <w:rPr>
                <w:sz w:val="18"/>
                <w:szCs w:val="18"/>
              </w:rPr>
            </w:pPr>
            <w:r w:rsidRPr="005968A9">
              <w:rPr>
                <w:sz w:val="18"/>
                <w:szCs w:val="18"/>
              </w:rPr>
              <w:t>N</w:t>
            </w:r>
          </w:p>
        </w:tc>
        <w:tc>
          <w:tcPr>
            <w:tcW w:w="1276" w:type="dxa"/>
            <w:shd w:val="clear" w:color="auto" w:fill="FFFFFF" w:themeFill="background1"/>
          </w:tcPr>
          <w:p w14:paraId="1B351493" w14:textId="77777777" w:rsidR="00554F3E" w:rsidRPr="005968A9" w:rsidRDefault="00554F3E" w:rsidP="00D76D28">
            <w:pPr>
              <w:tabs>
                <w:tab w:val="left" w:pos="2775"/>
              </w:tabs>
              <w:jc w:val="center"/>
              <w:rPr>
                <w:sz w:val="18"/>
                <w:szCs w:val="18"/>
              </w:rPr>
            </w:pPr>
          </w:p>
          <w:p w14:paraId="5E630D56" w14:textId="77777777" w:rsidR="00554F3E" w:rsidRPr="005968A9" w:rsidRDefault="00554F3E" w:rsidP="00D76D28">
            <w:pPr>
              <w:tabs>
                <w:tab w:val="left" w:pos="2775"/>
              </w:tabs>
              <w:jc w:val="center"/>
              <w:rPr>
                <w:sz w:val="18"/>
                <w:szCs w:val="18"/>
              </w:rPr>
            </w:pPr>
            <w:r w:rsidRPr="005968A9">
              <w:rPr>
                <w:sz w:val="18"/>
                <w:szCs w:val="18"/>
              </w:rPr>
              <w:t>N</w:t>
            </w:r>
          </w:p>
        </w:tc>
        <w:tc>
          <w:tcPr>
            <w:tcW w:w="992" w:type="dxa"/>
            <w:shd w:val="clear" w:color="auto" w:fill="FFFFFF" w:themeFill="background1"/>
          </w:tcPr>
          <w:p w14:paraId="19039674" w14:textId="77777777" w:rsidR="00554F3E" w:rsidRPr="005968A9" w:rsidRDefault="00554F3E" w:rsidP="00D76D28">
            <w:pPr>
              <w:tabs>
                <w:tab w:val="left" w:pos="2775"/>
              </w:tabs>
              <w:jc w:val="center"/>
              <w:rPr>
                <w:sz w:val="18"/>
                <w:szCs w:val="18"/>
              </w:rPr>
            </w:pPr>
          </w:p>
          <w:p w14:paraId="39AF9D6F" w14:textId="77777777" w:rsidR="00554F3E" w:rsidRPr="005968A9" w:rsidRDefault="00554F3E" w:rsidP="00D76D28">
            <w:pPr>
              <w:tabs>
                <w:tab w:val="left" w:pos="2775"/>
              </w:tabs>
              <w:jc w:val="center"/>
              <w:rPr>
                <w:sz w:val="18"/>
                <w:szCs w:val="18"/>
              </w:rPr>
            </w:pPr>
            <w:r w:rsidRPr="005968A9">
              <w:rPr>
                <w:sz w:val="18"/>
                <w:szCs w:val="18"/>
              </w:rPr>
              <w:t>N</w:t>
            </w:r>
          </w:p>
        </w:tc>
        <w:tc>
          <w:tcPr>
            <w:tcW w:w="842" w:type="dxa"/>
            <w:shd w:val="clear" w:color="auto" w:fill="FFFFFF" w:themeFill="background1"/>
          </w:tcPr>
          <w:p w14:paraId="21377521" w14:textId="77777777" w:rsidR="00554F3E" w:rsidRDefault="00554F3E" w:rsidP="00D76D28">
            <w:pPr>
              <w:tabs>
                <w:tab w:val="left" w:pos="2775"/>
              </w:tabs>
              <w:jc w:val="center"/>
              <w:rPr>
                <w:sz w:val="18"/>
                <w:szCs w:val="18"/>
              </w:rPr>
            </w:pPr>
          </w:p>
          <w:p w14:paraId="6795499A" w14:textId="77777777" w:rsidR="00554F3E" w:rsidRDefault="00554F3E" w:rsidP="00D76D28">
            <w:pPr>
              <w:tabs>
                <w:tab w:val="left" w:pos="2775"/>
              </w:tabs>
              <w:jc w:val="center"/>
              <w:rPr>
                <w:sz w:val="18"/>
                <w:szCs w:val="18"/>
              </w:rPr>
            </w:pPr>
            <w:r>
              <w:rPr>
                <w:sz w:val="18"/>
                <w:szCs w:val="18"/>
              </w:rPr>
              <w:t>0</w:t>
            </w:r>
          </w:p>
        </w:tc>
        <w:tc>
          <w:tcPr>
            <w:tcW w:w="851" w:type="dxa"/>
            <w:shd w:val="clear" w:color="auto" w:fill="FFFFFF" w:themeFill="background1"/>
          </w:tcPr>
          <w:p w14:paraId="6535983F" w14:textId="77777777" w:rsidR="00554F3E" w:rsidRPr="005968A9" w:rsidRDefault="00554F3E" w:rsidP="00D76D28">
            <w:pPr>
              <w:tabs>
                <w:tab w:val="left" w:pos="2775"/>
              </w:tabs>
              <w:jc w:val="center"/>
              <w:rPr>
                <w:sz w:val="18"/>
                <w:szCs w:val="18"/>
              </w:rPr>
            </w:pPr>
          </w:p>
        </w:tc>
      </w:tr>
      <w:tr w:rsidR="00554F3E" w:rsidRPr="000926D0" w14:paraId="7CA7553A" w14:textId="77777777" w:rsidTr="00D76D28">
        <w:tc>
          <w:tcPr>
            <w:tcW w:w="1853" w:type="dxa"/>
            <w:shd w:val="clear" w:color="auto" w:fill="FFFFFF" w:themeFill="background1"/>
          </w:tcPr>
          <w:p w14:paraId="3507E306" w14:textId="77777777" w:rsidR="00554F3E" w:rsidRPr="005968A9" w:rsidRDefault="00554F3E" w:rsidP="00D76D28">
            <w:pPr>
              <w:rPr>
                <w:b/>
                <w:bCs/>
                <w:sz w:val="18"/>
                <w:szCs w:val="18"/>
              </w:rPr>
            </w:pPr>
            <w:r w:rsidRPr="005968A9">
              <w:rPr>
                <w:b/>
                <w:bCs/>
                <w:sz w:val="18"/>
                <w:szCs w:val="18"/>
              </w:rPr>
              <w:t xml:space="preserve">American Association of Clinical Endocrinologist AACE 2016 </w:t>
            </w:r>
            <w:r w:rsidRPr="005968A9">
              <w:rPr>
                <w:b/>
                <w:bCs/>
                <w:sz w:val="18"/>
                <w:szCs w:val="18"/>
              </w:rPr>
              <w:fldChar w:fldCharType="begin" w:fldLock="1"/>
            </w:r>
            <w:r>
              <w:rPr>
                <w:b/>
                <w:bCs/>
                <w:sz w:val="18"/>
                <w:szCs w:val="18"/>
              </w:rPr>
              <w:instrText>ADDIN CSL_CITATION { "citationItems" : [ { "id" : "ITEM-1", "itemData" : { "DOI" : "10.4158/EP161435.GL", "abstract" : "A complete list of the Reviewers of the AACE/ACE Postmenopausal Osteoporosis Clinical Practice Guidelines can be found in the Acknowledgment. The American Association of Clinical Endocrinologists/American College of Endocrinology Medical Guidelines for Practice are systematically developed statements to assist healthcare professionals in medical decision-making for specific clinical conditions.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We encourage medical professionals to use this information in conjunction with their best clinical judgment. The presented recommendations may not be appropriate in all situations. Any decision by practitioners to apply these guidelines must be made in light of local resources and individual patient circumstances. 2 AACE/ACE Postmenopausal Osteoporosis CPG, Endocr Pract. 2016;22(Suppl 4) Abbreviations: AACE = American Association of Clinical Endocrinologists; AFF = atypical femur fracture; ASBMR = American Society for Bone and Mineral Research; BEL = best evidence level; BMD = bone mineral density; BTM = bone turnover marker; CBC = complete blood count; CI = confidence interval; DXA = dual-energy X-ray absorptiometry; EL = evidence level; FDA = U.S. Food and Drug Administration; FLEX = Fracture Intervention Trial (FIT) Long-term Extension; FRAX \u00ae = Fracture Risk Assessment Tool; GFR = glomerular filtration rate; GI = gastrointestinal; HORIZON = Health Outcomes and Reduced Incidence with Zoledronic Acid Once Yearly; IOF = International Osteoporosis Foundation; ISCD = International Society for Clinical Densitometry; IU = international units; IV = intravenous; LSC = least significant change; NBHA = National Bone Health Alliance; NOF = National Osteoporosis Foundation; 25(OH)D = 25-hydroxy vita-min D; ONJ = osteonecrosis of the jaw; PINP = serum carboxy-terminal propeptide of type I collagen; PTH = parathyroid hormone; R = recommendation; RANK = receptor activator of nuclear factor kappa-B; RANKL = receptor activator of nuclear factor kappa-B ligand; RCT = randomized controlled trial; RR = relative risk; S-CTX = serum C-terminal telopeptide; SQ = subcuta-neous; VFA = vertebral fracture assessment; WHO = World Health Organization.", "author" : [ { "dropping-particle" : "", "family" : "Camacho", "given" : "Pauline M", "non-dropping-particle" : "", "parse-names" : false, "suffix" : "" }, { "dropping-particle" : "", "family" : "Petak", "given" : "Steven M", "non-dropping-particle" : "", "parse-names" : false, "suffix" : "" }, { "dropping-particle" : "", "family" : "Binkley", "given" : "Neil", "non-dropping-particle" : "", "parse-names" : false, "suffix" : "" }, { "dropping-particle" : "", "family" : "Clarke", "given" : "Bart L", "non-dropping-particle" : "", "parse-names" : false, "suffix" : "" }, { "dropping-particle" : "", "family" : "Harris", "given" : "Steven T", "non-dropping-particle" : "", "parse-names" : false, "suffix" : "" }, { "dropping-particle" : "", "family" : "Daniel Hurley", "given" : "Facp L", "non-dropping-particle" : "", "parse-names" : false, "suffix" : "" }, { "dropping-particle" : "", "family" : "Kleerekoper", "given" : "Michael", "non-dropping-particle" : "", "parse-names" : false, "suffix" : "" }, { "dropping-particle" : "", "family" : "Michael Lewiecki", "given" : "E", "non-dropping-particle" : "", "parse-names" : false, "suffix" : "" }, { "dropping-particle" : "", "family" : "Miller", "given" : "Paul D", "non-dropping-particle" : "", "parse-names" : false, "suffix" : "" }, { "dropping-particle" : "", "family" : "Narula", "given" : "Harmeet S", "non-dropping-particle" : "", "parse-names" : false, "suffix" : "" }, { "dropping-particle" : "", "family" : "Pessah-Pollack", "given" : "Rachel", "non-dropping-particle" : "", "parse-names" : false, "suffix" : "" }, { "dropping-particle" : "", "family" : "Tangpricha", "given" : "Vin", "non-dropping-particle" : "", "parse-names" : false, "suffix" : "" }, { "dropping-particle" : "", "family" : "Wimalawansa", "given" : "Sunil J", "non-dropping-particle" : "", "parse-names" : false, "suffix" : "" }, { "dropping-particle" : "", "family" : "Watts", "given" : "Nelson B", "non-dropping-particle" : "", "parse-names" : false, "suffix" : "" } ], "container-title" : "ENDOCRINE PRACTICE Vol Medicine Endocrinology &amp; Nutrition", "id" : "ITEM-1", "issue" : "14", "issued" : { "date-parts" : [ [ "2016" ] ] }, "title" : "AACE/ACE Guidelines AMERICAN ASSOCIATION OF CLINICAL ENDOCRINOLOGISTS AND AMERICAN COLLEGE OF ENDOCRINOLOGY CLINICAL PRACTICE GUIDELINES FOR THE DIAGNOSIS AND TREATMENT OF POSTMENOPAUSAL OSTEOPOROSIS \u2014 2016", "type" : "article-journal", "volume" : "22" }, "uris" : [ "http://www.mendeley.com/documents/?uuid=67ac6b63-0b6f-3ee1-bab1-a72ed3035e3b" ] } ], "mendeley" : { "formattedCitation" : "&lt;sup&gt;77&lt;/sup&gt;", "plainTextFormattedCitation" : "77", "previouslyFormattedCitation" : "&lt;sup&gt;77&lt;/sup&gt;" }, "properties" : {  }, "schema" : "https://github.com/citation-style-language/schema/raw/master/csl-citation.json" }</w:instrText>
            </w:r>
            <w:r w:rsidRPr="005968A9">
              <w:rPr>
                <w:b/>
                <w:bCs/>
                <w:sz w:val="18"/>
                <w:szCs w:val="18"/>
              </w:rPr>
              <w:fldChar w:fldCharType="separate"/>
            </w:r>
            <w:r w:rsidRPr="00C6554C">
              <w:rPr>
                <w:bCs/>
                <w:noProof/>
                <w:sz w:val="18"/>
                <w:szCs w:val="18"/>
                <w:vertAlign w:val="superscript"/>
              </w:rPr>
              <w:t>77</w:t>
            </w:r>
            <w:r w:rsidRPr="005968A9">
              <w:rPr>
                <w:b/>
                <w:bCs/>
                <w:sz w:val="18"/>
                <w:szCs w:val="18"/>
              </w:rPr>
              <w:fldChar w:fldCharType="end"/>
            </w:r>
          </w:p>
        </w:tc>
        <w:tc>
          <w:tcPr>
            <w:tcW w:w="1275" w:type="dxa"/>
            <w:shd w:val="clear" w:color="auto" w:fill="FFFFFF" w:themeFill="background1"/>
          </w:tcPr>
          <w:p w14:paraId="0A9D26EA" w14:textId="77777777" w:rsidR="00554F3E" w:rsidRPr="005968A9" w:rsidRDefault="00554F3E" w:rsidP="00D76D28">
            <w:pPr>
              <w:tabs>
                <w:tab w:val="left" w:pos="2775"/>
              </w:tabs>
              <w:jc w:val="center"/>
              <w:rPr>
                <w:sz w:val="18"/>
                <w:szCs w:val="18"/>
              </w:rPr>
            </w:pPr>
          </w:p>
          <w:p w14:paraId="49EA884B" w14:textId="77777777" w:rsidR="00554F3E" w:rsidRPr="005968A9" w:rsidRDefault="00554F3E" w:rsidP="00D76D28">
            <w:pPr>
              <w:tabs>
                <w:tab w:val="left" w:pos="2775"/>
              </w:tabs>
              <w:jc w:val="center"/>
              <w:rPr>
                <w:sz w:val="18"/>
                <w:szCs w:val="18"/>
              </w:rPr>
            </w:pPr>
            <w:r w:rsidRPr="005968A9">
              <w:rPr>
                <w:sz w:val="18"/>
                <w:szCs w:val="18"/>
              </w:rPr>
              <w:t>N</w:t>
            </w:r>
          </w:p>
        </w:tc>
        <w:tc>
          <w:tcPr>
            <w:tcW w:w="1560" w:type="dxa"/>
            <w:shd w:val="clear" w:color="auto" w:fill="FFFFFF" w:themeFill="background1"/>
          </w:tcPr>
          <w:p w14:paraId="457B824F" w14:textId="77777777" w:rsidR="00554F3E" w:rsidRPr="005968A9" w:rsidRDefault="00554F3E" w:rsidP="00D76D28">
            <w:pPr>
              <w:tabs>
                <w:tab w:val="left" w:pos="2775"/>
              </w:tabs>
              <w:jc w:val="center"/>
              <w:rPr>
                <w:sz w:val="18"/>
                <w:szCs w:val="18"/>
              </w:rPr>
            </w:pPr>
          </w:p>
          <w:p w14:paraId="2E42DB1B" w14:textId="77777777" w:rsidR="00554F3E" w:rsidRPr="005968A9" w:rsidRDefault="00554F3E" w:rsidP="00D76D28">
            <w:pPr>
              <w:tabs>
                <w:tab w:val="left" w:pos="2775"/>
              </w:tabs>
              <w:jc w:val="center"/>
              <w:rPr>
                <w:sz w:val="18"/>
                <w:szCs w:val="18"/>
              </w:rPr>
            </w:pPr>
            <w:r w:rsidRPr="005968A9">
              <w:rPr>
                <w:sz w:val="18"/>
                <w:szCs w:val="18"/>
              </w:rPr>
              <w:t>N</w:t>
            </w:r>
          </w:p>
        </w:tc>
        <w:tc>
          <w:tcPr>
            <w:tcW w:w="1275" w:type="dxa"/>
            <w:shd w:val="clear" w:color="auto" w:fill="FFFFFF" w:themeFill="background1"/>
          </w:tcPr>
          <w:p w14:paraId="55DC5C72" w14:textId="77777777" w:rsidR="00554F3E" w:rsidRPr="005968A9" w:rsidRDefault="00554F3E" w:rsidP="00D76D28">
            <w:pPr>
              <w:tabs>
                <w:tab w:val="left" w:pos="2775"/>
              </w:tabs>
              <w:jc w:val="center"/>
              <w:rPr>
                <w:sz w:val="18"/>
                <w:szCs w:val="18"/>
              </w:rPr>
            </w:pPr>
          </w:p>
          <w:p w14:paraId="01D35FC1" w14:textId="77777777" w:rsidR="00554F3E" w:rsidRPr="005968A9" w:rsidRDefault="00554F3E" w:rsidP="00D76D28">
            <w:pPr>
              <w:tabs>
                <w:tab w:val="left" w:pos="2775"/>
              </w:tabs>
              <w:jc w:val="center"/>
              <w:rPr>
                <w:sz w:val="18"/>
                <w:szCs w:val="18"/>
              </w:rPr>
            </w:pPr>
            <w:r w:rsidRPr="005968A9">
              <w:rPr>
                <w:sz w:val="18"/>
                <w:szCs w:val="18"/>
              </w:rPr>
              <w:t>N</w:t>
            </w:r>
          </w:p>
        </w:tc>
        <w:tc>
          <w:tcPr>
            <w:tcW w:w="1701" w:type="dxa"/>
            <w:shd w:val="clear" w:color="auto" w:fill="FFFFFF" w:themeFill="background1"/>
          </w:tcPr>
          <w:p w14:paraId="250D1687" w14:textId="77777777" w:rsidR="00554F3E" w:rsidRPr="005968A9" w:rsidRDefault="00554F3E" w:rsidP="00D76D28">
            <w:pPr>
              <w:tabs>
                <w:tab w:val="left" w:pos="2775"/>
              </w:tabs>
              <w:jc w:val="center"/>
              <w:rPr>
                <w:sz w:val="18"/>
                <w:szCs w:val="18"/>
              </w:rPr>
            </w:pPr>
          </w:p>
          <w:p w14:paraId="0226015B" w14:textId="77777777" w:rsidR="00554F3E" w:rsidRPr="005968A9" w:rsidRDefault="00554F3E" w:rsidP="00D76D28">
            <w:pPr>
              <w:tabs>
                <w:tab w:val="left" w:pos="2775"/>
              </w:tabs>
              <w:jc w:val="center"/>
              <w:rPr>
                <w:sz w:val="18"/>
                <w:szCs w:val="18"/>
              </w:rPr>
            </w:pPr>
            <w:r w:rsidRPr="005968A9">
              <w:rPr>
                <w:sz w:val="18"/>
                <w:szCs w:val="18"/>
              </w:rPr>
              <w:t>Y</w:t>
            </w:r>
          </w:p>
        </w:tc>
        <w:tc>
          <w:tcPr>
            <w:tcW w:w="1843" w:type="dxa"/>
            <w:shd w:val="clear" w:color="auto" w:fill="FFFFFF" w:themeFill="background1"/>
          </w:tcPr>
          <w:p w14:paraId="070EAF0B" w14:textId="77777777" w:rsidR="00554F3E" w:rsidRPr="005968A9" w:rsidRDefault="00554F3E" w:rsidP="00D76D28">
            <w:pPr>
              <w:tabs>
                <w:tab w:val="left" w:pos="2775"/>
              </w:tabs>
              <w:jc w:val="center"/>
              <w:rPr>
                <w:sz w:val="18"/>
                <w:szCs w:val="18"/>
              </w:rPr>
            </w:pPr>
          </w:p>
          <w:p w14:paraId="595DE834" w14:textId="77777777" w:rsidR="00554F3E" w:rsidRPr="005968A9" w:rsidRDefault="00554F3E" w:rsidP="00D76D28">
            <w:pPr>
              <w:tabs>
                <w:tab w:val="left" w:pos="2775"/>
              </w:tabs>
              <w:jc w:val="center"/>
              <w:rPr>
                <w:sz w:val="18"/>
                <w:szCs w:val="18"/>
              </w:rPr>
            </w:pPr>
            <w:r w:rsidRPr="005968A9">
              <w:rPr>
                <w:sz w:val="18"/>
                <w:szCs w:val="18"/>
              </w:rPr>
              <w:t>Y</w:t>
            </w:r>
          </w:p>
        </w:tc>
        <w:tc>
          <w:tcPr>
            <w:tcW w:w="1559" w:type="dxa"/>
            <w:shd w:val="clear" w:color="auto" w:fill="FFFFFF" w:themeFill="background1"/>
          </w:tcPr>
          <w:p w14:paraId="02A1EE00" w14:textId="77777777" w:rsidR="00554F3E" w:rsidRPr="005968A9" w:rsidRDefault="00554F3E" w:rsidP="00D76D28">
            <w:pPr>
              <w:tabs>
                <w:tab w:val="left" w:pos="2775"/>
              </w:tabs>
              <w:jc w:val="center"/>
              <w:rPr>
                <w:sz w:val="18"/>
                <w:szCs w:val="18"/>
              </w:rPr>
            </w:pPr>
          </w:p>
          <w:p w14:paraId="19341566" w14:textId="77777777" w:rsidR="00554F3E" w:rsidRPr="005968A9" w:rsidRDefault="00554F3E" w:rsidP="00D76D28">
            <w:pPr>
              <w:tabs>
                <w:tab w:val="left" w:pos="2775"/>
              </w:tabs>
              <w:jc w:val="center"/>
              <w:rPr>
                <w:sz w:val="18"/>
                <w:szCs w:val="18"/>
              </w:rPr>
            </w:pPr>
            <w:r w:rsidRPr="005968A9">
              <w:rPr>
                <w:sz w:val="18"/>
                <w:szCs w:val="18"/>
              </w:rPr>
              <w:t>Y</w:t>
            </w:r>
          </w:p>
        </w:tc>
        <w:tc>
          <w:tcPr>
            <w:tcW w:w="1276" w:type="dxa"/>
            <w:shd w:val="clear" w:color="auto" w:fill="FFFFFF" w:themeFill="background1"/>
          </w:tcPr>
          <w:p w14:paraId="7E25A1A6" w14:textId="77777777" w:rsidR="00554F3E" w:rsidRPr="005968A9" w:rsidRDefault="00554F3E" w:rsidP="00D76D28">
            <w:pPr>
              <w:tabs>
                <w:tab w:val="left" w:pos="2775"/>
              </w:tabs>
              <w:jc w:val="center"/>
              <w:rPr>
                <w:sz w:val="18"/>
                <w:szCs w:val="18"/>
              </w:rPr>
            </w:pPr>
          </w:p>
          <w:p w14:paraId="04B76BF9" w14:textId="77777777" w:rsidR="00554F3E" w:rsidRPr="005968A9" w:rsidRDefault="00554F3E" w:rsidP="00D76D28">
            <w:pPr>
              <w:tabs>
                <w:tab w:val="left" w:pos="2775"/>
              </w:tabs>
              <w:jc w:val="center"/>
              <w:rPr>
                <w:sz w:val="18"/>
                <w:szCs w:val="18"/>
              </w:rPr>
            </w:pPr>
            <w:r w:rsidRPr="005968A9">
              <w:rPr>
                <w:sz w:val="18"/>
                <w:szCs w:val="18"/>
              </w:rPr>
              <w:t>Y</w:t>
            </w:r>
          </w:p>
        </w:tc>
        <w:tc>
          <w:tcPr>
            <w:tcW w:w="992" w:type="dxa"/>
            <w:shd w:val="clear" w:color="auto" w:fill="FFFFFF" w:themeFill="background1"/>
          </w:tcPr>
          <w:p w14:paraId="0BB5DCF1" w14:textId="77777777" w:rsidR="00554F3E" w:rsidRPr="005968A9" w:rsidRDefault="00554F3E" w:rsidP="00D76D28">
            <w:pPr>
              <w:tabs>
                <w:tab w:val="left" w:pos="2775"/>
              </w:tabs>
              <w:jc w:val="center"/>
              <w:rPr>
                <w:sz w:val="18"/>
                <w:szCs w:val="18"/>
              </w:rPr>
            </w:pPr>
          </w:p>
          <w:p w14:paraId="5AE9C6D7" w14:textId="77777777" w:rsidR="00554F3E" w:rsidRPr="005968A9" w:rsidRDefault="00554F3E" w:rsidP="00D76D28">
            <w:pPr>
              <w:tabs>
                <w:tab w:val="left" w:pos="2775"/>
              </w:tabs>
              <w:jc w:val="center"/>
              <w:rPr>
                <w:sz w:val="18"/>
                <w:szCs w:val="18"/>
              </w:rPr>
            </w:pPr>
            <w:r>
              <w:rPr>
                <w:sz w:val="18"/>
                <w:szCs w:val="18"/>
              </w:rPr>
              <w:t>N</w:t>
            </w:r>
          </w:p>
        </w:tc>
        <w:tc>
          <w:tcPr>
            <w:tcW w:w="842" w:type="dxa"/>
            <w:shd w:val="clear" w:color="auto" w:fill="FFFFFF" w:themeFill="background1"/>
          </w:tcPr>
          <w:p w14:paraId="557E1646" w14:textId="77777777" w:rsidR="00554F3E" w:rsidRDefault="00554F3E" w:rsidP="00D76D28">
            <w:pPr>
              <w:tabs>
                <w:tab w:val="left" w:pos="2775"/>
              </w:tabs>
              <w:jc w:val="center"/>
              <w:rPr>
                <w:sz w:val="18"/>
                <w:szCs w:val="18"/>
              </w:rPr>
            </w:pPr>
          </w:p>
          <w:p w14:paraId="6129520C" w14:textId="77777777" w:rsidR="00554F3E" w:rsidRDefault="00554F3E" w:rsidP="00D76D28">
            <w:pPr>
              <w:tabs>
                <w:tab w:val="left" w:pos="2775"/>
              </w:tabs>
              <w:jc w:val="center"/>
              <w:rPr>
                <w:sz w:val="18"/>
                <w:szCs w:val="18"/>
              </w:rPr>
            </w:pPr>
            <w:r>
              <w:rPr>
                <w:sz w:val="18"/>
                <w:szCs w:val="18"/>
              </w:rPr>
              <w:t>4</w:t>
            </w:r>
          </w:p>
        </w:tc>
        <w:tc>
          <w:tcPr>
            <w:tcW w:w="851" w:type="dxa"/>
            <w:shd w:val="clear" w:color="auto" w:fill="FFFFFF" w:themeFill="background1"/>
          </w:tcPr>
          <w:p w14:paraId="093D6F4E" w14:textId="77777777" w:rsidR="00554F3E" w:rsidRPr="005968A9" w:rsidRDefault="00554F3E" w:rsidP="00D76D28">
            <w:pPr>
              <w:tabs>
                <w:tab w:val="left" w:pos="2775"/>
              </w:tabs>
              <w:jc w:val="center"/>
              <w:rPr>
                <w:sz w:val="18"/>
                <w:szCs w:val="18"/>
              </w:rPr>
            </w:pPr>
          </w:p>
          <w:p w14:paraId="14E3A7C1" w14:textId="77777777" w:rsidR="00554F3E" w:rsidRPr="005968A9" w:rsidRDefault="00554F3E" w:rsidP="00D76D28">
            <w:pPr>
              <w:tabs>
                <w:tab w:val="left" w:pos="2775"/>
              </w:tabs>
              <w:jc w:val="center"/>
              <w:rPr>
                <w:sz w:val="18"/>
                <w:szCs w:val="18"/>
              </w:rPr>
            </w:pPr>
          </w:p>
        </w:tc>
      </w:tr>
    </w:tbl>
    <w:p w14:paraId="3A7D822A" w14:textId="77777777" w:rsidR="00554F3E" w:rsidRDefault="00554F3E" w:rsidP="00554F3E">
      <w:pPr>
        <w:tabs>
          <w:tab w:val="left" w:pos="2775"/>
        </w:tabs>
        <w:rPr>
          <w:rFonts w:ascii="Cambria" w:hAnsi="Cambria"/>
          <w:b/>
          <w:bCs/>
        </w:rPr>
      </w:pPr>
    </w:p>
    <w:p w14:paraId="13F54CA8" w14:textId="77777777" w:rsidR="004555FF" w:rsidRDefault="00EA298C">
      <w:bookmarkStart w:id="2" w:name="_GoBack"/>
      <w:bookmarkEnd w:id="2"/>
    </w:p>
    <w:sectPr w:rsidR="004555FF" w:rsidSect="00FE3958">
      <w:headerReference w:type="default" r:id="rId4"/>
      <w:footerReference w:type="default" r:id="rId5"/>
      <w:pgSz w:w="15840" w:h="12240" w:orient="landscape" w:code="1"/>
      <w:pgMar w:top="1440" w:right="1440" w:bottom="1440" w:left="1440"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951857"/>
      <w:docPartObj>
        <w:docPartGallery w:val="Page Numbers (Bottom of Page)"/>
        <w:docPartUnique/>
      </w:docPartObj>
    </w:sdtPr>
    <w:sdtEndPr>
      <w:rPr>
        <w:noProof/>
      </w:rPr>
    </w:sdtEndPr>
    <w:sdtContent>
      <w:p w14:paraId="27826B86" w14:textId="77777777" w:rsidR="00FB3E0F" w:rsidRDefault="00EA298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163C341" w14:textId="77777777" w:rsidR="00FB3E0F" w:rsidRDefault="00EA29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54E7" w14:textId="77777777" w:rsidR="00FB3E0F" w:rsidRPr="0028731A" w:rsidRDefault="00EA298C" w:rsidP="00FE3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58"/>
    <w:rsid w:val="0018791B"/>
    <w:rsid w:val="004A358A"/>
    <w:rsid w:val="004E1F95"/>
    <w:rsid w:val="00554F3E"/>
    <w:rsid w:val="00891158"/>
    <w:rsid w:val="00975574"/>
    <w:rsid w:val="00A17A03"/>
    <w:rsid w:val="00A264FB"/>
    <w:rsid w:val="00E85355"/>
    <w:rsid w:val="00EA298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F7EA5-2431-442E-A779-4C2C2568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F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F3E"/>
    <w:pPr>
      <w:tabs>
        <w:tab w:val="center" w:pos="4680"/>
        <w:tab w:val="right" w:pos="9360"/>
      </w:tabs>
    </w:pPr>
  </w:style>
  <w:style w:type="character" w:customStyle="1" w:styleId="HeaderChar">
    <w:name w:val="Header Char"/>
    <w:basedOn w:val="DefaultParagraphFont"/>
    <w:link w:val="Header"/>
    <w:uiPriority w:val="99"/>
    <w:rsid w:val="00554F3E"/>
    <w:rPr>
      <w:sz w:val="24"/>
      <w:szCs w:val="24"/>
    </w:rPr>
  </w:style>
  <w:style w:type="paragraph" w:styleId="Footer">
    <w:name w:val="footer"/>
    <w:basedOn w:val="Normal"/>
    <w:link w:val="FooterChar"/>
    <w:uiPriority w:val="99"/>
    <w:unhideWhenUsed/>
    <w:rsid w:val="00554F3E"/>
    <w:pPr>
      <w:tabs>
        <w:tab w:val="center" w:pos="4680"/>
        <w:tab w:val="right" w:pos="9360"/>
      </w:tabs>
    </w:pPr>
  </w:style>
  <w:style w:type="character" w:customStyle="1" w:styleId="FooterChar">
    <w:name w:val="Footer Char"/>
    <w:basedOn w:val="DefaultParagraphFont"/>
    <w:link w:val="Footer"/>
    <w:uiPriority w:val="99"/>
    <w:rsid w:val="00554F3E"/>
    <w:rPr>
      <w:sz w:val="24"/>
      <w:szCs w:val="24"/>
    </w:rPr>
  </w:style>
  <w:style w:type="table" w:styleId="TableGrid">
    <w:name w:val="Table Grid"/>
    <w:basedOn w:val="TableList4"/>
    <w:uiPriority w:val="39"/>
    <w:rsid w:val="00554F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554F3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12050</Words>
  <Characters>68686</Characters>
  <Application>Microsoft Office Word</Application>
  <DocSecurity>0</DocSecurity>
  <Lines>572</Lines>
  <Paragraphs>161</Paragraphs>
  <ScaleCrop>false</ScaleCrop>
  <Company/>
  <LinksUpToDate>false</LinksUpToDate>
  <CharactersWithSpaces>80575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Hayawi</dc:creator>
  <cp:keywords/>
  <dc:description/>
  <cp:lastModifiedBy>Lamia Hayawi</cp:lastModifiedBy>
  <cp:revision>3</cp:revision>
  <dcterms:created xsi:type="dcterms:W3CDTF">2018-11-25T02:42:00Z</dcterms:created>
  <dcterms:modified xsi:type="dcterms:W3CDTF">2018-11-25T02:42:00Z</dcterms:modified>
</cp:coreProperties>
</file>