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3C9C" w14:textId="3149577B" w:rsidR="00FB0DD4" w:rsidRDefault="00FB0DD4" w:rsidP="00FB0DD4">
      <w:pPr>
        <w:spacing w:line="480" w:lineRule="auto"/>
        <w:jc w:val="center"/>
        <w:rPr>
          <w:rFonts w:cs="Times New Roman"/>
          <w:b/>
          <w:sz w:val="24"/>
          <w:szCs w:val="24"/>
        </w:rPr>
      </w:pPr>
      <w:r w:rsidRPr="00FB0DD4">
        <w:rPr>
          <w:rFonts w:cs="Times New Roman"/>
          <w:b/>
          <w:sz w:val="24"/>
          <w:szCs w:val="24"/>
        </w:rPr>
        <w:t>S</w:t>
      </w:r>
      <w:r w:rsidR="006A3B59">
        <w:rPr>
          <w:rFonts w:cs="Times New Roman"/>
          <w:b/>
          <w:sz w:val="24"/>
          <w:szCs w:val="24"/>
        </w:rPr>
        <w:t>1</w:t>
      </w:r>
      <w:r w:rsidRPr="00FB0DD4">
        <w:rPr>
          <w:rFonts w:cs="Times New Roman"/>
          <w:b/>
          <w:sz w:val="24"/>
          <w:szCs w:val="24"/>
        </w:rPr>
        <w:t xml:space="preserve"> Coding Examples</w:t>
      </w:r>
      <w:r w:rsidR="0036427C">
        <w:rPr>
          <w:rFonts w:cs="Times New Roman"/>
          <w:b/>
          <w:sz w:val="24"/>
          <w:szCs w:val="24"/>
        </w:rPr>
        <w:t>.</w:t>
      </w:r>
      <w:bookmarkStart w:id="0" w:name="_GoBack"/>
      <w:bookmarkEnd w:id="0"/>
    </w:p>
    <w:p w14:paraId="49F01743" w14:textId="02B8B47C" w:rsidR="00FB0DD4" w:rsidRPr="00FB0DD4" w:rsidRDefault="00FB0DD4" w:rsidP="00FB0DD4">
      <w:pPr>
        <w:spacing w:line="480" w:lineRule="auto"/>
        <w:jc w:val="center"/>
        <w:rPr>
          <w:rFonts w:cs="Times New Roman"/>
          <w:b/>
          <w:sz w:val="24"/>
          <w:szCs w:val="24"/>
        </w:rPr>
      </w:pPr>
      <w:r>
        <w:rPr>
          <w:rFonts w:cs="Times New Roman"/>
          <w:sz w:val="24"/>
          <w:szCs w:val="24"/>
        </w:rPr>
        <w:t xml:space="preserve">Examples </w:t>
      </w:r>
      <w:r w:rsidR="00BE131D">
        <w:rPr>
          <w:rFonts w:cs="Times New Roman"/>
          <w:sz w:val="24"/>
          <w:szCs w:val="24"/>
        </w:rPr>
        <w:t xml:space="preserve">demonstrating </w:t>
      </w:r>
      <w:r>
        <w:rPr>
          <w:rFonts w:cs="Times New Roman"/>
          <w:sz w:val="24"/>
          <w:szCs w:val="24"/>
        </w:rPr>
        <w:t>how the various transformation cases were coded.</w:t>
      </w:r>
      <w:r w:rsidRPr="00FB0DD4">
        <w:rPr>
          <w:rFonts w:cs="Times New Roman"/>
          <w:b/>
          <w:sz w:val="24"/>
          <w:szCs w:val="24"/>
        </w:rPr>
        <w:br w:type="page"/>
      </w:r>
    </w:p>
    <w:p w14:paraId="0E41F600" w14:textId="0D50A9CE" w:rsidR="007C2A10" w:rsidRPr="00AE68DF" w:rsidRDefault="00FB0DD4" w:rsidP="007C2A10">
      <w:pPr>
        <w:spacing w:line="480" w:lineRule="auto"/>
        <w:rPr>
          <w:rFonts w:cs="Times New Roman"/>
          <w:sz w:val="24"/>
          <w:szCs w:val="24"/>
        </w:rPr>
      </w:pPr>
      <w:r>
        <w:rPr>
          <w:rFonts w:cs="Times New Roman"/>
          <w:sz w:val="24"/>
          <w:szCs w:val="24"/>
        </w:rPr>
        <w:lastRenderedPageBreak/>
        <w:t xml:space="preserve">1) </w:t>
      </w:r>
      <w:r w:rsidR="007C2A10" w:rsidRPr="00C12D1D">
        <w:rPr>
          <w:rStyle w:val="Emphasis"/>
          <w:sz w:val="24"/>
          <w:szCs w:val="24"/>
        </w:rPr>
        <w:t>Landnám</w:t>
      </w:r>
      <w:r w:rsidR="007C2A10">
        <w:rPr>
          <w:rStyle w:val="Emphasis"/>
        </w:rPr>
        <w:t xml:space="preserve"> </w:t>
      </w:r>
      <w:r w:rsidR="007C2A10">
        <w:rPr>
          <w:rFonts w:cs="Times New Roman"/>
          <w:sz w:val="24"/>
          <w:szCs w:val="24"/>
        </w:rPr>
        <w:t xml:space="preserve">means “taking land” in Old Norse, and it is used to refer to the Norse colonization of parts of the North Atlantic, including Greenland, Iceland, and the Faroe Islands, transformation cases </w:t>
      </w:r>
      <w:r w:rsidR="007C2A10">
        <w:rPr>
          <w:rFonts w:cs="Times New Roman"/>
          <w:b/>
          <w:sz w:val="24"/>
          <w:szCs w:val="24"/>
        </w:rPr>
        <w:t xml:space="preserve">GE1, </w:t>
      </w:r>
      <w:proofErr w:type="spellStart"/>
      <w:r w:rsidR="007C2A10" w:rsidRPr="00C12D1D">
        <w:rPr>
          <w:rFonts w:cs="Times New Roman"/>
          <w:b/>
          <w:sz w:val="24"/>
          <w:szCs w:val="24"/>
        </w:rPr>
        <w:t>I1</w:t>
      </w:r>
      <w:proofErr w:type="spellEnd"/>
      <w:r w:rsidR="007C2A10" w:rsidRPr="00C12D1D">
        <w:rPr>
          <w:rFonts w:cs="Times New Roman"/>
          <w:b/>
          <w:sz w:val="24"/>
          <w:szCs w:val="24"/>
        </w:rPr>
        <w:t xml:space="preserve">, </w:t>
      </w:r>
      <w:proofErr w:type="spellStart"/>
      <w:r w:rsidR="007C2A10" w:rsidRPr="00C12D1D">
        <w:rPr>
          <w:rFonts w:cs="Times New Roman"/>
          <w:b/>
          <w:sz w:val="24"/>
          <w:szCs w:val="24"/>
        </w:rPr>
        <w:t>F1</w:t>
      </w:r>
      <w:proofErr w:type="spellEnd"/>
      <w:r w:rsidR="007C2A10">
        <w:rPr>
          <w:rFonts w:cs="Times New Roman"/>
          <w:b/>
          <w:sz w:val="24"/>
          <w:szCs w:val="24"/>
        </w:rPr>
        <w:t xml:space="preserve"> </w:t>
      </w:r>
      <w:r w:rsidRPr="00FB0DD4">
        <w:rPr>
          <w:rFonts w:cs="Times New Roman"/>
          <w:sz w:val="24"/>
        </w:rPr>
        <w:t>[1,2]</w:t>
      </w:r>
      <w:r w:rsidR="007C2A10">
        <w:rPr>
          <w:rFonts w:cs="Times New Roman"/>
          <w:sz w:val="24"/>
          <w:szCs w:val="24"/>
        </w:rPr>
        <w:t xml:space="preserve">. The colonizers brought material and institutions with them and established new ways of life.  In all these cases </w:t>
      </w:r>
      <w:r w:rsidR="007C2A10" w:rsidRPr="00AE68DF">
        <w:rPr>
          <w:smallCaps/>
          <w:sz w:val="24"/>
          <w:szCs w:val="24"/>
        </w:rPr>
        <w:t>in-migration</w:t>
      </w:r>
      <w:r w:rsidR="007C2A10" w:rsidRPr="00AE68DF">
        <w:rPr>
          <w:sz w:val="24"/>
          <w:szCs w:val="24"/>
        </w:rPr>
        <w:t xml:space="preserve"> </w:t>
      </w:r>
      <w:r w:rsidR="007C2A10">
        <w:rPr>
          <w:rFonts w:cs="Times New Roman"/>
          <w:sz w:val="24"/>
          <w:szCs w:val="24"/>
        </w:rPr>
        <w:t>was coded as 1 because there was “e</w:t>
      </w:r>
      <w:r w:rsidR="007C2A10" w:rsidRPr="000C6D11">
        <w:rPr>
          <w:rFonts w:cs="Times New Roman"/>
          <w:sz w:val="24"/>
          <w:szCs w:val="24"/>
        </w:rPr>
        <w:t xml:space="preserve">vidence for the establishment of new communities </w:t>
      </w:r>
      <w:r w:rsidR="007C2A10">
        <w:rPr>
          <w:rFonts w:cs="Times New Roman"/>
          <w:sz w:val="24"/>
          <w:szCs w:val="24"/>
        </w:rPr>
        <w:t xml:space="preserve">. . . </w:t>
      </w:r>
      <w:r w:rsidR="007C2A10" w:rsidRPr="000C6D11">
        <w:rPr>
          <w:rFonts w:cs="Times New Roman"/>
          <w:sz w:val="24"/>
          <w:szCs w:val="24"/>
        </w:rPr>
        <w:t>by immigrants from outside the region</w:t>
      </w:r>
      <w:r w:rsidR="007C2A10">
        <w:rPr>
          <w:rFonts w:cs="Times New Roman"/>
          <w:sz w:val="24"/>
          <w:szCs w:val="24"/>
        </w:rPr>
        <w:t xml:space="preserve">.”  For these cases, the two key variables </w:t>
      </w:r>
      <w:r w:rsidR="007C2A10" w:rsidRPr="00C51936">
        <w:rPr>
          <w:smallCaps/>
          <w:sz w:val="24"/>
          <w:szCs w:val="24"/>
        </w:rPr>
        <w:t>institutional breakdown</w:t>
      </w:r>
      <w:r w:rsidR="007C2A10" w:rsidRPr="00C51936">
        <w:rPr>
          <w:rFonts w:cs="Times New Roman"/>
          <w:sz w:val="24"/>
          <w:szCs w:val="24"/>
        </w:rPr>
        <w:t xml:space="preserve"> and </w:t>
      </w:r>
      <w:r w:rsidR="007C2A10" w:rsidRPr="00C51936">
        <w:rPr>
          <w:smallCaps/>
          <w:sz w:val="24"/>
          <w:szCs w:val="24"/>
        </w:rPr>
        <w:t>depopulation</w:t>
      </w:r>
      <w:r w:rsidR="007C2A10" w:rsidRPr="00883B85">
        <w:rPr>
          <w:b/>
          <w:i/>
          <w:smallCaps/>
          <w:sz w:val="24"/>
          <w:szCs w:val="24"/>
        </w:rPr>
        <w:t xml:space="preserve"> </w:t>
      </w:r>
      <w:r w:rsidR="007C2A10">
        <w:rPr>
          <w:rFonts w:cs="Times New Roman"/>
          <w:sz w:val="24"/>
          <w:szCs w:val="24"/>
        </w:rPr>
        <w:t xml:space="preserve">were coded as exhibiting no change (INST = 0, DPOP = 0).  </w:t>
      </w:r>
    </w:p>
    <w:p w14:paraId="1387057E" w14:textId="77777777" w:rsidR="007C2A10" w:rsidRDefault="007C2A10" w:rsidP="007C2A10">
      <w:pPr>
        <w:spacing w:line="480" w:lineRule="auto"/>
        <w:rPr>
          <w:rFonts w:cs="Times New Roman"/>
          <w:sz w:val="24"/>
          <w:szCs w:val="24"/>
        </w:rPr>
      </w:pPr>
    </w:p>
    <w:p w14:paraId="3DEA5BAF" w14:textId="3A017B24" w:rsidR="007C2A10" w:rsidRDefault="00FB0DD4" w:rsidP="007C2A10">
      <w:pPr>
        <w:spacing w:line="480" w:lineRule="auto"/>
        <w:rPr>
          <w:rFonts w:cs="Times New Roman"/>
          <w:sz w:val="24"/>
          <w:szCs w:val="24"/>
        </w:rPr>
      </w:pPr>
      <w:r>
        <w:rPr>
          <w:rFonts w:cs="Times New Roman"/>
          <w:sz w:val="24"/>
          <w:szCs w:val="24"/>
        </w:rPr>
        <w:t xml:space="preserve">2) </w:t>
      </w:r>
      <w:r w:rsidR="007C2A10">
        <w:rPr>
          <w:rFonts w:cs="Times New Roman"/>
          <w:sz w:val="24"/>
          <w:szCs w:val="24"/>
        </w:rPr>
        <w:t xml:space="preserve">In the Faroe Islands changes in law and custom were institutionalized with a document known as the “Sheep Letter” in CE 1298, transformation </w:t>
      </w:r>
      <w:proofErr w:type="spellStart"/>
      <w:r w:rsidR="007C2A10">
        <w:rPr>
          <w:rFonts w:cs="Times New Roman"/>
          <w:b/>
          <w:sz w:val="24"/>
          <w:szCs w:val="24"/>
        </w:rPr>
        <w:t>F2</w:t>
      </w:r>
      <w:proofErr w:type="spellEnd"/>
      <w:r w:rsidR="007C2A10">
        <w:rPr>
          <w:rFonts w:cs="Times New Roman"/>
          <w:b/>
          <w:sz w:val="24"/>
          <w:szCs w:val="24"/>
        </w:rPr>
        <w:t xml:space="preserve"> </w:t>
      </w:r>
      <w:r w:rsidRPr="00FB0DD4">
        <w:rPr>
          <w:rFonts w:cs="Times New Roman"/>
          <w:sz w:val="24"/>
        </w:rPr>
        <w:t>[3]</w:t>
      </w:r>
      <w:r w:rsidR="007C2A10">
        <w:rPr>
          <w:rFonts w:cs="Times New Roman"/>
          <w:sz w:val="24"/>
          <w:szCs w:val="24"/>
        </w:rPr>
        <w:t xml:space="preserve">.  Slavery was abolished, but there were new laws prohibiting former slaves from owning land and legitimizing the rights of elite landowners. These changes mostly reinforced existing institutions and there was no depopulation, thus the key variables (INST and DPOP) are coded as 0.  Although slavery came to an end, the power of the elite increased, and existing inequalities were codified, thus </w:t>
      </w:r>
      <w:r w:rsidR="007C2A10" w:rsidRPr="00397F38">
        <w:rPr>
          <w:rFonts w:cs="Times New Roman"/>
          <w:smallCaps/>
          <w:sz w:val="24"/>
          <w:szCs w:val="24"/>
        </w:rPr>
        <w:t>power differences</w:t>
      </w:r>
      <w:r w:rsidR="007C2A10">
        <w:rPr>
          <w:rFonts w:cs="Times New Roman"/>
          <w:sz w:val="24"/>
          <w:szCs w:val="24"/>
        </w:rPr>
        <w:t xml:space="preserve"> increased (POWD = .75). </w:t>
      </w:r>
    </w:p>
    <w:p w14:paraId="62CC2928" w14:textId="77777777" w:rsidR="007C2A10" w:rsidRDefault="007C2A10" w:rsidP="007C2A10">
      <w:pPr>
        <w:spacing w:line="480" w:lineRule="auto"/>
        <w:rPr>
          <w:rFonts w:cs="Times New Roman"/>
          <w:sz w:val="24"/>
          <w:szCs w:val="24"/>
        </w:rPr>
      </w:pPr>
    </w:p>
    <w:p w14:paraId="4D53C28A" w14:textId="2FF5B218" w:rsidR="007C2A10" w:rsidRDefault="00FB0DD4" w:rsidP="007C2A10">
      <w:pPr>
        <w:spacing w:line="480" w:lineRule="auto"/>
        <w:rPr>
          <w:rFonts w:cs="Times New Roman"/>
          <w:sz w:val="24"/>
          <w:szCs w:val="24"/>
        </w:rPr>
      </w:pPr>
      <w:r>
        <w:rPr>
          <w:rFonts w:cs="Times New Roman"/>
          <w:sz w:val="24"/>
          <w:szCs w:val="24"/>
        </w:rPr>
        <w:t xml:space="preserve">3) </w:t>
      </w:r>
      <w:r w:rsidR="007C2A10">
        <w:rPr>
          <w:rFonts w:cs="Times New Roman"/>
          <w:sz w:val="24"/>
          <w:szCs w:val="24"/>
        </w:rPr>
        <w:t>Many transformations involve a mix of change and continuity. For example, in the Zuni sequence in the Southwest, the Pueblo III to Pueblo IV (</w:t>
      </w:r>
      <w:r w:rsidR="007C2A10">
        <w:rPr>
          <w:rFonts w:cs="Times New Roman"/>
          <w:b/>
          <w:sz w:val="24"/>
          <w:szCs w:val="24"/>
        </w:rPr>
        <w:t xml:space="preserve">Z1) </w:t>
      </w:r>
      <w:r w:rsidR="007C2A10">
        <w:rPr>
          <w:rFonts w:cs="Times New Roman"/>
          <w:sz w:val="24"/>
          <w:szCs w:val="24"/>
        </w:rPr>
        <w:t xml:space="preserve">transformation in the late CE 1200s was a rapid shift from dispersed to nucleated settlement with considerable continuity of the population and institutions </w:t>
      </w:r>
      <w:r w:rsidRPr="00FB0DD4">
        <w:rPr>
          <w:rFonts w:cs="Times New Roman"/>
          <w:sz w:val="24"/>
        </w:rPr>
        <w:t>[4]</w:t>
      </w:r>
      <w:r w:rsidR="007C2A10">
        <w:rPr>
          <w:rFonts w:cs="Times New Roman"/>
          <w:sz w:val="24"/>
          <w:szCs w:val="24"/>
        </w:rPr>
        <w:t xml:space="preserve">.  Thus, the key variables are coded as 0, but </w:t>
      </w:r>
      <w:r w:rsidR="007C2A10" w:rsidRPr="00C51936">
        <w:rPr>
          <w:smallCaps/>
          <w:sz w:val="24"/>
          <w:szCs w:val="24"/>
        </w:rPr>
        <w:t>community organization</w:t>
      </w:r>
      <w:r w:rsidR="007C2A10">
        <w:rPr>
          <w:rFonts w:cs="Times New Roman"/>
          <w:sz w:val="24"/>
          <w:szCs w:val="24"/>
        </w:rPr>
        <w:t xml:space="preserve"> is coded as exhibiting major changes (CORG=1).  The later Pueblo IV to Protohistoric (</w:t>
      </w:r>
      <w:r w:rsidR="007C2A10">
        <w:rPr>
          <w:rFonts w:cs="Times New Roman"/>
          <w:b/>
          <w:sz w:val="24"/>
          <w:szCs w:val="24"/>
        </w:rPr>
        <w:t xml:space="preserve">Z2) </w:t>
      </w:r>
      <w:r w:rsidR="007C2A10">
        <w:rPr>
          <w:rFonts w:cs="Times New Roman"/>
          <w:sz w:val="24"/>
          <w:szCs w:val="24"/>
        </w:rPr>
        <w:t xml:space="preserve">transformation in the late CE 1300s involved some demographic continuity as well as in-migration as people moved to a new series of sites within the region </w:t>
      </w:r>
      <w:r w:rsidRPr="00FB0DD4">
        <w:rPr>
          <w:rFonts w:cs="Times New Roman"/>
          <w:sz w:val="24"/>
        </w:rPr>
        <w:t>[5,6]</w:t>
      </w:r>
      <w:r w:rsidR="007C2A10">
        <w:rPr>
          <w:rFonts w:cs="Times New Roman"/>
          <w:sz w:val="24"/>
          <w:szCs w:val="24"/>
        </w:rPr>
        <w:t xml:space="preserve">.  Thus, </w:t>
      </w:r>
      <w:r w:rsidR="007C2A10">
        <w:rPr>
          <w:rFonts w:cs="Times New Roman"/>
          <w:sz w:val="24"/>
          <w:szCs w:val="24"/>
        </w:rPr>
        <w:lastRenderedPageBreak/>
        <w:t xml:space="preserve">changes in </w:t>
      </w:r>
      <w:r w:rsidR="007C2A10" w:rsidRPr="00C51936">
        <w:rPr>
          <w:smallCaps/>
          <w:sz w:val="24"/>
          <w:szCs w:val="24"/>
        </w:rPr>
        <w:t>community organization</w:t>
      </w:r>
      <w:r w:rsidR="007C2A10">
        <w:rPr>
          <w:smallCaps/>
          <w:sz w:val="24"/>
          <w:szCs w:val="24"/>
        </w:rPr>
        <w:t xml:space="preserve"> </w:t>
      </w:r>
      <w:r w:rsidR="007C2A10" w:rsidRPr="00613131">
        <w:rPr>
          <w:sz w:val="24"/>
          <w:szCs w:val="24"/>
        </w:rPr>
        <w:t>and</w:t>
      </w:r>
      <w:r w:rsidR="007C2A10">
        <w:rPr>
          <w:rFonts w:cs="Times New Roman"/>
          <w:sz w:val="24"/>
          <w:szCs w:val="24"/>
        </w:rPr>
        <w:t xml:space="preserve"> </w:t>
      </w:r>
      <w:r w:rsidR="007C2A10" w:rsidRPr="00AE68DF">
        <w:rPr>
          <w:smallCaps/>
          <w:sz w:val="24"/>
          <w:szCs w:val="24"/>
        </w:rPr>
        <w:t>in-migration</w:t>
      </w:r>
      <w:r w:rsidR="007C2A10" w:rsidRPr="00AE68DF">
        <w:rPr>
          <w:sz w:val="24"/>
          <w:szCs w:val="24"/>
        </w:rPr>
        <w:t xml:space="preserve"> </w:t>
      </w:r>
      <w:r w:rsidR="007C2A10">
        <w:rPr>
          <w:sz w:val="24"/>
          <w:szCs w:val="24"/>
        </w:rPr>
        <w:t xml:space="preserve">are both coded as having been substantial, but with some continuity (CORG = 0.75, IMG = 0.75).  </w:t>
      </w:r>
    </w:p>
    <w:p w14:paraId="215B0E43" w14:textId="77777777" w:rsidR="007C2A10" w:rsidRDefault="007C2A10" w:rsidP="007C2A10">
      <w:pPr>
        <w:spacing w:line="480" w:lineRule="auto"/>
        <w:rPr>
          <w:rFonts w:cs="Times New Roman"/>
          <w:sz w:val="24"/>
          <w:szCs w:val="24"/>
        </w:rPr>
      </w:pPr>
    </w:p>
    <w:p w14:paraId="3D3EE9EC" w14:textId="4A45EFD9" w:rsidR="007C2A10" w:rsidRDefault="00FB0DD4" w:rsidP="007C2A10">
      <w:pPr>
        <w:spacing w:line="480" w:lineRule="auto"/>
        <w:rPr>
          <w:rFonts w:cs="Times New Roman"/>
          <w:sz w:val="24"/>
          <w:szCs w:val="24"/>
        </w:rPr>
      </w:pPr>
      <w:r>
        <w:rPr>
          <w:rFonts w:cs="Times New Roman"/>
          <w:sz w:val="24"/>
          <w:szCs w:val="24"/>
        </w:rPr>
        <w:t xml:space="preserve">4) </w:t>
      </w:r>
      <w:r w:rsidR="007C2A10">
        <w:rPr>
          <w:rFonts w:cs="Times New Roman"/>
          <w:sz w:val="24"/>
          <w:szCs w:val="24"/>
        </w:rPr>
        <w:t>Other transformations involve large population losses or movements and are the termination of a known sequence, including the end of the Norse occupation of Greenland (</w:t>
      </w:r>
      <w:r w:rsidR="007C2A10">
        <w:rPr>
          <w:rFonts w:cs="Times New Roman"/>
          <w:b/>
          <w:sz w:val="24"/>
          <w:szCs w:val="24"/>
        </w:rPr>
        <w:t xml:space="preserve">GE3), </w:t>
      </w:r>
      <w:r w:rsidR="007C2A10">
        <w:rPr>
          <w:rFonts w:cs="Times New Roman"/>
          <w:sz w:val="24"/>
          <w:szCs w:val="24"/>
        </w:rPr>
        <w:t>the end of the Hohokam Classic irrigation system and population decline (</w:t>
      </w:r>
      <w:r w:rsidR="007C2A10">
        <w:rPr>
          <w:rFonts w:cs="Times New Roman"/>
          <w:b/>
          <w:sz w:val="24"/>
          <w:szCs w:val="24"/>
        </w:rPr>
        <w:t xml:space="preserve">H2), </w:t>
      </w:r>
      <w:r w:rsidR="007C2A10">
        <w:rPr>
          <w:rFonts w:cs="Times New Roman"/>
          <w:sz w:val="24"/>
          <w:szCs w:val="24"/>
        </w:rPr>
        <w:t>and the large-scale depopulation of the Mesa Verde region (</w:t>
      </w:r>
      <w:r w:rsidR="007C2A10">
        <w:rPr>
          <w:rFonts w:cs="Times New Roman"/>
          <w:b/>
          <w:sz w:val="24"/>
          <w:szCs w:val="24"/>
        </w:rPr>
        <w:t xml:space="preserve">MV2). </w:t>
      </w:r>
      <w:r w:rsidR="007C2A10">
        <w:rPr>
          <w:rFonts w:cs="Times New Roman"/>
          <w:sz w:val="24"/>
          <w:szCs w:val="24"/>
        </w:rPr>
        <w:t xml:space="preserve"> In these cases, our analysis focused on the last part of the occupation culminating in the population movement or decline.  In all these transformation cases the key variables are coded as exhibiting major changes (INST = 1 and DPOP = 1). </w:t>
      </w:r>
    </w:p>
    <w:p w14:paraId="31A0C473" w14:textId="77777777" w:rsidR="007C2A10" w:rsidRDefault="007C2A10" w:rsidP="007C2A10">
      <w:pPr>
        <w:spacing w:line="480" w:lineRule="auto"/>
        <w:rPr>
          <w:rFonts w:cs="Times New Roman"/>
          <w:sz w:val="24"/>
          <w:szCs w:val="24"/>
        </w:rPr>
      </w:pPr>
    </w:p>
    <w:p w14:paraId="7F9D2EB7" w14:textId="2A26E724" w:rsidR="007C2A10" w:rsidRDefault="00FB0DD4" w:rsidP="007C2A10">
      <w:pPr>
        <w:spacing w:line="480" w:lineRule="auto"/>
        <w:rPr>
          <w:rFonts w:cs="Times New Roman"/>
          <w:sz w:val="24"/>
          <w:szCs w:val="24"/>
        </w:rPr>
      </w:pPr>
      <w:r>
        <w:rPr>
          <w:rFonts w:cs="Times New Roman"/>
          <w:sz w:val="24"/>
          <w:szCs w:val="24"/>
        </w:rPr>
        <w:t xml:space="preserve">5) </w:t>
      </w:r>
      <w:r w:rsidR="007C2A10">
        <w:rPr>
          <w:rFonts w:cs="Times New Roman"/>
          <w:sz w:val="24"/>
          <w:szCs w:val="24"/>
        </w:rPr>
        <w:t xml:space="preserve"> The end of the Norse colonies on Greenland (</w:t>
      </w:r>
      <w:r w:rsidR="007C2A10">
        <w:rPr>
          <w:rFonts w:cs="Times New Roman"/>
          <w:b/>
          <w:sz w:val="24"/>
          <w:szCs w:val="24"/>
        </w:rPr>
        <w:t>GE3</w:t>
      </w:r>
      <w:r w:rsidR="007C2A10" w:rsidRPr="00ED179B">
        <w:rPr>
          <w:rFonts w:cs="Times New Roman"/>
          <w:sz w:val="24"/>
          <w:szCs w:val="24"/>
        </w:rPr>
        <w:t>) i</w:t>
      </w:r>
      <w:r w:rsidR="007C2A10">
        <w:rPr>
          <w:rFonts w:cs="Times New Roman"/>
          <w:sz w:val="24"/>
          <w:szCs w:val="24"/>
        </w:rPr>
        <w:t xml:space="preserve">s not well understood and subject to considerable debate.  Clearly times were difficult, the colonies were increasingly cut off from trade with Europe (TRD = 1), population decline would have led to a decline in the communal order and thus </w:t>
      </w:r>
      <w:r w:rsidR="007C2A10" w:rsidRPr="00333CF8">
        <w:rPr>
          <w:rFonts w:cs="Times New Roman"/>
          <w:smallCaps/>
          <w:sz w:val="24"/>
          <w:szCs w:val="24"/>
        </w:rPr>
        <w:t>community security</w:t>
      </w:r>
      <w:r w:rsidR="007C2A10">
        <w:rPr>
          <w:rFonts w:cs="Times New Roman"/>
          <w:sz w:val="24"/>
          <w:szCs w:val="24"/>
        </w:rPr>
        <w:t xml:space="preserve">  (COMM = 1), and there is evidence of </w:t>
      </w:r>
      <w:r w:rsidR="007C2A10" w:rsidRPr="00333CF8">
        <w:rPr>
          <w:rFonts w:cs="Times New Roman"/>
          <w:smallCaps/>
          <w:sz w:val="24"/>
          <w:szCs w:val="24"/>
        </w:rPr>
        <w:t>food insecurity</w:t>
      </w:r>
      <w:r w:rsidR="007C2A10">
        <w:rPr>
          <w:rFonts w:cs="Times New Roman"/>
          <w:sz w:val="24"/>
          <w:szCs w:val="24"/>
        </w:rPr>
        <w:t xml:space="preserve"> and starvation (</w:t>
      </w:r>
      <w:proofErr w:type="spellStart"/>
      <w:r w:rsidR="007C2A10">
        <w:rPr>
          <w:rFonts w:cs="Times New Roman"/>
          <w:sz w:val="24"/>
          <w:szCs w:val="24"/>
        </w:rPr>
        <w:t>FDshort</w:t>
      </w:r>
      <w:proofErr w:type="spellEnd"/>
      <w:r w:rsidR="007C2A10">
        <w:rPr>
          <w:rFonts w:cs="Times New Roman"/>
          <w:sz w:val="24"/>
          <w:szCs w:val="24"/>
        </w:rPr>
        <w:t xml:space="preserve"> = 1), especially in the Western Settlement </w:t>
      </w:r>
      <w:r w:rsidRPr="00FB0DD4">
        <w:rPr>
          <w:rFonts w:cs="Times New Roman"/>
          <w:sz w:val="24"/>
        </w:rPr>
        <w:t>[7,8]</w:t>
      </w:r>
      <w:r w:rsidR="007C2A10">
        <w:rPr>
          <w:rFonts w:cs="Times New Roman"/>
          <w:sz w:val="24"/>
          <w:szCs w:val="24"/>
        </w:rPr>
        <w:t xml:space="preserve">.  Some argue that the last settlers died of starvation </w:t>
      </w:r>
      <w:r w:rsidRPr="00FB0DD4">
        <w:rPr>
          <w:rFonts w:cs="Times New Roman"/>
          <w:sz w:val="24"/>
        </w:rPr>
        <w:t>[7,9]</w:t>
      </w:r>
      <w:r w:rsidR="007C2A10">
        <w:rPr>
          <w:rFonts w:cs="Times New Roman"/>
          <w:sz w:val="24"/>
          <w:szCs w:val="24"/>
        </w:rPr>
        <w:t xml:space="preserve"> while others think the remaining population left by boat </w:t>
      </w:r>
      <w:r w:rsidRPr="00FB0DD4">
        <w:rPr>
          <w:rFonts w:cs="Times New Roman"/>
          <w:sz w:val="24"/>
        </w:rPr>
        <w:t>[10]</w:t>
      </w:r>
      <w:r w:rsidR="007C2A10">
        <w:rPr>
          <w:rFonts w:cs="Times New Roman"/>
          <w:sz w:val="24"/>
          <w:szCs w:val="24"/>
        </w:rPr>
        <w:t xml:space="preserve">.  Thus, the transformation is coded as experiencing </w:t>
      </w:r>
      <w:r w:rsidR="007C2A10" w:rsidRPr="00333CF8">
        <w:rPr>
          <w:rFonts w:cs="Times New Roman"/>
          <w:smallCaps/>
          <w:sz w:val="24"/>
          <w:szCs w:val="24"/>
        </w:rPr>
        <w:t>institutional</w:t>
      </w:r>
      <w:r w:rsidR="007C2A10">
        <w:rPr>
          <w:rFonts w:cs="Times New Roman"/>
          <w:sz w:val="24"/>
          <w:szCs w:val="24"/>
        </w:rPr>
        <w:t xml:space="preserve"> </w:t>
      </w:r>
      <w:r w:rsidR="007C2A10" w:rsidRPr="00333CF8">
        <w:rPr>
          <w:rFonts w:cs="Times New Roman"/>
          <w:smallCaps/>
          <w:sz w:val="24"/>
          <w:szCs w:val="24"/>
        </w:rPr>
        <w:t>breakdown</w:t>
      </w:r>
      <w:r w:rsidR="007C2A10">
        <w:rPr>
          <w:rFonts w:cs="Times New Roman"/>
          <w:sz w:val="24"/>
          <w:szCs w:val="24"/>
        </w:rPr>
        <w:t xml:space="preserve"> and </w:t>
      </w:r>
      <w:r w:rsidR="007C2A10" w:rsidRPr="00333CF8">
        <w:rPr>
          <w:rFonts w:cs="Times New Roman"/>
          <w:smallCaps/>
          <w:sz w:val="24"/>
          <w:szCs w:val="24"/>
        </w:rPr>
        <w:t>depopulation</w:t>
      </w:r>
      <w:r w:rsidR="007C2A10">
        <w:rPr>
          <w:rFonts w:cs="Times New Roman"/>
          <w:sz w:val="24"/>
          <w:szCs w:val="24"/>
        </w:rPr>
        <w:t xml:space="preserve"> (INST = 1, DPOP = 1), but no change in many nature of change variables simply because no change is known. </w:t>
      </w:r>
    </w:p>
    <w:p w14:paraId="11E58777" w14:textId="12C305D9" w:rsidR="00C46EB7" w:rsidRDefault="00C46EB7" w:rsidP="007C2A10">
      <w:pPr>
        <w:spacing w:line="480" w:lineRule="auto"/>
        <w:rPr>
          <w:rFonts w:cs="Times New Roman"/>
          <w:sz w:val="24"/>
          <w:szCs w:val="24"/>
        </w:rPr>
      </w:pPr>
    </w:p>
    <w:p w14:paraId="5EC41DB0" w14:textId="24B3CA32" w:rsidR="00C46EB7" w:rsidRDefault="00C46EB7" w:rsidP="007C2A10">
      <w:pPr>
        <w:spacing w:line="480" w:lineRule="auto"/>
        <w:rPr>
          <w:rFonts w:cs="Times New Roman"/>
          <w:sz w:val="24"/>
          <w:szCs w:val="24"/>
        </w:rPr>
      </w:pPr>
    </w:p>
    <w:p w14:paraId="2060B12A" w14:textId="77777777" w:rsidR="00C46EB7" w:rsidRDefault="00C46EB7" w:rsidP="007C2A10">
      <w:pPr>
        <w:spacing w:line="480" w:lineRule="auto"/>
        <w:rPr>
          <w:rFonts w:cs="Times New Roman"/>
          <w:sz w:val="24"/>
          <w:szCs w:val="24"/>
        </w:rPr>
      </w:pPr>
    </w:p>
    <w:p w14:paraId="2AA18DA0" w14:textId="77777777" w:rsidR="00C46EB7" w:rsidRPr="00E357FE" w:rsidRDefault="00C46EB7" w:rsidP="00C46EB7">
      <w:pPr>
        <w:pStyle w:val="Heading1"/>
      </w:pPr>
      <w:r>
        <w:lastRenderedPageBreak/>
        <w:t>References</w:t>
      </w:r>
    </w:p>
    <w:p w14:paraId="4FBC6601" w14:textId="0ACE6179" w:rsidR="00FB0DD4" w:rsidRDefault="00FB0DD4" w:rsidP="00FB0DD4">
      <w:pPr>
        <w:pStyle w:val="Bibliography"/>
        <w:ind w:left="720" w:hanging="720"/>
        <w:rPr>
          <w:rFonts w:cs="Times New Roman"/>
          <w:sz w:val="24"/>
        </w:rPr>
      </w:pPr>
      <w:r w:rsidRPr="00FB0DD4">
        <w:rPr>
          <w:rFonts w:cs="Times New Roman"/>
          <w:sz w:val="24"/>
        </w:rPr>
        <w:t xml:space="preserve">1. </w:t>
      </w:r>
      <w:r w:rsidRPr="00FB0DD4">
        <w:rPr>
          <w:rFonts w:cs="Times New Roman"/>
          <w:sz w:val="24"/>
        </w:rPr>
        <w:tab/>
        <w:t xml:space="preserve">Arge SV. The Landnám in the Faroes. Arct Anthropol. 1991;28: 101–120. </w:t>
      </w:r>
    </w:p>
    <w:p w14:paraId="249E9F9C" w14:textId="77777777" w:rsidR="00FB0DD4" w:rsidRPr="00FB0DD4" w:rsidRDefault="00FB0DD4" w:rsidP="00FB0DD4">
      <w:pPr>
        <w:ind w:left="720" w:hanging="720"/>
      </w:pPr>
    </w:p>
    <w:p w14:paraId="09A2019E" w14:textId="6A8F07F2" w:rsidR="00FB0DD4" w:rsidRDefault="00FB0DD4" w:rsidP="00FB0DD4">
      <w:pPr>
        <w:pStyle w:val="Bibliography"/>
        <w:ind w:left="720" w:hanging="720"/>
        <w:rPr>
          <w:rFonts w:cs="Times New Roman"/>
          <w:sz w:val="24"/>
        </w:rPr>
      </w:pPr>
      <w:r w:rsidRPr="00FB0DD4">
        <w:rPr>
          <w:rFonts w:cs="Times New Roman"/>
          <w:sz w:val="24"/>
        </w:rPr>
        <w:t xml:space="preserve">2. </w:t>
      </w:r>
      <w:r w:rsidRPr="00FB0DD4">
        <w:rPr>
          <w:rFonts w:cs="Times New Roman"/>
          <w:sz w:val="24"/>
        </w:rPr>
        <w:tab/>
        <w:t xml:space="preserve">Vésteinsson O, McGovern TH. The Peopling of Iceland. Nor Archaeol Rev. 2012;45: 206–218. </w:t>
      </w:r>
      <w:proofErr w:type="spellStart"/>
      <w:r w:rsidRPr="00FB0DD4">
        <w:rPr>
          <w:rFonts w:cs="Times New Roman"/>
          <w:sz w:val="24"/>
        </w:rPr>
        <w:t>doi:10.1080</w:t>
      </w:r>
      <w:proofErr w:type="spellEnd"/>
      <w:r w:rsidRPr="00FB0DD4">
        <w:rPr>
          <w:rFonts w:cs="Times New Roman"/>
          <w:sz w:val="24"/>
        </w:rPr>
        <w:t>/00293652.2012.721792</w:t>
      </w:r>
    </w:p>
    <w:p w14:paraId="0C30AD07" w14:textId="77777777" w:rsidR="008B7656" w:rsidRPr="008B7656" w:rsidRDefault="008B7656" w:rsidP="008B7656"/>
    <w:p w14:paraId="2724C84B" w14:textId="268DF06A" w:rsidR="00FB0DD4" w:rsidRDefault="00FB0DD4" w:rsidP="00FB0DD4">
      <w:pPr>
        <w:pStyle w:val="Bibliography"/>
        <w:ind w:left="720" w:hanging="720"/>
        <w:rPr>
          <w:rFonts w:cs="Times New Roman"/>
          <w:sz w:val="24"/>
        </w:rPr>
      </w:pPr>
      <w:r w:rsidRPr="00FB0DD4">
        <w:rPr>
          <w:rFonts w:cs="Times New Roman"/>
          <w:sz w:val="24"/>
        </w:rPr>
        <w:t xml:space="preserve">3. </w:t>
      </w:r>
      <w:r w:rsidRPr="00FB0DD4">
        <w:rPr>
          <w:rFonts w:cs="Times New Roman"/>
          <w:sz w:val="24"/>
        </w:rPr>
        <w:tab/>
        <w:t xml:space="preserve">Brewington SD. Tradeoffs and human well-being: Achieving sustainability in the Faroe Islands. In: Hegmon M, editor. Give and take of sustainability: Archaeological and anthropological perspectives on tradeoffs. New York, NY: Cambridge University Press; 2017. pp. 222–243. </w:t>
      </w:r>
    </w:p>
    <w:p w14:paraId="2E4CD62B" w14:textId="77777777" w:rsidR="00FB0DD4" w:rsidRPr="00FB0DD4" w:rsidRDefault="00FB0DD4" w:rsidP="00FB0DD4">
      <w:pPr>
        <w:ind w:left="720" w:hanging="720"/>
      </w:pPr>
    </w:p>
    <w:p w14:paraId="49249A12" w14:textId="54C10A49" w:rsidR="00FB0DD4" w:rsidRDefault="00FB0DD4" w:rsidP="00FB0DD4">
      <w:pPr>
        <w:pStyle w:val="Bibliography"/>
        <w:ind w:left="720" w:hanging="720"/>
        <w:rPr>
          <w:rFonts w:cs="Times New Roman"/>
          <w:sz w:val="24"/>
        </w:rPr>
      </w:pPr>
      <w:r w:rsidRPr="00FB0DD4">
        <w:rPr>
          <w:rFonts w:cs="Times New Roman"/>
          <w:sz w:val="24"/>
        </w:rPr>
        <w:t xml:space="preserve">4. </w:t>
      </w:r>
      <w:r w:rsidRPr="00FB0DD4">
        <w:rPr>
          <w:rFonts w:cs="Times New Roman"/>
          <w:sz w:val="24"/>
        </w:rPr>
        <w:tab/>
        <w:t>Peeples MA, Schachner G, Kintigh KW. The Zuni/Cibola region. The Oxford handbook of Southwest archaeology. Oxford: Oxford University Press; 2017. Available: http://www.oxfordhandbooks.com/view/10.1093/oxfordhb/9780199978427.001.0001/oxfordhb-9780199978427-e-23</w:t>
      </w:r>
    </w:p>
    <w:p w14:paraId="0CB4641F" w14:textId="77777777" w:rsidR="00FB0DD4" w:rsidRPr="00FB0DD4" w:rsidRDefault="00FB0DD4" w:rsidP="00FB0DD4">
      <w:pPr>
        <w:ind w:left="720" w:hanging="720"/>
      </w:pPr>
    </w:p>
    <w:p w14:paraId="1C37808E" w14:textId="7F71A551" w:rsidR="00FB0DD4" w:rsidRDefault="00FB0DD4" w:rsidP="00FB0DD4">
      <w:pPr>
        <w:pStyle w:val="Bibliography"/>
        <w:ind w:left="720" w:hanging="720"/>
        <w:rPr>
          <w:rFonts w:cs="Times New Roman"/>
          <w:sz w:val="24"/>
        </w:rPr>
      </w:pPr>
      <w:r w:rsidRPr="00FB0DD4">
        <w:rPr>
          <w:rFonts w:cs="Times New Roman"/>
          <w:sz w:val="24"/>
        </w:rPr>
        <w:t xml:space="preserve">5. </w:t>
      </w:r>
      <w:r w:rsidRPr="00FB0DD4">
        <w:rPr>
          <w:rFonts w:cs="Times New Roman"/>
          <w:sz w:val="24"/>
        </w:rPr>
        <w:tab/>
        <w:t xml:space="preserve">Peeples MA. Population History of the Zuni Region across the Protohistoric Transition: Migration, Gene Flow, and Social Transformation. In: Villalpando E, McGuire RH, editors. Building Transnational Archaeologies. Tucson, AZ: Arizona State Museum and the University of Arizona; 2014. pp. 93–109. </w:t>
      </w:r>
    </w:p>
    <w:p w14:paraId="45E00D23" w14:textId="77777777" w:rsidR="00FB0DD4" w:rsidRPr="00FB0DD4" w:rsidRDefault="00FB0DD4" w:rsidP="00FB0DD4">
      <w:pPr>
        <w:ind w:left="720" w:hanging="720"/>
      </w:pPr>
    </w:p>
    <w:p w14:paraId="184B7D2A" w14:textId="3F64C32B" w:rsidR="00FB0DD4" w:rsidRDefault="00FB0DD4" w:rsidP="00FB0DD4">
      <w:pPr>
        <w:pStyle w:val="Bibliography"/>
        <w:ind w:left="720" w:hanging="720"/>
        <w:rPr>
          <w:rFonts w:cs="Times New Roman"/>
          <w:sz w:val="24"/>
        </w:rPr>
      </w:pPr>
      <w:r w:rsidRPr="00FB0DD4">
        <w:rPr>
          <w:rFonts w:cs="Times New Roman"/>
          <w:sz w:val="24"/>
        </w:rPr>
        <w:t xml:space="preserve">6. </w:t>
      </w:r>
      <w:r w:rsidRPr="00FB0DD4">
        <w:rPr>
          <w:rFonts w:cs="Times New Roman"/>
          <w:sz w:val="24"/>
        </w:rPr>
        <w:tab/>
        <w:t xml:space="preserve">Peeples MA. Connected communities: Networks, identities, and social change in the ancient Cibola world. Tucson: University of Arizona Press; 2018. </w:t>
      </w:r>
    </w:p>
    <w:p w14:paraId="17A01F17" w14:textId="77777777" w:rsidR="00FB0DD4" w:rsidRPr="00FB0DD4" w:rsidRDefault="00FB0DD4" w:rsidP="00FB0DD4">
      <w:pPr>
        <w:ind w:left="720" w:hanging="720"/>
      </w:pPr>
    </w:p>
    <w:p w14:paraId="230D62DE" w14:textId="74D5805B" w:rsidR="00FB0DD4" w:rsidRDefault="00FB0DD4" w:rsidP="00FB0DD4">
      <w:pPr>
        <w:pStyle w:val="Bibliography"/>
        <w:ind w:left="720" w:hanging="720"/>
        <w:rPr>
          <w:rFonts w:cs="Times New Roman"/>
          <w:sz w:val="24"/>
        </w:rPr>
      </w:pPr>
      <w:r w:rsidRPr="00FB0DD4">
        <w:rPr>
          <w:rFonts w:cs="Times New Roman"/>
          <w:sz w:val="24"/>
        </w:rPr>
        <w:t xml:space="preserve">7. </w:t>
      </w:r>
      <w:r w:rsidRPr="00FB0DD4">
        <w:rPr>
          <w:rFonts w:cs="Times New Roman"/>
          <w:sz w:val="24"/>
        </w:rPr>
        <w:tab/>
        <w:t>Dugmore AJ, Keller C, McGovern TH. Norse Greenland settlement: Reflections on climate change, trade, and the contrasting fates of human settlements in the North Atlantic islands. Arct Anthropol. 2007;44: 12–36. doi:10.1353/arc.2011.0038</w:t>
      </w:r>
    </w:p>
    <w:p w14:paraId="3DAA1C71" w14:textId="77777777" w:rsidR="00FB0DD4" w:rsidRPr="00FB0DD4" w:rsidRDefault="00FB0DD4" w:rsidP="00FB0DD4">
      <w:pPr>
        <w:ind w:left="720" w:hanging="720"/>
      </w:pPr>
    </w:p>
    <w:p w14:paraId="53969160" w14:textId="4211FEC8" w:rsidR="00FB0DD4" w:rsidRDefault="00FB0DD4" w:rsidP="00FB0DD4">
      <w:pPr>
        <w:pStyle w:val="Bibliography"/>
        <w:ind w:left="720" w:hanging="720"/>
        <w:rPr>
          <w:rFonts w:cs="Times New Roman"/>
          <w:sz w:val="24"/>
        </w:rPr>
      </w:pPr>
      <w:r w:rsidRPr="00FB0DD4">
        <w:rPr>
          <w:rFonts w:cs="Times New Roman"/>
          <w:sz w:val="24"/>
        </w:rPr>
        <w:t xml:space="preserve">8. </w:t>
      </w:r>
      <w:r w:rsidRPr="00FB0DD4">
        <w:rPr>
          <w:rFonts w:cs="Times New Roman"/>
          <w:sz w:val="24"/>
        </w:rPr>
        <w:tab/>
        <w:t>Dugmore AJ, McGovern TH, Vésteinsson O, Arneborg J, Streeter R, Keller C. Cultural adaptation, compounding vulnerabilities and conjunctures in Norse Greenland. Proc Natl Acad Sci. 2012;109: 3658–3663. doi:10.1073/pnas.1115292109</w:t>
      </w:r>
    </w:p>
    <w:p w14:paraId="47680F6E" w14:textId="77777777" w:rsidR="00FB0DD4" w:rsidRPr="00FB0DD4" w:rsidRDefault="00FB0DD4" w:rsidP="00FB0DD4">
      <w:pPr>
        <w:ind w:left="720" w:hanging="720"/>
      </w:pPr>
    </w:p>
    <w:p w14:paraId="5253E897" w14:textId="7E24C174" w:rsidR="00FB0DD4" w:rsidRDefault="00FB0DD4" w:rsidP="00FB0DD4">
      <w:pPr>
        <w:pStyle w:val="Bibliography"/>
        <w:ind w:left="720" w:hanging="720"/>
        <w:rPr>
          <w:rFonts w:cs="Times New Roman"/>
          <w:sz w:val="24"/>
        </w:rPr>
      </w:pPr>
      <w:r w:rsidRPr="00FB0DD4">
        <w:rPr>
          <w:rFonts w:cs="Times New Roman"/>
          <w:sz w:val="24"/>
        </w:rPr>
        <w:t xml:space="preserve">9. </w:t>
      </w:r>
      <w:r w:rsidRPr="00FB0DD4">
        <w:rPr>
          <w:rFonts w:cs="Times New Roman"/>
          <w:sz w:val="24"/>
        </w:rPr>
        <w:tab/>
        <w:t xml:space="preserve">Dugmore AJ, Keller C, McGovern TH, Casely AF, Smiarowski K. Norse Greenland settlement and limits to adaptation. In: Adger WN, Lorenzoni I, O’Brien K, editors. Adapting to climate change: Thresholds, values, governance. Cambridge: Cambridge University Press; 2009. pp. 96–113. </w:t>
      </w:r>
    </w:p>
    <w:p w14:paraId="631E7ED1" w14:textId="77777777" w:rsidR="00FB0DD4" w:rsidRPr="00FB0DD4" w:rsidRDefault="00FB0DD4" w:rsidP="00FB0DD4">
      <w:pPr>
        <w:ind w:left="720" w:hanging="720"/>
      </w:pPr>
    </w:p>
    <w:p w14:paraId="780EC517" w14:textId="64296191" w:rsidR="00FB0DD4" w:rsidRPr="00FB0DD4" w:rsidRDefault="00FB0DD4" w:rsidP="00FB0DD4">
      <w:pPr>
        <w:pStyle w:val="Bibliography"/>
        <w:ind w:left="720" w:hanging="720"/>
        <w:rPr>
          <w:rFonts w:cs="Times New Roman"/>
          <w:sz w:val="24"/>
        </w:rPr>
      </w:pPr>
      <w:r w:rsidRPr="00FB0DD4">
        <w:rPr>
          <w:rFonts w:cs="Times New Roman"/>
          <w:sz w:val="24"/>
        </w:rPr>
        <w:t xml:space="preserve">10. </w:t>
      </w:r>
      <w:r w:rsidRPr="00FB0DD4">
        <w:rPr>
          <w:rFonts w:cs="Times New Roman"/>
          <w:sz w:val="24"/>
        </w:rPr>
        <w:tab/>
        <w:t>Berglund J. Did the Medieval Norse society in Greenland really fail? In: McAnany PA, Yoffee N, editors. Questi</w:t>
      </w:r>
      <w:r>
        <w:rPr>
          <w:rFonts w:cs="Times New Roman"/>
          <w:sz w:val="24"/>
        </w:rPr>
        <w:t>o</w:t>
      </w:r>
      <w:r w:rsidRPr="00FB0DD4">
        <w:rPr>
          <w:rFonts w:cs="Times New Roman"/>
          <w:sz w:val="24"/>
        </w:rPr>
        <w:t xml:space="preserve">ning collapse: human resilience, ecological vulnerability, and the aftermath of empire. Cambridge: Cambridge University Press; 2010. pp. 45–70. </w:t>
      </w:r>
    </w:p>
    <w:p w14:paraId="086BE4F1" w14:textId="1C447F25" w:rsidR="00FB0DD4" w:rsidRDefault="00FB0DD4" w:rsidP="00FB0DD4">
      <w:pPr>
        <w:spacing w:line="480" w:lineRule="auto"/>
        <w:ind w:left="720" w:hanging="720"/>
        <w:rPr>
          <w:rFonts w:cs="Times New Roman"/>
          <w:sz w:val="24"/>
          <w:szCs w:val="24"/>
        </w:rPr>
      </w:pPr>
    </w:p>
    <w:p w14:paraId="6D7FEAB6" w14:textId="77777777" w:rsidR="00DC3646" w:rsidRDefault="0036427C"/>
    <w:sectPr w:rsidR="00DC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10"/>
    <w:rsid w:val="000579CD"/>
    <w:rsid w:val="0006449E"/>
    <w:rsid w:val="00082293"/>
    <w:rsid w:val="00191E66"/>
    <w:rsid w:val="00220D58"/>
    <w:rsid w:val="0036427C"/>
    <w:rsid w:val="006A3B59"/>
    <w:rsid w:val="0076568D"/>
    <w:rsid w:val="007C2A10"/>
    <w:rsid w:val="008B7656"/>
    <w:rsid w:val="009738DF"/>
    <w:rsid w:val="00A625F3"/>
    <w:rsid w:val="00B170EA"/>
    <w:rsid w:val="00BE131D"/>
    <w:rsid w:val="00BF451D"/>
    <w:rsid w:val="00C46EB7"/>
    <w:rsid w:val="00D17FC3"/>
    <w:rsid w:val="00EF6DAD"/>
    <w:rsid w:val="00FB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AA0E"/>
  <w15:chartTrackingRefBased/>
  <w15:docId w15:val="{C4A4FB94-C6C0-4B72-A0F6-3220346F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8" w:qFormat="1"/>
    <w:lsdException w:name="heading 3" w:semiHidden="1" w:uiPriority="9" w:unhideWhenUsed="1" w:qFormat="1"/>
    <w:lsdException w:name="heading 4" w:uiPriority="8"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A10"/>
    <w:rPr>
      <w:rFonts w:ascii="Times New Roman" w:hAnsi="Times New Roman"/>
      <w:sz w:val="20"/>
      <w:szCs w:val="20"/>
    </w:rPr>
  </w:style>
  <w:style w:type="paragraph" w:styleId="Heading1">
    <w:name w:val="heading 1"/>
    <w:basedOn w:val="Normal"/>
    <w:next w:val="Normal"/>
    <w:link w:val="Heading1Char"/>
    <w:uiPriority w:val="9"/>
    <w:qFormat/>
    <w:rsid w:val="00C46EB7"/>
    <w:pPr>
      <w:spacing w:line="480" w:lineRule="auto"/>
      <w:outlineLvl w:val="0"/>
    </w:pPr>
    <w:rPr>
      <w:rFonts w:cs="Times New Roman"/>
      <w:b/>
      <w:sz w:val="36"/>
      <w:szCs w:val="36"/>
    </w:rPr>
  </w:style>
  <w:style w:type="paragraph" w:styleId="Heading3">
    <w:name w:val="heading 3"/>
    <w:basedOn w:val="Normal"/>
    <w:next w:val="Normal"/>
    <w:link w:val="Heading3Char"/>
    <w:uiPriority w:val="9"/>
    <w:qFormat/>
    <w:rsid w:val="00D17FC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7FC3"/>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D17FC3"/>
    <w:pPr>
      <w:spacing w:after="200"/>
    </w:pPr>
    <w:rPr>
      <w:i/>
      <w:iCs/>
      <w:color w:val="44546A" w:themeColor="text2"/>
      <w:sz w:val="18"/>
      <w:szCs w:val="18"/>
    </w:rPr>
  </w:style>
  <w:style w:type="table" w:styleId="TableGrid">
    <w:name w:val="Table Grid"/>
    <w:basedOn w:val="TableNormal"/>
    <w:uiPriority w:val="59"/>
    <w:unhideWhenUsed/>
    <w:rsid w:val="00D1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2A10"/>
    <w:rPr>
      <w:i/>
      <w:iCs/>
    </w:rPr>
  </w:style>
  <w:style w:type="paragraph" w:styleId="Bibliography">
    <w:name w:val="Bibliography"/>
    <w:basedOn w:val="Normal"/>
    <w:next w:val="Normal"/>
    <w:uiPriority w:val="37"/>
    <w:unhideWhenUsed/>
    <w:rsid w:val="00FB0DD4"/>
  </w:style>
  <w:style w:type="character" w:customStyle="1" w:styleId="Heading1Char">
    <w:name w:val="Heading 1 Char"/>
    <w:basedOn w:val="DefaultParagraphFont"/>
    <w:link w:val="Heading1"/>
    <w:uiPriority w:val="9"/>
    <w:rsid w:val="00C46EB7"/>
    <w:rPr>
      <w:rFonts w:ascii="Times New Roman" w:hAnsi="Times New Roman"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Hegmon</dc:creator>
  <cp:keywords/>
  <dc:description/>
  <cp:lastModifiedBy>Michelle Hegmon</cp:lastModifiedBy>
  <cp:revision>7</cp:revision>
  <dcterms:created xsi:type="dcterms:W3CDTF">2018-11-05T15:45:00Z</dcterms:created>
  <dcterms:modified xsi:type="dcterms:W3CDTF">2018-11-17T14:43:00Z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id="yHX74nPI"/&gt;&lt;style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