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4E" w:rsidRPr="00DE794E" w:rsidRDefault="00DE794E" w:rsidP="00DE794E">
      <w:pPr>
        <w:keepNext/>
        <w:keepLines/>
        <w:spacing w:before="480"/>
        <w:outlineLvl w:val="0"/>
        <w:rPr>
          <w:rFonts w:ascii="Calibri" w:eastAsia="MS Gothic" w:hAnsi="Calibri" w:cs="Times New Roman"/>
          <w:b/>
          <w:bCs/>
          <w:color w:val="000000"/>
          <w:sz w:val="32"/>
          <w:szCs w:val="32"/>
          <w:lang w:eastAsia="fr-FR"/>
        </w:rPr>
      </w:pPr>
      <w:r w:rsidRPr="00DE794E">
        <w:rPr>
          <w:rFonts w:ascii="Calibri" w:eastAsia="MS Gothic" w:hAnsi="Calibri" w:cs="Times New Roman"/>
          <w:b/>
          <w:bCs/>
          <w:color w:val="000000"/>
          <w:sz w:val="32"/>
          <w:szCs w:val="32"/>
          <w:lang w:eastAsia="fr-FR"/>
        </w:rPr>
        <w:t>S1. Cultural History of Provence</w:t>
      </w:r>
    </w:p>
    <w:p w:rsidR="00DE794E" w:rsidRPr="00DE794E" w:rsidRDefault="00DE794E" w:rsidP="00DE794E">
      <w:pPr>
        <w:rPr>
          <w:rFonts w:ascii="Cambria" w:eastAsia="MS Mincho" w:hAnsi="Cambria" w:cs="Times New Roman"/>
          <w:color w:val="000000"/>
          <w:lang w:eastAsia="fr-FR"/>
        </w:rPr>
      </w:pPr>
    </w:p>
    <w:p w:rsidR="00DE794E" w:rsidRPr="00DE794E" w:rsidRDefault="00DE794E" w:rsidP="00DE794E">
      <w:pPr>
        <w:spacing w:line="480" w:lineRule="auto"/>
        <w:ind w:firstLine="426"/>
        <w:rPr>
          <w:rFonts w:ascii="Times New Roman" w:eastAsia="MS Mincho" w:hAnsi="Times New Roman" w:cs="Times New Roman"/>
          <w:lang w:eastAsia="fr-FR"/>
        </w:rPr>
      </w:pPr>
      <w:r w:rsidRPr="00DE794E">
        <w:rPr>
          <w:rFonts w:ascii="Times New Roman" w:eastAsia="MS Mincho" w:hAnsi="Times New Roman" w:cs="Times New Roman"/>
          <w:color w:val="000000"/>
          <w:lang w:eastAsia="fr-FR"/>
        </w:rPr>
        <w:t xml:space="preserve">The archaeological settlement pattern data are derived from </w:t>
      </w:r>
      <w:r w:rsidRPr="00DE794E">
        <w:rPr>
          <w:rFonts w:ascii="Times New Roman" w:eastAsia="MS Mincho" w:hAnsi="Times New Roman" w:cs="Times New Roman"/>
          <w:i/>
          <w:color w:val="000000"/>
          <w:lang w:eastAsia="fr-FR"/>
        </w:rPr>
        <w:t>Patriarche,</w:t>
      </w:r>
      <w:r w:rsidRPr="00DE794E">
        <w:rPr>
          <w:rFonts w:ascii="Times New Roman" w:eastAsia="MS Mincho" w:hAnsi="Times New Roman" w:cs="Times New Roman"/>
          <w:color w:val="000000"/>
          <w:lang w:eastAsia="fr-FR"/>
        </w:rPr>
        <w:t xml:space="preserve"> the French national archaeological atlas, a continuously updated database that integrates excavation and survey data from diverse sources:</w:t>
      </w:r>
      <w:r w:rsidRPr="00DE794E">
        <w:rPr>
          <w:rFonts w:ascii="Times New Roman" w:eastAsia="MS Mincho" w:hAnsi="Times New Roman" w:cs="Times New Roman"/>
          <w:color w:val="000000"/>
          <w:lang w:val="fr-FR" w:eastAsia="fr-FR"/>
        </w:rPr>
        <w:t xml:space="preserve"> </w:t>
      </w:r>
      <w:hyperlink r:id="rId4" w:history="1">
        <w:r w:rsidRPr="00DE794E">
          <w:rPr>
            <w:rFonts w:ascii="Times New Roman" w:eastAsia="MS Mincho" w:hAnsi="Times New Roman" w:cs="Times New Roman"/>
            <w:color w:val="000000"/>
            <w:u w:val="single"/>
            <w:lang w:val="fr-FR" w:eastAsia="fr-FR"/>
          </w:rPr>
          <w:t>http://www.culturecommunication.gouv.fr/Politiques-ministerielles/Archeologie/Etude-recherche/Carte-archeologique-nationale</w:t>
        </w:r>
      </w:hyperlink>
      <w:r w:rsidRPr="00DE794E">
        <w:rPr>
          <w:rFonts w:ascii="Times New Roman" w:eastAsia="MS Mincho" w:hAnsi="Times New Roman" w:cs="Times New Roman"/>
          <w:lang w:eastAsia="fr-FR"/>
        </w:rPr>
        <w:t>.</w:t>
      </w:r>
    </w:p>
    <w:p w:rsidR="00DE794E" w:rsidRPr="00DE794E" w:rsidRDefault="00DE794E" w:rsidP="00DE794E">
      <w:pPr>
        <w:spacing w:line="480" w:lineRule="auto"/>
        <w:ind w:firstLine="426"/>
        <w:rPr>
          <w:rFonts w:ascii="Times New Roman" w:eastAsia="MS Mincho" w:hAnsi="Times New Roman" w:cs="Times New Roman"/>
          <w:lang w:eastAsia="fr-FR"/>
        </w:rPr>
      </w:pPr>
      <w:r w:rsidRPr="00DE794E">
        <w:rPr>
          <w:rFonts w:ascii="Times New Roman" w:eastAsia="MS Mincho" w:hAnsi="Times New Roman" w:cs="Times New Roman"/>
          <w:lang w:eastAsia="fr-FR"/>
        </w:rPr>
        <w:t xml:space="preserve">The </w:t>
      </w:r>
      <w:r w:rsidRPr="00DE794E">
        <w:rPr>
          <w:rFonts w:ascii="Times New Roman" w:eastAsia="MS Mincho" w:hAnsi="Times New Roman" w:cs="Times New Roman"/>
          <w:i/>
          <w:lang w:eastAsia="fr-FR"/>
        </w:rPr>
        <w:t>Patriarche</w:t>
      </w:r>
      <w:r w:rsidRPr="00DE794E">
        <w:rPr>
          <w:rFonts w:ascii="Times New Roman" w:eastAsia="MS Mincho" w:hAnsi="Times New Roman" w:cs="Times New Roman"/>
          <w:lang w:eastAsia="fr-FR"/>
        </w:rPr>
        <w:t xml:space="preserve"> chronology for the mid-late Holocene is inevitably imprecise at regional scales, since any country-wide scheme must suggest that all archaeological periods were synchronous across France; where there is a mismatch in the date ranges assigned to periods we include the </w:t>
      </w:r>
      <w:r w:rsidRPr="00DE794E">
        <w:rPr>
          <w:rFonts w:ascii="Times New Roman" w:eastAsia="MS Mincho" w:hAnsi="Times New Roman" w:cs="Times New Roman"/>
          <w:i/>
          <w:lang w:eastAsia="fr-FR"/>
        </w:rPr>
        <w:t>Patriarche</w:t>
      </w:r>
      <w:r w:rsidRPr="00DE794E">
        <w:rPr>
          <w:rFonts w:ascii="Times New Roman" w:eastAsia="MS Mincho" w:hAnsi="Times New Roman" w:cs="Times New Roman"/>
          <w:lang w:eastAsia="fr-FR"/>
        </w:rPr>
        <w:t xml:space="preserve"> date range in brackets.  The resulting imprecision in the settlement data we employ exacerbates the difficulty of matching cultural patterns to environmental ones, but in the absence of independent chronologies anchored in </w:t>
      </w:r>
      <w:r w:rsidRPr="00DE794E">
        <w:rPr>
          <w:rFonts w:ascii="Times New Roman" w:eastAsia="MS Mincho" w:hAnsi="Times New Roman" w:cs="Times New Roman"/>
          <w:vertAlign w:val="superscript"/>
          <w:lang w:eastAsia="fr-FR"/>
        </w:rPr>
        <w:t>14</w:t>
      </w:r>
      <w:r w:rsidRPr="00DE794E">
        <w:rPr>
          <w:rFonts w:ascii="Times New Roman" w:eastAsia="MS Mincho" w:hAnsi="Times New Roman" w:cs="Times New Roman"/>
          <w:lang w:eastAsia="fr-FR"/>
        </w:rPr>
        <w:t>C or other absolute dating techniques for many sites, represents the best chronological control available.</w:t>
      </w:r>
    </w:p>
    <w:p w:rsidR="00DE794E" w:rsidRPr="00DE794E" w:rsidRDefault="00DE794E" w:rsidP="00DE794E">
      <w:pPr>
        <w:spacing w:line="480" w:lineRule="auto"/>
        <w:rPr>
          <w:rFonts w:ascii="Times New Roman" w:eastAsia="MS Mincho" w:hAnsi="Times New Roman" w:cs="Times New Roman"/>
          <w:lang w:eastAsia="fr-FR"/>
        </w:rPr>
      </w:pPr>
    </w:p>
    <w:p w:rsidR="00DE794E" w:rsidRPr="00DE794E" w:rsidRDefault="00DE794E" w:rsidP="00DE794E">
      <w:pPr>
        <w:spacing w:line="480" w:lineRule="auto"/>
        <w:ind w:firstLine="426"/>
        <w:rPr>
          <w:rFonts w:ascii="Times New Roman" w:eastAsia="MS Mincho" w:hAnsi="Times New Roman" w:cs="Times New Roman"/>
          <w:lang w:eastAsia="fr-FR"/>
        </w:rPr>
      </w:pPr>
      <w:r w:rsidRPr="00DE794E">
        <w:rPr>
          <w:rFonts w:ascii="Times New Roman" w:eastAsia="MS Mincho" w:hAnsi="Times New Roman" w:cs="Times New Roman"/>
          <w:lang w:eastAsia="fr-FR"/>
        </w:rPr>
        <w:t>Within the broad frame of Holocene human occupation of Provence, the transformations of the Neolithic were the consequence of the beginnings of small (25 to 100 m</w:t>
      </w:r>
      <w:r w:rsidRPr="00DE794E">
        <w:rPr>
          <w:rFonts w:ascii="Times New Roman" w:eastAsia="MS Mincho" w:hAnsi="Times New Roman" w:cs="Times New Roman"/>
          <w:vertAlign w:val="superscript"/>
          <w:lang w:eastAsia="fr-FR"/>
        </w:rPr>
        <w:t>2</w:t>
      </w:r>
      <w:r w:rsidRPr="00DE794E">
        <w:rPr>
          <w:rFonts w:ascii="Times New Roman" w:eastAsia="MS Mincho" w:hAnsi="Times New Roman" w:cs="Times New Roman"/>
          <w:lang w:eastAsia="fr-FR"/>
        </w:rPr>
        <w:t xml:space="preserve"> - 1 or 2 families </w:t>
      </w:r>
      <w:r w:rsidRPr="00DE794E">
        <w:rPr>
          <w:rFonts w:ascii="Times New Roman" w:eastAsia="MS Mincho" w:hAnsi="Times New Roman" w:cs="Times New Roman"/>
          <w:noProof/>
          <w:lang w:eastAsia="fr-FR"/>
        </w:rPr>
        <w:t>[1]</w:t>
      </w:r>
      <w:r w:rsidRPr="00DE794E">
        <w:rPr>
          <w:rFonts w:ascii="Times New Roman" w:eastAsia="MS Mincho" w:hAnsi="Times New Roman" w:cs="Times New Roman"/>
          <w:lang w:eastAsia="fr-FR"/>
        </w:rPr>
        <w:t xml:space="preserve">) sedentary occupations in the lowlands, though such settlements may have been occupied only for relatively short periods (decades to centuries, rather than millennia as in the tell sites of southeastern Europe and Anatolia) </w:t>
      </w:r>
      <w:r w:rsidR="00627533">
        <w:rPr>
          <w:rFonts w:ascii="Times New Roman" w:eastAsia="MS Mincho" w:hAnsi="Times New Roman" w:cs="Times New Roman"/>
          <w:noProof/>
          <w:lang w:eastAsia="fr-FR"/>
        </w:rPr>
        <w:t>[2]</w:t>
      </w:r>
      <w:r w:rsidRPr="00DE794E">
        <w:rPr>
          <w:rFonts w:ascii="Times New Roman" w:eastAsia="MS Mincho" w:hAnsi="Times New Roman" w:cs="Times New Roman"/>
          <w:lang w:eastAsia="fr-FR"/>
        </w:rPr>
        <w:t xml:space="preserve">.  Animal husbandry, based primarily on goats and sheep and involving at least limited transhumance between coastal and higher elevations is evident even early on, appearing by approximately 6500 BP </w:t>
      </w:r>
      <w:r w:rsidR="00627533">
        <w:rPr>
          <w:rFonts w:ascii="Times New Roman" w:eastAsia="MS Mincho" w:hAnsi="Times New Roman" w:cs="Times New Roman"/>
          <w:noProof/>
          <w:lang w:eastAsia="fr-FR"/>
        </w:rPr>
        <w:t>[3]</w:t>
      </w:r>
      <w:r w:rsidRPr="00DE794E">
        <w:rPr>
          <w:rFonts w:ascii="Times New Roman" w:eastAsia="MS Mincho" w:hAnsi="Times New Roman" w:cs="Times New Roman"/>
          <w:lang w:eastAsia="fr-FR"/>
        </w:rPr>
        <w:t xml:space="preserve">, when subsistence was still routinely supplemented </w:t>
      </w:r>
      <w:r w:rsidR="00627533">
        <w:rPr>
          <w:rFonts w:ascii="Times New Roman" w:eastAsia="MS Mincho" w:hAnsi="Times New Roman" w:cs="Times New Roman"/>
          <w:lang w:eastAsia="fr-FR"/>
        </w:rPr>
        <w:t>by hunting and fishing [4]</w:t>
      </w:r>
      <w:r w:rsidRPr="00DE794E">
        <w:rPr>
          <w:rFonts w:ascii="Times New Roman" w:eastAsia="MS Mincho" w:hAnsi="Times New Roman" w:cs="Times New Roman"/>
          <w:lang w:eastAsia="fr-FR"/>
        </w:rPr>
        <w:t>.</w:t>
      </w:r>
    </w:p>
    <w:p w:rsidR="00DE794E" w:rsidRPr="00DE794E" w:rsidRDefault="00DE794E" w:rsidP="00DE794E">
      <w:pPr>
        <w:spacing w:line="480" w:lineRule="auto"/>
        <w:ind w:firstLine="426"/>
        <w:rPr>
          <w:rFonts w:ascii="Times New Roman" w:eastAsia="MS Mincho" w:hAnsi="Times New Roman" w:cs="Times New Roman"/>
          <w:lang w:eastAsia="fr-FR"/>
        </w:rPr>
      </w:pPr>
      <w:r w:rsidRPr="00DE794E">
        <w:rPr>
          <w:rFonts w:ascii="Times New Roman" w:eastAsia="MS Mincho" w:hAnsi="Times New Roman" w:cs="Times New Roman"/>
          <w:lang w:eastAsia="fr-FR"/>
        </w:rPr>
        <w:lastRenderedPageBreak/>
        <w:t xml:space="preserve">The Neolithic Period as a whole was dynamic. For instance, during the Middle Neolithic (MN; 6650 – 5450 BP [6850-6250 BP in </w:t>
      </w:r>
      <w:r w:rsidRPr="00DE794E">
        <w:rPr>
          <w:rFonts w:ascii="Times New Roman" w:eastAsia="MS Mincho" w:hAnsi="Times New Roman" w:cs="Times New Roman"/>
          <w:i/>
          <w:lang w:eastAsia="fr-FR"/>
        </w:rPr>
        <w:t>Patriarche</w:t>
      </w:r>
      <w:r w:rsidRPr="00DE794E">
        <w:rPr>
          <w:rFonts w:ascii="Times New Roman" w:eastAsia="MS Mincho" w:hAnsi="Times New Roman" w:cs="Times New Roman"/>
          <w:lang w:eastAsia="fr-FR"/>
        </w:rPr>
        <w:t>]), agricultural options were expanded by the introduction of hulled barley (</w:t>
      </w:r>
      <w:r w:rsidRPr="00DE794E">
        <w:rPr>
          <w:rFonts w:ascii="Times New Roman" w:eastAsia="MS Mincho" w:hAnsi="Times New Roman" w:cs="Times New Roman"/>
          <w:i/>
          <w:lang w:eastAsia="fr-FR"/>
        </w:rPr>
        <w:t>Hordeum vulgare vulgare</w:t>
      </w:r>
      <w:r w:rsidRPr="00DE794E">
        <w:rPr>
          <w:rFonts w:ascii="Times New Roman" w:eastAsia="MS Mincho" w:hAnsi="Times New Roman" w:cs="Times New Roman"/>
          <w:lang w:eastAsia="fr-FR"/>
        </w:rPr>
        <w:t>) and fava bean (</w:t>
      </w:r>
      <w:r w:rsidRPr="00DE794E">
        <w:rPr>
          <w:rFonts w:ascii="Times New Roman" w:eastAsia="MS Mincho" w:hAnsi="Times New Roman" w:cs="Times New Roman"/>
          <w:i/>
          <w:lang w:eastAsia="fr-FR"/>
        </w:rPr>
        <w:t>Vicia faba</w:t>
      </w:r>
      <w:r w:rsidRPr="00DE794E">
        <w:rPr>
          <w:rFonts w:ascii="Times New Roman" w:eastAsia="MS Mincho" w:hAnsi="Times New Roman" w:cs="Times New Roman"/>
          <w:lang w:eastAsia="fr-FR"/>
        </w:rPr>
        <w:t xml:space="preserve">) </w:t>
      </w:r>
      <w:r w:rsidR="00627533">
        <w:rPr>
          <w:rFonts w:ascii="Times New Roman" w:eastAsia="MS Mincho" w:hAnsi="Times New Roman" w:cs="Times New Roman"/>
          <w:noProof/>
          <w:lang w:eastAsia="fr-FR"/>
        </w:rPr>
        <w:t>[5]</w:t>
      </w:r>
      <w:r w:rsidRPr="00DE794E">
        <w:rPr>
          <w:rFonts w:ascii="Times New Roman" w:eastAsia="MS Mincho" w:hAnsi="Times New Roman" w:cs="Times New Roman"/>
          <w:lang w:eastAsia="fr-FR"/>
        </w:rPr>
        <w:t xml:space="preserve">.  In the Final Neolithic of Provence (FN; 5450-4050 BP), unprecedented population growth is evidenced by the appearance of new settlements </w:t>
      </w:r>
      <w:r w:rsidR="00627533">
        <w:rPr>
          <w:rFonts w:ascii="Times New Roman" w:eastAsia="MS Mincho" w:hAnsi="Times New Roman" w:cs="Times New Roman"/>
          <w:noProof/>
          <w:lang w:eastAsia="fr-FR"/>
        </w:rPr>
        <w:t>[1,4]</w:t>
      </w:r>
      <w:r w:rsidRPr="00DE794E">
        <w:rPr>
          <w:rFonts w:ascii="Times New Roman" w:eastAsia="MS Mincho" w:hAnsi="Times New Roman" w:cs="Times New Roman"/>
          <w:lang w:eastAsia="fr-FR"/>
        </w:rPr>
        <w:t xml:space="preserve">. </w:t>
      </w:r>
      <w:r w:rsidRPr="00DE794E">
        <w:rPr>
          <w:rFonts w:ascii="Times New Roman" w:eastAsia="MS Mincho" w:hAnsi="Times New Roman" w:cs="Times New Roman"/>
          <w:color w:val="0000FF"/>
          <w:lang w:eastAsia="fr-FR"/>
        </w:rPr>
        <w:t xml:space="preserve"> </w:t>
      </w:r>
    </w:p>
    <w:p w:rsidR="00DE794E" w:rsidRPr="00DE794E" w:rsidRDefault="00DE794E" w:rsidP="00DE794E">
      <w:pPr>
        <w:spacing w:line="480" w:lineRule="auto"/>
        <w:ind w:firstLine="426"/>
        <w:rPr>
          <w:rFonts w:ascii="Times New Roman" w:eastAsia="MS Mincho" w:hAnsi="Times New Roman" w:cs="Times New Roman"/>
          <w:lang w:eastAsia="fr-FR"/>
        </w:rPr>
      </w:pPr>
      <w:r w:rsidRPr="00DE794E">
        <w:rPr>
          <w:rFonts w:ascii="Times New Roman" w:eastAsia="MS Mincho" w:hAnsi="Times New Roman" w:cs="Times New Roman"/>
          <w:lang w:eastAsia="fr-FR"/>
        </w:rPr>
        <w:t xml:space="preserve">However, this growth was followed by a population decline across the Early Bronze Age (EBA; 4050-3550 BP [4250 – 3450 BP in </w:t>
      </w:r>
      <w:r w:rsidRPr="00DE794E">
        <w:rPr>
          <w:rFonts w:ascii="Times New Roman" w:eastAsia="MS Mincho" w:hAnsi="Times New Roman" w:cs="Times New Roman"/>
          <w:i/>
          <w:lang w:eastAsia="fr-FR"/>
        </w:rPr>
        <w:t>Patriarche</w:t>
      </w:r>
      <w:r w:rsidRPr="00DE794E">
        <w:rPr>
          <w:rFonts w:ascii="Times New Roman" w:eastAsia="MS Mincho" w:hAnsi="Times New Roman" w:cs="Times New Roman"/>
          <w:lang w:eastAsia="fr-FR"/>
        </w:rPr>
        <w:t xml:space="preserve">]) and Middle Bronze Age (MBA; 3550-3300 BP [3450-3150 in </w:t>
      </w:r>
      <w:r w:rsidRPr="00DE794E">
        <w:rPr>
          <w:rFonts w:ascii="Times New Roman" w:eastAsia="MS Mincho" w:hAnsi="Times New Roman" w:cs="Times New Roman"/>
          <w:i/>
          <w:lang w:eastAsia="fr-FR"/>
        </w:rPr>
        <w:t>Patriarche</w:t>
      </w:r>
      <w:r w:rsidRPr="00DE794E">
        <w:rPr>
          <w:rFonts w:ascii="Times New Roman" w:eastAsia="MS Mincho" w:hAnsi="Times New Roman" w:cs="Times New Roman"/>
          <w:lang w:eastAsia="fr-FR"/>
        </w:rPr>
        <w:t>]).  This declining population continued to innovate in subsistence strategies: beginning in the MBA, and particularly in the Late Bronze Age (LBA; 3300-2675 BP [3150-2700 in Patriarche]), hulled barley (</w:t>
      </w:r>
      <w:r w:rsidRPr="00DE794E">
        <w:rPr>
          <w:rFonts w:ascii="Times New Roman" w:eastAsia="MS Mincho" w:hAnsi="Times New Roman" w:cs="Times New Roman"/>
          <w:i/>
          <w:lang w:eastAsia="fr-FR"/>
        </w:rPr>
        <w:t>Hordeum vulgare vulgare</w:t>
      </w:r>
      <w:r w:rsidRPr="00DE794E">
        <w:rPr>
          <w:rFonts w:ascii="Times New Roman" w:eastAsia="MS Mincho" w:hAnsi="Times New Roman" w:cs="Times New Roman"/>
          <w:lang w:eastAsia="fr-FR"/>
        </w:rPr>
        <w:t>) replaced naked barley (</w:t>
      </w:r>
      <w:r w:rsidRPr="00DE794E">
        <w:rPr>
          <w:rFonts w:ascii="Times New Roman" w:eastAsia="MS Mincho" w:hAnsi="Times New Roman" w:cs="Times New Roman"/>
          <w:i/>
          <w:lang w:eastAsia="fr-FR"/>
        </w:rPr>
        <w:t>Hordeum vulgare nudum</w:t>
      </w:r>
      <w:r w:rsidRPr="00DE794E">
        <w:rPr>
          <w:rFonts w:ascii="Times New Roman" w:eastAsia="MS Mincho" w:hAnsi="Times New Roman" w:cs="Times New Roman"/>
          <w:lang w:eastAsia="fr-FR"/>
        </w:rPr>
        <w:t xml:space="preserve">) </w:t>
      </w:r>
      <w:r w:rsidR="00627533">
        <w:rPr>
          <w:rFonts w:ascii="Times New Roman" w:eastAsia="MS Mincho" w:hAnsi="Times New Roman" w:cs="Times New Roman"/>
          <w:noProof/>
          <w:lang w:eastAsia="fr-FR"/>
        </w:rPr>
        <w:t>[6]</w:t>
      </w:r>
      <w:r w:rsidRPr="00DE794E">
        <w:rPr>
          <w:rFonts w:ascii="Times New Roman" w:eastAsia="MS Mincho" w:hAnsi="Times New Roman" w:cs="Times New Roman"/>
          <w:lang w:eastAsia="fr-FR"/>
        </w:rPr>
        <w:t>, while fava and grass pea (</w:t>
      </w:r>
      <w:r w:rsidRPr="00DE794E">
        <w:rPr>
          <w:rFonts w:ascii="Times New Roman" w:eastAsia="MS Mincho" w:hAnsi="Times New Roman" w:cs="Times New Roman"/>
          <w:i/>
          <w:lang w:eastAsia="fr-FR"/>
        </w:rPr>
        <w:t>Lathyrus sativus/cicero</w:t>
      </w:r>
      <w:r w:rsidRPr="00DE794E">
        <w:rPr>
          <w:rFonts w:ascii="Times New Roman" w:eastAsia="MS Mincho" w:hAnsi="Times New Roman" w:cs="Times New Roman"/>
          <w:lang w:eastAsia="fr-FR"/>
        </w:rPr>
        <w:t>) and spelt [</w:t>
      </w:r>
      <w:r w:rsidRPr="00DE794E">
        <w:rPr>
          <w:rFonts w:ascii="Times New Roman" w:eastAsia="MS Mincho" w:hAnsi="Times New Roman" w:cs="Times New Roman"/>
          <w:i/>
          <w:lang w:eastAsia="fr-FR"/>
        </w:rPr>
        <w:t>Triticum spelta</w:t>
      </w:r>
      <w:r w:rsidRPr="00DE794E">
        <w:rPr>
          <w:rFonts w:ascii="Times New Roman" w:eastAsia="MS Mincho" w:hAnsi="Times New Roman" w:cs="Times New Roman"/>
          <w:lang w:eastAsia="fr-FR"/>
        </w:rPr>
        <w:t xml:space="preserve">]) became more abundant </w:t>
      </w:r>
      <w:r w:rsidR="00627533">
        <w:rPr>
          <w:rFonts w:ascii="Times New Roman" w:eastAsia="MS Mincho" w:hAnsi="Times New Roman" w:cs="Times New Roman"/>
          <w:lang w:val="fr-FR" w:eastAsia="fr-FR"/>
        </w:rPr>
        <w:t>[7]</w:t>
      </w:r>
      <w:r w:rsidRPr="00DE794E">
        <w:rPr>
          <w:rFonts w:ascii="Times New Roman" w:eastAsia="MS Mincho" w:hAnsi="Times New Roman" w:cs="Times New Roman"/>
          <w:lang w:eastAsia="fr-FR"/>
        </w:rPr>
        <w:t>, and cultivation of leguminous crops (fava beans [</w:t>
      </w:r>
      <w:r w:rsidRPr="00DE794E">
        <w:rPr>
          <w:rFonts w:ascii="Times New Roman" w:eastAsia="MS Mincho" w:hAnsi="Times New Roman" w:cs="Times New Roman"/>
          <w:i/>
          <w:lang w:eastAsia="fr-FR"/>
        </w:rPr>
        <w:t>Vicia faba</w:t>
      </w:r>
      <w:r w:rsidRPr="00DE794E">
        <w:rPr>
          <w:rFonts w:ascii="Times New Roman" w:eastAsia="MS Mincho" w:hAnsi="Times New Roman" w:cs="Times New Roman"/>
          <w:lang w:eastAsia="fr-FR"/>
        </w:rPr>
        <w:t>], vetch [</w:t>
      </w:r>
      <w:r w:rsidRPr="00DE794E">
        <w:rPr>
          <w:rFonts w:ascii="Times New Roman" w:eastAsia="MS Mincho" w:hAnsi="Times New Roman" w:cs="Times New Roman"/>
          <w:i/>
          <w:lang w:eastAsia="fr-FR"/>
        </w:rPr>
        <w:t>Vicia ervilia</w:t>
      </w:r>
      <w:r w:rsidRPr="00DE794E">
        <w:rPr>
          <w:rFonts w:ascii="Times New Roman" w:eastAsia="MS Mincho" w:hAnsi="Times New Roman" w:cs="Times New Roman"/>
          <w:lang w:eastAsia="fr-FR"/>
        </w:rPr>
        <w:t>], and lentil [</w:t>
      </w:r>
      <w:r w:rsidRPr="00DE794E">
        <w:rPr>
          <w:rFonts w:ascii="Times New Roman" w:eastAsia="MS Mincho" w:hAnsi="Times New Roman" w:cs="Times New Roman"/>
          <w:i/>
          <w:lang w:eastAsia="fr-FR"/>
        </w:rPr>
        <w:t>Lens culinaris</w:t>
      </w:r>
      <w:r w:rsidRPr="00DE794E">
        <w:rPr>
          <w:rFonts w:ascii="Times New Roman" w:eastAsia="MS Mincho" w:hAnsi="Times New Roman" w:cs="Times New Roman"/>
          <w:lang w:eastAsia="fr-FR"/>
        </w:rPr>
        <w:t xml:space="preserve">]) </w:t>
      </w:r>
      <w:r w:rsidR="00627533">
        <w:rPr>
          <w:rFonts w:ascii="Times New Roman" w:eastAsia="MS Mincho" w:hAnsi="Times New Roman" w:cs="Times New Roman"/>
          <w:lang w:val="fr-FR" w:eastAsia="fr-FR"/>
        </w:rPr>
        <w:t>[6]</w:t>
      </w:r>
      <w:r w:rsidRPr="00DE794E">
        <w:rPr>
          <w:rFonts w:ascii="Times New Roman" w:eastAsia="MS Mincho" w:hAnsi="Times New Roman" w:cs="Times New Roman"/>
          <w:lang w:eastAsia="fr-FR"/>
        </w:rPr>
        <w:t xml:space="preserve"> increased.  Growing populations at the end of the Bronze Age were accompanied by some settlement aggregation, supplementing the small settlements similar in scale to Neolithic ones with sites as large as several hundred inhabitants </w:t>
      </w:r>
      <w:r w:rsidR="00627533">
        <w:rPr>
          <w:rFonts w:ascii="Times New Roman" w:eastAsia="MS Mincho" w:hAnsi="Times New Roman" w:cs="Times New Roman"/>
          <w:noProof/>
          <w:lang w:eastAsia="fr-FR"/>
        </w:rPr>
        <w:t>[8]</w:t>
      </w:r>
      <w:r w:rsidRPr="00DE794E">
        <w:rPr>
          <w:rFonts w:ascii="Times New Roman" w:eastAsia="MS Mincho" w:hAnsi="Times New Roman" w:cs="Times New Roman"/>
          <w:lang w:eastAsia="fr-FR"/>
        </w:rPr>
        <w:t xml:space="preserve">, but the majority of settlements were still small.  Transhumance between coastal and higher-elevation inland areas, which had likely begun in the Neolithic, increased </w:t>
      </w:r>
      <w:r w:rsidR="00627533">
        <w:rPr>
          <w:rFonts w:ascii="Times New Roman" w:eastAsia="MS Mincho" w:hAnsi="Times New Roman" w:cs="Times New Roman"/>
          <w:noProof/>
          <w:lang w:eastAsia="fr-FR"/>
        </w:rPr>
        <w:t>[9]</w:t>
      </w:r>
      <w:r w:rsidRPr="00DE794E">
        <w:rPr>
          <w:rFonts w:ascii="Times New Roman" w:eastAsia="MS Mincho" w:hAnsi="Times New Roman" w:cs="Times New Roman"/>
          <w:lang w:eastAsia="fr-FR"/>
        </w:rPr>
        <w:t>.</w:t>
      </w:r>
    </w:p>
    <w:p w:rsidR="00DE794E" w:rsidRPr="00DE794E" w:rsidRDefault="00DE794E" w:rsidP="00DE794E">
      <w:pPr>
        <w:spacing w:line="480" w:lineRule="auto"/>
        <w:ind w:firstLine="426"/>
        <w:rPr>
          <w:rFonts w:ascii="Times New Roman" w:eastAsia="MS Mincho" w:hAnsi="Times New Roman" w:cs="Times New Roman"/>
          <w:color w:val="FF0000"/>
          <w:lang w:eastAsia="fr-FR"/>
        </w:rPr>
      </w:pPr>
      <w:r w:rsidRPr="00DE794E">
        <w:rPr>
          <w:rFonts w:ascii="Times New Roman" w:eastAsia="MS Mincho" w:hAnsi="Times New Roman" w:cs="Times New Roman"/>
          <w:lang w:eastAsia="fr-FR"/>
        </w:rPr>
        <w:t xml:space="preserve">The demographic decline at the beginning of the Early Iron Age (EIA; 2675 – 2550 BP) was followed by the founding of the Greek colony of Marseille in 2550 BP.  Growth following Marseille’s foundation </w:t>
      </w:r>
      <w:r w:rsidR="00627533">
        <w:rPr>
          <w:rFonts w:ascii="Times New Roman" w:eastAsia="MS Mincho" w:hAnsi="Times New Roman" w:cs="Times New Roman"/>
          <w:noProof/>
          <w:lang w:eastAsia="fr-FR"/>
        </w:rPr>
        <w:t>[10]</w:t>
      </w:r>
      <w:r w:rsidRPr="00DE794E">
        <w:rPr>
          <w:rFonts w:ascii="Times New Roman" w:eastAsia="MS Mincho" w:hAnsi="Times New Roman" w:cs="Times New Roman"/>
          <w:lang w:eastAsia="fr-FR"/>
        </w:rPr>
        <w:t xml:space="preserve">, however, did not preclude a notable demographic decline around the year 2450 BP </w:t>
      </w:r>
      <w:r w:rsidR="00627533">
        <w:rPr>
          <w:rFonts w:ascii="Times New Roman" w:eastAsia="MS Mincho" w:hAnsi="Times New Roman" w:cs="Times New Roman"/>
          <w:noProof/>
          <w:lang w:eastAsia="fr-FR"/>
        </w:rPr>
        <w:t>[11]</w:t>
      </w:r>
      <w:r w:rsidRPr="00DE794E">
        <w:rPr>
          <w:rFonts w:ascii="Times New Roman" w:eastAsia="MS Mincho" w:hAnsi="Times New Roman" w:cs="Times New Roman"/>
          <w:lang w:eastAsia="fr-FR"/>
        </w:rPr>
        <w:t xml:space="preserve">.  During the subsequent two centuries (2550-2350 BP), demographic growth in Provence is evident from both the foundation of new sites and the aggregation of population </w:t>
      </w:r>
      <w:r w:rsidRPr="00DE794E">
        <w:rPr>
          <w:rFonts w:ascii="Times New Roman" w:eastAsia="MS Mincho" w:hAnsi="Times New Roman" w:cs="Times New Roman"/>
          <w:lang w:eastAsia="fr-FR"/>
        </w:rPr>
        <w:lastRenderedPageBreak/>
        <w:t xml:space="preserve">into larger sites </w:t>
      </w:r>
      <w:r w:rsidR="00627533">
        <w:rPr>
          <w:rFonts w:ascii="Times New Roman" w:eastAsia="MS Mincho" w:hAnsi="Times New Roman" w:cs="Times New Roman"/>
          <w:noProof/>
          <w:lang w:eastAsia="fr-FR"/>
        </w:rPr>
        <w:t>[10]</w:t>
      </w:r>
      <w:r w:rsidRPr="00DE794E">
        <w:rPr>
          <w:rFonts w:ascii="Times New Roman" w:eastAsia="MS Mincho" w:hAnsi="Times New Roman" w:cs="Times New Roman"/>
          <w:lang w:eastAsia="fr-FR"/>
        </w:rPr>
        <w:t xml:space="preserve">.  Demographic growth in EIA Provence, however, was not monotonic: there is a notable demographic decline around the year 2450 BP just before the beginning of the Late Iron Age (LIA; 2400 – 2002 BP), followed around 2200 BP by new population growth marked by sites at high altitudes and commercially-oriented sites along the coast and fluvial axes </w:t>
      </w:r>
      <w:r w:rsidR="00627533">
        <w:rPr>
          <w:rFonts w:ascii="Times New Roman" w:eastAsia="MS Mincho" w:hAnsi="Times New Roman" w:cs="Times New Roman"/>
          <w:noProof/>
          <w:lang w:eastAsia="fr-FR"/>
        </w:rPr>
        <w:t>[11]</w:t>
      </w:r>
      <w:r w:rsidRPr="00DE794E">
        <w:rPr>
          <w:rFonts w:ascii="Times New Roman" w:eastAsia="MS Mincho" w:hAnsi="Times New Roman" w:cs="Times New Roman"/>
          <w:lang w:eastAsia="fr-FR"/>
        </w:rPr>
        <w:t xml:space="preserve">.  </w:t>
      </w:r>
    </w:p>
    <w:p w:rsidR="00DE794E" w:rsidRPr="00DE794E" w:rsidRDefault="00DE794E" w:rsidP="00DE794E">
      <w:pPr>
        <w:spacing w:line="480" w:lineRule="auto"/>
        <w:ind w:firstLine="708"/>
        <w:rPr>
          <w:rFonts w:ascii="Times New Roman" w:eastAsia="MS Mincho" w:hAnsi="Times New Roman" w:cs="Times New Roman"/>
          <w:lang w:eastAsia="fr-FR"/>
        </w:rPr>
      </w:pPr>
      <w:r w:rsidRPr="00DE794E">
        <w:rPr>
          <w:rFonts w:ascii="Times New Roman" w:eastAsia="MS Mincho" w:hAnsi="Times New Roman" w:cs="Times New Roman"/>
          <w:lang w:eastAsia="fr-FR"/>
        </w:rPr>
        <w:t>During the LIA cultivation of olive increased, while other tree crops (fig (</w:t>
      </w:r>
      <w:r w:rsidRPr="00DE794E">
        <w:rPr>
          <w:rFonts w:ascii="Times New Roman" w:eastAsia="MS Mincho" w:hAnsi="Times New Roman" w:cs="Times New Roman"/>
          <w:i/>
          <w:lang w:eastAsia="fr-FR"/>
        </w:rPr>
        <w:t>Ficus carica</w:t>
      </w:r>
      <w:r w:rsidRPr="00DE794E">
        <w:rPr>
          <w:rFonts w:ascii="Times New Roman" w:eastAsia="MS Mincho" w:hAnsi="Times New Roman" w:cs="Times New Roman"/>
          <w:lang w:eastAsia="fr-FR"/>
        </w:rPr>
        <w:t>) and vine (</w:t>
      </w:r>
      <w:r w:rsidRPr="00DE794E">
        <w:rPr>
          <w:rFonts w:ascii="Times New Roman" w:eastAsia="MS Mincho" w:hAnsi="Times New Roman" w:cs="Times New Roman"/>
          <w:i/>
          <w:lang w:eastAsia="fr-FR"/>
        </w:rPr>
        <w:t>Vitis vinifera</w:t>
      </w:r>
      <w:r w:rsidRPr="00DE794E">
        <w:rPr>
          <w:rFonts w:ascii="Times New Roman" w:eastAsia="MS Mincho" w:hAnsi="Times New Roman" w:cs="Times New Roman"/>
          <w:lang w:eastAsia="fr-FR"/>
        </w:rPr>
        <w:t xml:space="preserve">)) were introduced </w:t>
      </w:r>
      <w:r w:rsidR="00627533">
        <w:rPr>
          <w:rFonts w:ascii="Times New Roman" w:eastAsia="MS Mincho" w:hAnsi="Times New Roman" w:cs="Times New Roman"/>
          <w:noProof/>
          <w:lang w:eastAsia="fr-FR"/>
        </w:rPr>
        <w:t>[12]</w:t>
      </w:r>
      <w:r w:rsidRPr="00DE794E">
        <w:rPr>
          <w:rFonts w:ascii="Times New Roman" w:eastAsia="MS Mincho" w:hAnsi="Times New Roman" w:cs="Times New Roman"/>
          <w:lang w:eastAsia="fr-FR"/>
        </w:rPr>
        <w:t xml:space="preserve"> and specialized production (e.g., of wine) began.  The practice of Mediterranean polycropping also appeared </w:t>
      </w:r>
      <w:r w:rsidR="00627533">
        <w:rPr>
          <w:rFonts w:ascii="Times New Roman" w:eastAsia="MS Mincho" w:hAnsi="Times New Roman" w:cs="Times New Roman"/>
          <w:noProof/>
          <w:lang w:eastAsia="fr-FR"/>
        </w:rPr>
        <w:t>[11]</w:t>
      </w:r>
      <w:r w:rsidRPr="00DE794E">
        <w:rPr>
          <w:rFonts w:ascii="Times New Roman" w:eastAsia="MS Mincho" w:hAnsi="Times New Roman" w:cs="Times New Roman"/>
          <w:lang w:eastAsia="fr-FR"/>
        </w:rPr>
        <w:t xml:space="preserve">, and there is the first clear evidence of fertilization </w:t>
      </w:r>
      <w:r w:rsidR="00627533">
        <w:rPr>
          <w:rFonts w:ascii="Times New Roman" w:eastAsia="MS Mincho" w:hAnsi="Times New Roman" w:cs="Times New Roman"/>
          <w:noProof/>
          <w:lang w:eastAsia="fr-FR"/>
        </w:rPr>
        <w:t>[5]</w:t>
      </w:r>
      <w:r w:rsidRPr="00DE794E">
        <w:rPr>
          <w:rFonts w:ascii="Times New Roman" w:eastAsia="MS Mincho" w:hAnsi="Times New Roman" w:cs="Times New Roman"/>
          <w:lang w:eastAsia="fr-FR"/>
        </w:rPr>
        <w:t xml:space="preserve">, though manuring was likely practiced much earlier </w:t>
      </w:r>
      <w:r w:rsidR="00627533">
        <w:rPr>
          <w:rFonts w:ascii="Times New Roman" w:eastAsia="MS Mincho" w:hAnsi="Times New Roman" w:cs="Times New Roman"/>
          <w:noProof/>
          <w:lang w:eastAsia="fr-FR"/>
        </w:rPr>
        <w:t>[13,14]</w:t>
      </w:r>
      <w:bookmarkStart w:id="0" w:name="_GoBack"/>
      <w:bookmarkEnd w:id="0"/>
      <w:r w:rsidRPr="00DE794E">
        <w:rPr>
          <w:rFonts w:ascii="Times New Roman" w:eastAsia="MS Mincho" w:hAnsi="Times New Roman" w:cs="Times New Roman"/>
          <w:lang w:eastAsia="fr-FR"/>
        </w:rPr>
        <w:t xml:space="preserve">. </w:t>
      </w:r>
    </w:p>
    <w:p w:rsidR="00DE794E" w:rsidRPr="00DE794E" w:rsidRDefault="00DE794E" w:rsidP="00DE794E">
      <w:pPr>
        <w:spacing w:line="480" w:lineRule="auto"/>
        <w:ind w:firstLine="708"/>
        <w:rPr>
          <w:rFonts w:ascii="Times New Roman" w:eastAsia="MS Mincho" w:hAnsi="Times New Roman" w:cs="Times New Roman"/>
          <w:lang w:eastAsia="fr-FR"/>
        </w:rPr>
      </w:pPr>
      <w:r w:rsidRPr="00DE794E">
        <w:rPr>
          <w:rFonts w:ascii="Times New Roman" w:eastAsia="MS Mincho" w:hAnsi="Times New Roman" w:cs="Times New Roman"/>
          <w:lang w:eastAsia="fr-FR"/>
        </w:rPr>
        <w:t>Between 2071-2068 BP (121-118 BC), Provence became a Roman province (Transalpine Gaul).  Several Celtic towns were abandoned at this time, but others continued to be occupied, and overall population density increased significantly, especially in the lowlands where agricultural exploitation increased.</w:t>
      </w:r>
    </w:p>
    <w:p w:rsidR="00DE794E" w:rsidRPr="00DE794E" w:rsidRDefault="00DE794E" w:rsidP="00DE794E">
      <w:pPr>
        <w:spacing w:line="480" w:lineRule="auto"/>
        <w:ind w:firstLine="708"/>
        <w:rPr>
          <w:rFonts w:ascii="Times New Roman" w:eastAsia="MS Mincho" w:hAnsi="Times New Roman" w:cs="Times New Roman"/>
          <w:lang w:eastAsia="fr-FR"/>
        </w:rPr>
      </w:pPr>
      <w:r w:rsidRPr="00DE794E">
        <w:rPr>
          <w:rFonts w:ascii="Times New Roman" w:eastAsia="MS Mincho" w:hAnsi="Times New Roman" w:cs="Times New Roman"/>
          <w:lang w:eastAsia="fr-FR"/>
        </w:rPr>
        <w:t xml:space="preserve">By the Gallo-Roman Period, small-scale irrigation had probably been practiced for some time, but large-scale irrigation was introduced </w:t>
      </w:r>
      <w:r w:rsidRPr="00DE794E">
        <w:rPr>
          <w:rFonts w:ascii="Times New Roman" w:eastAsia="MS Mincho" w:hAnsi="Times New Roman" w:cs="Times New Roman"/>
          <w:noProof/>
          <w:lang w:eastAsia="fr-FR"/>
        </w:rPr>
        <w:t>(cf. [15])</w:t>
      </w:r>
      <w:r w:rsidRPr="00DE794E">
        <w:rPr>
          <w:rFonts w:ascii="Times New Roman" w:eastAsia="MS Mincho" w:hAnsi="Times New Roman" w:cs="Times New Roman"/>
          <w:lang w:eastAsia="fr-FR"/>
        </w:rPr>
        <w:t xml:space="preserve">, reducing vulnerability to short-term variability in precipitation.  These dynamics intensified at the beginning of the second millennium BP (end of the 1st century BC) with the advent of the Roman Empire.  </w:t>
      </w:r>
    </w:p>
    <w:p w:rsidR="00D822C2" w:rsidRDefault="00D822C2"/>
    <w:sectPr w:rsidR="00D822C2" w:rsidSect="0091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4E"/>
    <w:rsid w:val="000A6737"/>
    <w:rsid w:val="00457C36"/>
    <w:rsid w:val="004D364B"/>
    <w:rsid w:val="00627533"/>
    <w:rsid w:val="00874E20"/>
    <w:rsid w:val="008E259A"/>
    <w:rsid w:val="009136F2"/>
    <w:rsid w:val="00A2439B"/>
    <w:rsid w:val="00A9028F"/>
    <w:rsid w:val="00CC3834"/>
    <w:rsid w:val="00D30F5E"/>
    <w:rsid w:val="00D46BC1"/>
    <w:rsid w:val="00D822C2"/>
    <w:rsid w:val="00DE794E"/>
    <w:rsid w:val="00E8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7B06"/>
  <w15:chartTrackingRefBased/>
  <w15:docId w15:val="{7C2A34CF-4216-C243-B968-0E3D5C1C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lturecommunication.gouv.fr/Politiques-ministerielles/Archeologie/Etude-recherche/Carte-archeologique-nati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Alexander Contreras</dc:creator>
  <cp:keywords/>
  <dc:description/>
  <cp:lastModifiedBy>Daniel Alexander Contreras</cp:lastModifiedBy>
  <cp:revision>2</cp:revision>
  <dcterms:created xsi:type="dcterms:W3CDTF">2018-11-08T21:07:00Z</dcterms:created>
  <dcterms:modified xsi:type="dcterms:W3CDTF">2018-11-14T22:32:00Z</dcterms:modified>
</cp:coreProperties>
</file>