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3F592A">
        <w:rPr>
          <w:rFonts w:asciiTheme="majorBidi" w:hAnsiTheme="majorBidi" w:cstheme="majorBidi"/>
          <w:b/>
          <w:bCs/>
          <w:color w:val="000000" w:themeColor="text1"/>
        </w:rPr>
        <w:t>S6 Table.</w:t>
      </w:r>
      <w:proofErr w:type="gramEnd"/>
      <w:r w:rsidRPr="003F592A">
        <w:rPr>
          <w:rFonts w:asciiTheme="majorBidi" w:hAnsiTheme="majorBidi" w:cstheme="majorBidi"/>
          <w:b/>
          <w:bCs/>
          <w:color w:val="000000" w:themeColor="text1"/>
        </w:rPr>
        <w:t xml:space="preserve"> Multivariate analysis of factors associated with cesarean deliveries. Multilevel logistic regression models with hospital fixed effects. </w:t>
      </w:r>
      <w:proofErr w:type="gramStart"/>
      <w:r w:rsidRPr="003F592A">
        <w:rPr>
          <w:rFonts w:asciiTheme="majorBidi" w:hAnsiTheme="majorBidi" w:cstheme="majorBidi"/>
          <w:color w:val="000000" w:themeColor="text1"/>
        </w:rPr>
        <w:t>50% assumption for part-time private physicians.</w:t>
      </w:r>
      <w:proofErr w:type="gramEnd"/>
    </w:p>
    <w:p w:rsidR="00BF68AE" w:rsidRPr="003F592A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tbl>
      <w:tblPr>
        <w:tblW w:w="8607" w:type="dxa"/>
        <w:tblInd w:w="42" w:type="dxa"/>
        <w:tblCellMar>
          <w:left w:w="70" w:type="dxa"/>
          <w:right w:w="70" w:type="dxa"/>
        </w:tblCellMar>
        <w:tblLook w:val="04A0"/>
      </w:tblPr>
      <w:tblGrid>
        <w:gridCol w:w="3147"/>
        <w:gridCol w:w="1653"/>
        <w:gridCol w:w="1704"/>
        <w:gridCol w:w="2103"/>
      </w:tblGrid>
      <w:tr w:rsidR="00BF68AE" w:rsidRPr="00BF68AE" w:rsidTr="00B438FB">
        <w:trPr>
          <w:trHeight w:val="288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rFonts w:ascii="Calibri" w:hAnsi="Calibri"/>
                <w:color w:val="000000"/>
                <w:lang w:val="fr-FR" w:eastAsia="fr-FR"/>
              </w:rPr>
            </w:pPr>
            <w:r w:rsidRPr="00BF68AE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aOR</w:t>
            </w:r>
            <w:proofErr w:type="spellEnd"/>
            <w:r w:rsidRPr="00BF68AE">
              <w:rPr>
                <w:b/>
                <w:bCs/>
                <w:color w:val="000000"/>
                <w:sz w:val="18"/>
                <w:szCs w:val="18"/>
                <w:vertAlign w:val="superscript"/>
                <w:lang w:val="fr-FR" w:eastAsia="fr-FR"/>
              </w:rPr>
              <w:t xml:space="preserve"> </w:t>
            </w:r>
            <w:r w:rsidRPr="00BF68AE">
              <w:rPr>
                <w:color w:val="000000"/>
                <w:sz w:val="18"/>
                <w:szCs w:val="18"/>
                <w:lang w:val="fr-FR" w:eastAsia="fr-FR"/>
              </w:rPr>
              <w:t>[</w:t>
            </w:r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95% CI</w:t>
            </w:r>
            <w:r w:rsidRPr="00BF68AE">
              <w:rPr>
                <w:color w:val="000000"/>
                <w:sz w:val="18"/>
                <w:szCs w:val="18"/>
                <w:lang w:val="fr-FR" w:eastAsia="fr-FR"/>
              </w:rPr>
              <w:t>]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Urgent </w:t>
            </w: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cesarean</w:t>
            </w:r>
            <w:proofErr w:type="spellEnd"/>
            <w:r w:rsidRPr="00BF68AE">
              <w:rPr>
                <w:color w:val="000000"/>
                <w:sz w:val="16"/>
                <w:szCs w:val="16"/>
                <w:vertAlign w:val="superscript"/>
                <w:lang w:val="fr-FR" w:eastAsia="fr-FR"/>
              </w:rPr>
              <w:t xml:space="preserve"> </w:t>
            </w:r>
            <w:r w:rsidRPr="00BF68AE">
              <w:rPr>
                <w:b/>
                <w:bCs/>
                <w:color w:val="000000"/>
                <w:sz w:val="18"/>
                <w:szCs w:val="18"/>
                <w:vertAlign w:val="superscript"/>
                <w:lang w:val="fr-FR" w:eastAsia="fr-FR"/>
              </w:rPr>
              <w:t>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Elective </w:t>
            </w: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cesarean</w:t>
            </w:r>
            <w:proofErr w:type="spellEnd"/>
            <w:r w:rsidRPr="00BF68AE">
              <w:rPr>
                <w:color w:val="000000"/>
                <w:sz w:val="16"/>
                <w:szCs w:val="16"/>
                <w:vertAlign w:val="superscript"/>
                <w:lang w:val="fr-FR" w:eastAsia="fr-FR"/>
              </w:rPr>
              <w:t xml:space="preserve"> </w:t>
            </w:r>
            <w:r w:rsidRPr="00BF68AE">
              <w:rPr>
                <w:b/>
                <w:bCs/>
                <w:color w:val="000000"/>
                <w:sz w:val="18"/>
                <w:szCs w:val="18"/>
                <w:vertAlign w:val="superscript"/>
                <w:lang w:val="fr-FR" w:eastAsia="fr-FR"/>
              </w:rPr>
              <w:t>b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Intrapartum</w:t>
            </w:r>
            <w:proofErr w:type="spellEnd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cesarean</w:t>
            </w:r>
            <w:proofErr w:type="spellEnd"/>
            <w:r w:rsidRPr="00BF68AE">
              <w:rPr>
                <w:color w:val="000000"/>
                <w:sz w:val="16"/>
                <w:szCs w:val="16"/>
                <w:vertAlign w:val="superscript"/>
                <w:lang w:val="fr-FR" w:eastAsia="fr-FR"/>
              </w:rPr>
              <w:t xml:space="preserve"> </w:t>
            </w:r>
            <w:r w:rsidRPr="00BF68AE">
              <w:rPr>
                <w:b/>
                <w:bCs/>
                <w:color w:val="000000"/>
                <w:sz w:val="18"/>
                <w:szCs w:val="18"/>
                <w:vertAlign w:val="superscript"/>
                <w:lang w:val="fr-FR" w:eastAsia="fr-FR"/>
              </w:rPr>
              <w:t>C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rFonts w:ascii="Calibri" w:hAnsi="Calibri"/>
                <w:color w:val="000000"/>
                <w:lang w:val="fr-FR" w:eastAsia="fr-FR"/>
              </w:rPr>
            </w:pPr>
            <w:r w:rsidRPr="00BF68AE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(n = 2508/102 236)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(n = 10 243/99 728)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(n = 11 719/89 485)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Trend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0.96 (0.93-0.99)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1.00 (0.98-1.02)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1.01 (0.98-1.03)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both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Women’s</w:t>
            </w:r>
            <w:proofErr w:type="spellEnd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characteristics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Maternal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age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years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1.03 (1.02-1.04)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1.05 (1.05-1.06)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1.04 (1.03-1.04)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Nulliparous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1.55 (1.17-2.05)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1.09 (0.79-1.50)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5.03 (4.40-5.75)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Previous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cesarean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5.08 (4.13-6.25)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25.25 (19.80-32.19)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11.00 (9.52-12.71)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both"/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Medical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risk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condition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1.82 (1.63-2.03)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1.42 (1.34-1.51)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1.19 (1.09-1.30)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Multiple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pregnancy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0.40 (0.26-0.60)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1.00 (0.69-1.44)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0.82 (0.67-1.00)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Preterm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delivery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4.46 (3.81-5.22)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0.77 (0.59-0.99)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1.29 (1.20-1.39)</w:t>
            </w:r>
          </w:p>
        </w:tc>
      </w:tr>
      <w:tr w:rsidR="00BF68AE" w:rsidRPr="00BF68AE" w:rsidTr="00B438FB">
        <w:trPr>
          <w:trHeight w:val="312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Breech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/transverse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presentation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5.09 (4.02-</w:t>
            </w:r>
            <w:r w:rsidRPr="00BF68AE">
              <w:rPr>
                <w:color w:val="000000"/>
                <w:lang w:val="fr-FR" w:eastAsia="fr-FR"/>
              </w:rPr>
              <w:t xml:space="preserve"> </w:t>
            </w:r>
            <w:r w:rsidRPr="00BF68AE">
              <w:rPr>
                <w:color w:val="000000"/>
                <w:sz w:val="18"/>
                <w:szCs w:val="18"/>
                <w:lang w:val="fr-FR" w:eastAsia="fr-FR"/>
              </w:rPr>
              <w:t>6.44)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36.63 (28.16-47.65)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15.47 (11.79-20.29)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Induced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labor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2.44 (2.31-2.58)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Birth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weight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(grams)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ind w:firstLineChars="100" w:firstLine="180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&lt; 2500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2.80 (2.38-3.30)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1.31 (1.03-1.67)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1.54 (1.35-1.76)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ind w:firstLineChars="100" w:firstLine="180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2500-4000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ind w:firstLineChars="100" w:firstLine="180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&gt; 4000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0.92 (0.72-1.18)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1.56 (1.11-2.18)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2.02 (1.85-2.20)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both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Maternity</w:t>
            </w:r>
            <w:proofErr w:type="spellEnd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unit </w:t>
            </w: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characteristics</w:t>
            </w:r>
            <w:proofErr w:type="spellEnd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BF68AE">
              <w:rPr>
                <w:b/>
                <w:bCs/>
                <w:color w:val="000000"/>
                <w:sz w:val="18"/>
                <w:szCs w:val="18"/>
                <w:vertAlign w:val="superscript"/>
                <w:lang w:val="fr-FR" w:eastAsia="fr-FR"/>
              </w:rPr>
              <w:t>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</w:tr>
      <w:tr w:rsidR="00BF68AE" w:rsidRPr="00BF68AE" w:rsidTr="00B438FB">
        <w:trPr>
          <w:trHeight w:val="312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Weekend/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holiday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delivery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1.12 (0.98-</w:t>
            </w:r>
            <w:r w:rsidRPr="00BF68AE">
              <w:rPr>
                <w:color w:val="000000"/>
                <w:lang w:val="fr-FR" w:eastAsia="fr-FR"/>
              </w:rPr>
              <w:t xml:space="preserve"> </w:t>
            </w: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1.27)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0.12 (0.09-0.15)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0.96 (0.91-1.01)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On-call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obstetrician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outside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the unit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1.31 (0.91-1.88)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1.16 (1.01-1.34)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1.12 (0.90-1.39)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Size (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deliveries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/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year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rFonts w:ascii="Calibri" w:hAnsi="Calibri"/>
                <w:color w:val="000000"/>
                <w:lang w:val="fr-FR" w:eastAsia="fr-FR"/>
              </w:rPr>
            </w:pP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ind w:firstLineChars="100" w:firstLine="180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&lt; 1000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1.06 (0.88-1.27)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1.21 (1.10-1.32)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0.89 (0.81-0.98)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ind w:firstLineChars="100" w:firstLine="180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1000-1999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ind w:firstLineChars="100" w:firstLine="180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≥ 2000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1.21 (1.06-1.37)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1.00 (0.93-1.07)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1.04 (1.00-1.09)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Obstetricians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FTEs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/100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deliveries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1.46 (0.62-3.43)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0.93 (0.56-1.54)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0.61 (0.43-0.87)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both"/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Anesthesiologists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FTEs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/100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deliveries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)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1.47 (0.66-3.27)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1.04 (0.68-1.61)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1.07 (0.68-1.67)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both"/>
              <w:rPr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Midwives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 (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FTEs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/100 </w:t>
            </w:r>
            <w:proofErr w:type="spellStart"/>
            <w:r w:rsidRPr="00BF68AE">
              <w:rPr>
                <w:color w:val="000000"/>
                <w:sz w:val="18"/>
                <w:szCs w:val="18"/>
                <w:lang w:val="fr-FR" w:eastAsia="fr-FR"/>
              </w:rPr>
              <w:t>deliveries</w:t>
            </w:r>
            <w:proofErr w:type="spellEnd"/>
            <w:r w:rsidRPr="00BF68AE">
              <w:rPr>
                <w:color w:val="000000"/>
                <w:sz w:val="18"/>
                <w:szCs w:val="18"/>
                <w:lang w:val="fr-FR" w:eastAsia="fr-FR"/>
              </w:rPr>
              <w:t xml:space="preserve">)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1.05 (0.65-1.68)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0.78 (0.64-0.95)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color w:val="000000"/>
                <w:sz w:val="18"/>
                <w:szCs w:val="18"/>
                <w:lang w:val="fr-FR" w:eastAsia="fr-FR"/>
              </w:rPr>
              <w:t>1.08 (0.82-1.42)</w:t>
            </w:r>
          </w:p>
        </w:tc>
      </w:tr>
      <w:tr w:rsidR="00BF68AE" w:rsidRPr="00BF68AE" w:rsidTr="00B438FB">
        <w:trPr>
          <w:trHeight w:val="288"/>
        </w:trPr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both"/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Hosmer</w:t>
            </w:r>
            <w:proofErr w:type="spellEnd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-</w:t>
            </w:r>
            <w:proofErr w:type="spellStart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>Lemeshow</w:t>
            </w:r>
            <w:proofErr w:type="spellEnd"/>
            <w:r w:rsidRPr="00BF68AE">
              <w:rPr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test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i/>
                <w:iCs/>
                <w:color w:val="000000"/>
                <w:sz w:val="18"/>
                <w:szCs w:val="18"/>
                <w:lang w:val="fr-FR" w:eastAsia="fr-FR"/>
              </w:rPr>
              <w:t>P</w:t>
            </w:r>
            <w:r w:rsidRPr="00BF68AE">
              <w:rPr>
                <w:color w:val="000000"/>
                <w:sz w:val="18"/>
                <w:szCs w:val="18"/>
                <w:lang w:val="fr-FR" w:eastAsia="fr-FR"/>
              </w:rPr>
              <w:t>-value = 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i/>
                <w:iCs/>
                <w:color w:val="000000"/>
                <w:sz w:val="18"/>
                <w:szCs w:val="18"/>
                <w:lang w:val="fr-FR" w:eastAsia="fr-FR"/>
              </w:rPr>
              <w:t>P</w:t>
            </w:r>
            <w:r w:rsidRPr="00BF68AE">
              <w:rPr>
                <w:color w:val="000000"/>
                <w:sz w:val="18"/>
                <w:szCs w:val="18"/>
                <w:lang w:val="fr-FR" w:eastAsia="fr-FR"/>
              </w:rPr>
              <w:t>-value = 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8AE" w:rsidRPr="00BF68AE" w:rsidRDefault="00BF68AE" w:rsidP="00BF68AE">
            <w:pPr>
              <w:jc w:val="center"/>
              <w:rPr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BF68AE">
              <w:rPr>
                <w:i/>
                <w:iCs/>
                <w:color w:val="000000"/>
                <w:sz w:val="18"/>
                <w:szCs w:val="18"/>
                <w:lang w:val="fr-FR" w:eastAsia="fr-FR"/>
              </w:rPr>
              <w:t>P</w:t>
            </w:r>
            <w:r w:rsidRPr="00BF68AE">
              <w:rPr>
                <w:color w:val="000000"/>
                <w:sz w:val="18"/>
                <w:szCs w:val="18"/>
                <w:lang w:val="fr-FR" w:eastAsia="fr-FR"/>
              </w:rPr>
              <w:t>-value = 1</w:t>
            </w:r>
          </w:p>
        </w:tc>
      </w:tr>
    </w:tbl>
    <w:p w:rsidR="00BF68AE" w:rsidRPr="003F592A" w:rsidRDefault="00BF68AE" w:rsidP="00BF68AE">
      <w:pPr>
        <w:autoSpaceDE w:val="0"/>
        <w:autoSpaceDN w:val="0"/>
        <w:adjustRightInd w:val="0"/>
        <w:ind w:right="-738"/>
        <w:jc w:val="both"/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</w:pPr>
      <w:proofErr w:type="spellStart"/>
      <w:proofErr w:type="gramStart"/>
      <w:r w:rsidRPr="003F592A">
        <w:rPr>
          <w:rFonts w:asciiTheme="majorBidi" w:eastAsiaTheme="minorHAnsi" w:hAnsiTheme="majorBidi" w:cstheme="majorBidi"/>
          <w:color w:val="000000" w:themeColor="text1"/>
          <w:sz w:val="16"/>
          <w:szCs w:val="16"/>
          <w:lang w:val="en-GB"/>
        </w:rPr>
        <w:t>a</w:t>
      </w:r>
      <w:r w:rsidRPr="003F592A"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  <w:t>OR</w:t>
      </w:r>
      <w:proofErr w:type="spellEnd"/>
      <w:proofErr w:type="gramEnd"/>
      <w:r w:rsidRPr="003F592A"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  <w:t xml:space="preserve">, adjusted odds ratio; CI, confidence interval; </w:t>
      </w:r>
      <w:r w:rsidRPr="003F592A">
        <w:rPr>
          <w:rFonts w:asciiTheme="majorBidi" w:eastAsiaTheme="minorHAnsi" w:hAnsiTheme="majorBidi" w:cstheme="majorBidi"/>
          <w:color w:val="000000" w:themeColor="text1"/>
          <w:sz w:val="16"/>
          <w:szCs w:val="16"/>
          <w:lang w:val="en-GB"/>
        </w:rPr>
        <w:t xml:space="preserve">FTEs, </w:t>
      </w:r>
      <w:r w:rsidRPr="003F592A">
        <w:rPr>
          <w:rFonts w:asciiTheme="majorBidi" w:hAnsiTheme="majorBidi" w:cstheme="majorBidi"/>
          <w:color w:val="000000" w:themeColor="text1"/>
          <w:sz w:val="16"/>
          <w:szCs w:val="16"/>
          <w:lang w:val="en-GB"/>
        </w:rPr>
        <w:t>full-time equivalents.</w:t>
      </w:r>
    </w:p>
    <w:p w:rsidR="00BF68AE" w:rsidRPr="003F592A" w:rsidRDefault="00BF68AE" w:rsidP="00BF68AE">
      <w:pPr>
        <w:autoSpaceDE w:val="0"/>
        <w:autoSpaceDN w:val="0"/>
        <w:adjustRightInd w:val="0"/>
        <w:ind w:right="-3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proofErr w:type="gramStart"/>
      <w:r w:rsidRPr="003F592A">
        <w:rPr>
          <w:rFonts w:asciiTheme="majorBidi" w:eastAsiaTheme="minorEastAsia" w:hAnsiTheme="majorBidi" w:cstheme="majorBidi"/>
          <w:color w:val="000000" w:themeColor="text1"/>
          <w:sz w:val="16"/>
          <w:szCs w:val="16"/>
          <w:vertAlign w:val="superscript"/>
          <w:lang w:eastAsia="fr-FR"/>
        </w:rPr>
        <w:t>a</w:t>
      </w:r>
      <w:proofErr w:type="gramEnd"/>
      <w:r w:rsidRPr="003F592A">
        <w:rPr>
          <w:rFonts w:asciiTheme="majorBidi" w:eastAsiaTheme="minorEastAsia" w:hAnsiTheme="majorBidi" w:cstheme="majorBidi"/>
          <w:color w:val="000000" w:themeColor="text1"/>
          <w:sz w:val="16"/>
          <w:szCs w:val="16"/>
          <w:lang w:eastAsia="fr-FR"/>
        </w:rPr>
        <w:t xml:space="preserve"> </w:t>
      </w:r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Urgent cesareans were compared with all other deliveries (elective cesareans, </w:t>
      </w:r>
      <w:proofErr w:type="spellStart"/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>intrapartum</w:t>
      </w:r>
      <w:proofErr w:type="spellEnd"/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cesareans, and vaginal deliveries).</w:t>
      </w:r>
    </w:p>
    <w:p w:rsidR="00BF68AE" w:rsidRPr="003F592A" w:rsidRDefault="00BF68AE" w:rsidP="00BF68AE">
      <w:pPr>
        <w:autoSpaceDE w:val="0"/>
        <w:autoSpaceDN w:val="0"/>
        <w:adjustRightInd w:val="0"/>
        <w:ind w:right="-3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proofErr w:type="gramStart"/>
      <w:r w:rsidRPr="003F592A">
        <w:rPr>
          <w:rFonts w:asciiTheme="majorBidi" w:eastAsiaTheme="minorEastAsia" w:hAnsiTheme="majorBidi" w:cstheme="majorBidi"/>
          <w:color w:val="000000" w:themeColor="text1"/>
          <w:sz w:val="16"/>
          <w:szCs w:val="16"/>
          <w:vertAlign w:val="superscript"/>
          <w:lang w:eastAsia="fr-FR"/>
        </w:rPr>
        <w:t>b</w:t>
      </w:r>
      <w:proofErr w:type="gramEnd"/>
      <w:r w:rsidRPr="003F592A">
        <w:rPr>
          <w:rFonts w:asciiTheme="majorBidi" w:eastAsiaTheme="minorEastAsia" w:hAnsiTheme="majorBidi" w:cstheme="majorBidi"/>
          <w:color w:val="000000" w:themeColor="text1"/>
          <w:sz w:val="16"/>
          <w:szCs w:val="16"/>
          <w:lang w:eastAsia="fr-FR"/>
        </w:rPr>
        <w:t xml:space="preserve"> </w:t>
      </w:r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>Elective cesareans were compared with all deliveries with a trial of labor (</w:t>
      </w:r>
      <w:proofErr w:type="spellStart"/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>intrapartum</w:t>
      </w:r>
      <w:proofErr w:type="spellEnd"/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cesareans and vaginal deliveries).</w:t>
      </w:r>
    </w:p>
    <w:p w:rsidR="00BF68AE" w:rsidRPr="003F592A" w:rsidRDefault="00BF68AE" w:rsidP="00BF68AE">
      <w:pPr>
        <w:autoSpaceDE w:val="0"/>
        <w:autoSpaceDN w:val="0"/>
        <w:adjustRightInd w:val="0"/>
        <w:ind w:right="-3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proofErr w:type="gramStart"/>
      <w:r w:rsidRPr="003F592A">
        <w:rPr>
          <w:rFonts w:asciiTheme="majorBidi" w:eastAsiaTheme="minorEastAsia" w:hAnsiTheme="majorBidi" w:cstheme="majorBidi"/>
          <w:color w:val="000000" w:themeColor="text1"/>
          <w:sz w:val="16"/>
          <w:szCs w:val="16"/>
          <w:vertAlign w:val="superscript"/>
          <w:lang w:eastAsia="fr-FR"/>
        </w:rPr>
        <w:t>c</w:t>
      </w:r>
      <w:proofErr w:type="gramEnd"/>
      <w:r w:rsidRPr="003F592A">
        <w:rPr>
          <w:rFonts w:asciiTheme="majorBidi" w:eastAsiaTheme="minorEastAsia" w:hAnsiTheme="majorBidi" w:cstheme="majorBidi"/>
          <w:color w:val="000000" w:themeColor="text1"/>
          <w:sz w:val="16"/>
          <w:szCs w:val="16"/>
          <w:lang w:eastAsia="fr-FR"/>
        </w:rPr>
        <w:t xml:space="preserve"> </w:t>
      </w:r>
      <w:proofErr w:type="spellStart"/>
      <w:r w:rsidRPr="003F592A">
        <w:rPr>
          <w:rFonts w:asciiTheme="majorBidi" w:eastAsiaTheme="minorEastAsia" w:hAnsiTheme="majorBidi" w:cstheme="majorBidi"/>
          <w:color w:val="000000" w:themeColor="text1"/>
          <w:sz w:val="16"/>
          <w:szCs w:val="16"/>
          <w:lang w:eastAsia="fr-FR"/>
        </w:rPr>
        <w:t>I</w:t>
      </w:r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>ntrapartum</w:t>
      </w:r>
      <w:proofErr w:type="spellEnd"/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cesareans were compared with all vaginal deliveries.</w:t>
      </w:r>
    </w:p>
    <w:p w:rsidR="00BF68AE" w:rsidRPr="003F592A" w:rsidRDefault="00BF68AE" w:rsidP="00BF68AE">
      <w:pPr>
        <w:autoSpaceDE w:val="0"/>
        <w:autoSpaceDN w:val="0"/>
        <w:adjustRightInd w:val="0"/>
        <w:ind w:right="-3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proofErr w:type="gramStart"/>
      <w:r w:rsidRPr="003F592A">
        <w:rPr>
          <w:rFonts w:asciiTheme="majorBidi" w:hAnsiTheme="majorBidi" w:cstheme="majorBidi"/>
          <w:color w:val="000000" w:themeColor="text1"/>
          <w:sz w:val="16"/>
          <w:szCs w:val="16"/>
          <w:vertAlign w:val="superscript"/>
        </w:rPr>
        <w:t>d</w:t>
      </w:r>
      <w:proofErr w:type="gramEnd"/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Hospital invariant variables (private, teaching, level of care) were not included in the models because of the strict </w:t>
      </w:r>
      <w:proofErr w:type="spellStart"/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>collineari</w:t>
      </w:r>
      <w:r w:rsidR="004C595F">
        <w:rPr>
          <w:rFonts w:asciiTheme="majorBidi" w:hAnsiTheme="majorBidi" w:cstheme="majorBidi"/>
          <w:color w:val="000000" w:themeColor="text1"/>
          <w:sz w:val="16"/>
          <w:szCs w:val="16"/>
        </w:rPr>
        <w:t>ty</w:t>
      </w:r>
      <w:proofErr w:type="spellEnd"/>
      <w:r w:rsidR="004C595F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with hospital fixed effects</w:t>
      </w:r>
      <w:r w:rsidRPr="003F592A">
        <w:rPr>
          <w:rFonts w:asciiTheme="majorBidi" w:hAnsiTheme="majorBidi" w:cstheme="majorBidi"/>
          <w:color w:val="000000" w:themeColor="text1"/>
          <w:sz w:val="16"/>
          <w:szCs w:val="16"/>
        </w:rPr>
        <w:t>. However, using hospital fixed effects models, we controlled by all hospital characteristics.</w:t>
      </w:r>
    </w:p>
    <w:p w:rsidR="00BF68AE" w:rsidRPr="003F592A" w:rsidRDefault="00BF68AE" w:rsidP="00BF68AE">
      <w:pPr>
        <w:autoSpaceDE w:val="0"/>
        <w:autoSpaceDN w:val="0"/>
        <w:adjustRightInd w:val="0"/>
        <w:ind w:right="-3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BF68AE" w:rsidRDefault="00BF68AE" w:rsidP="00BF68A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sectPr w:rsidR="00BF68AE" w:rsidSect="00315A9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AA"/>
    <w:multiLevelType w:val="multilevel"/>
    <w:tmpl w:val="E7F4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DEF1"/>
    <w:multiLevelType w:val="singleLevel"/>
    <w:tmpl w:val="211ED708"/>
    <w:name w:val="TerOld1"/>
    <w:lvl w:ilvl="0">
      <w:numFmt w:val="decimal"/>
      <w:lvlText w:val="%1"/>
      <w:lvlJc w:val="left"/>
    </w:lvl>
  </w:abstractNum>
  <w:abstractNum w:abstractNumId="2">
    <w:nsid w:val="0ABCDEF2"/>
    <w:multiLevelType w:val="singleLevel"/>
    <w:tmpl w:val="E170455C"/>
    <w:name w:val="TerOld2"/>
    <w:lvl w:ilvl="0">
      <w:numFmt w:val="decimal"/>
      <w:lvlText w:val="%1"/>
      <w:lvlJc w:val="left"/>
    </w:lvl>
  </w:abstractNum>
  <w:abstractNum w:abstractNumId="3">
    <w:nsid w:val="111B7A06"/>
    <w:multiLevelType w:val="hybridMultilevel"/>
    <w:tmpl w:val="37F06122"/>
    <w:lvl w:ilvl="0" w:tplc="DDF6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CC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2E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C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9A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6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01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25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3E48C4"/>
    <w:multiLevelType w:val="multilevel"/>
    <w:tmpl w:val="768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1201D"/>
    <w:multiLevelType w:val="multilevel"/>
    <w:tmpl w:val="48FA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925A3"/>
    <w:multiLevelType w:val="multilevel"/>
    <w:tmpl w:val="4F08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D130B"/>
    <w:multiLevelType w:val="multilevel"/>
    <w:tmpl w:val="5AEC9E8A"/>
    <w:lvl w:ilvl="0">
      <w:start w:val="1"/>
      <w:numFmt w:val="bullet"/>
      <w:pStyle w:val="CV4"/>
      <w:lvlText w:val="-"/>
      <w:lvlJc w:val="left"/>
      <w:rPr>
        <w:color w:val="000080"/>
      </w:rPr>
    </w:lvl>
    <w:lvl w:ilvl="1">
      <w:start w:val="1"/>
      <w:numFmt w:val="none"/>
      <w:pStyle w:val="CVRef"/>
      <w:lvlText w:val="Références : "/>
      <w:lvlJc w:val="left"/>
      <w:rPr>
        <w:rFonts w:ascii="Helvetica" w:eastAsia="Helvetica" w:hAnsi="Helvetica" w:cs="Helvetica"/>
        <w:b/>
        <w:i/>
        <w:color w:val="00008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>
    <w:nsid w:val="433C079F"/>
    <w:multiLevelType w:val="multilevel"/>
    <w:tmpl w:val="2FD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53148"/>
    <w:multiLevelType w:val="hybridMultilevel"/>
    <w:tmpl w:val="E2880BB6"/>
    <w:lvl w:ilvl="0" w:tplc="25EAE8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F2F39"/>
    <w:multiLevelType w:val="multilevel"/>
    <w:tmpl w:val="A4B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033D9"/>
    <w:multiLevelType w:val="multilevel"/>
    <w:tmpl w:val="2B90852A"/>
    <w:lvl w:ilvl="0">
      <w:numFmt w:val="bullet"/>
      <w:pStyle w:val="puce3"/>
      <w:lvlText w:val=""/>
      <w:lvlJc w:val="left"/>
      <w:rPr>
        <w:rFonts w:ascii="Wingdings" w:eastAsia="Wingdings" w:hAnsi="Wingdings" w:cs="Wingdings"/>
        <w:color w:val="808080"/>
      </w:rPr>
    </w:lvl>
    <w:lvl w:ilvl="1">
      <w:numFmt w:val="bullet"/>
      <w:lvlText w:val=""/>
      <w:lvlJc w:val="left"/>
      <w:rPr>
        <w:rFonts w:ascii="Monotype Sorts" w:eastAsia="Monotype Sorts" w:hAnsi="Monotype Sorts" w:cs="Monotype Sorts"/>
        <w:color w:val="808080"/>
      </w:rPr>
    </w:lvl>
    <w:lvl w:ilvl="2">
      <w:numFmt w:val="bullet"/>
      <w:lvlText w:val=""/>
      <w:lvlJc w:val="left"/>
      <w:rPr>
        <w:rFonts w:ascii="Monotype Sorts" w:eastAsia="Monotype Sorts" w:hAnsi="Monotype Sorts" w:cs="Monotype Sorts"/>
        <w:color w:val="00008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color w:val="80808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2">
    <w:nsid w:val="6E1C0872"/>
    <w:multiLevelType w:val="multilevel"/>
    <w:tmpl w:val="3924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8AE"/>
    <w:rsid w:val="00183CEE"/>
    <w:rsid w:val="00315A95"/>
    <w:rsid w:val="004C595F"/>
    <w:rsid w:val="00907030"/>
    <w:rsid w:val="00B438FB"/>
    <w:rsid w:val="00BF68AE"/>
    <w:rsid w:val="00E2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rsid w:val="00BF68AE"/>
    <w:pPr>
      <w:keepNext/>
      <w:pBdr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</w:pBdr>
      <w:shd w:val="pct10" w:color="auto" w:fill="FFFFFF"/>
      <w:ind w:left="851" w:right="850"/>
      <w:jc w:val="center"/>
      <w:outlineLvl w:val="0"/>
    </w:pPr>
    <w:rPr>
      <w:rFonts w:ascii="Times" w:eastAsia="Times" w:hAnsi="Times" w:cs="Times"/>
      <w:b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rsid w:val="00BF68A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68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BF68AE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68AE"/>
    <w:rPr>
      <w:rFonts w:ascii="Times" w:eastAsia="Times" w:hAnsi="Times" w:cs="Times"/>
      <w:b/>
      <w:spacing w:val="20"/>
      <w:sz w:val="28"/>
      <w:szCs w:val="28"/>
      <w:shd w:val="pct10" w:color="auto" w:fill="FFFFFF"/>
      <w:lang w:val="en-US"/>
    </w:rPr>
  </w:style>
  <w:style w:type="character" w:customStyle="1" w:styleId="Titre2Car">
    <w:name w:val="Titre 2 Car"/>
    <w:basedOn w:val="Policepardfaut"/>
    <w:link w:val="Titre2"/>
    <w:rsid w:val="00BF68AE"/>
    <w:rPr>
      <w:rFonts w:ascii="Cambria" w:eastAsia="Cambria" w:hAnsi="Cambria" w:cs="Cambria"/>
      <w:b/>
      <w:i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BF6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rsid w:val="00BF68AE"/>
    <w:rPr>
      <w:rFonts w:ascii="Cambria" w:eastAsia="Cambria" w:hAnsi="Cambria" w:cs="Cambria"/>
      <w:b/>
      <w:i/>
      <w:color w:val="4F81BD"/>
      <w:sz w:val="24"/>
      <w:szCs w:val="24"/>
      <w:lang w:val="en-US"/>
    </w:rPr>
  </w:style>
  <w:style w:type="paragraph" w:customStyle="1" w:styleId="NoList1">
    <w:name w:val="No List1"/>
    <w:basedOn w:val="Normal"/>
    <w:next w:val="Normal"/>
    <w:rsid w:val="00BF68AE"/>
  </w:style>
  <w:style w:type="character" w:customStyle="1" w:styleId="Heading1Char">
    <w:name w:val="Heading 1 Char"/>
    <w:rsid w:val="00BF68AE"/>
    <w:rPr>
      <w:rFonts w:ascii="Times" w:eastAsia="Times" w:hAnsi="Times" w:cs="Times"/>
      <w:b/>
      <w:spacing w:val="20"/>
      <w:sz w:val="28"/>
      <w:szCs w:val="28"/>
      <w:shd w:val="clear" w:color="auto" w:fill="E6E6E6"/>
    </w:rPr>
  </w:style>
  <w:style w:type="paragraph" w:styleId="En-tte">
    <w:name w:val="header"/>
    <w:basedOn w:val="Normal"/>
    <w:next w:val="Normal"/>
    <w:link w:val="En-tteCar"/>
    <w:rsid w:val="00BF68AE"/>
    <w:rPr>
      <w:rFonts w:ascii="Palatino" w:eastAsia="Palatino" w:hAnsi="Palatino" w:cs="Palatino"/>
    </w:rPr>
  </w:style>
  <w:style w:type="character" w:customStyle="1" w:styleId="En-tteCar">
    <w:name w:val="En-tête Car"/>
    <w:basedOn w:val="Policepardfaut"/>
    <w:link w:val="En-tte"/>
    <w:rsid w:val="00BF68AE"/>
    <w:rPr>
      <w:rFonts w:ascii="Palatino" w:eastAsia="Palatino" w:hAnsi="Palatino" w:cs="Palatino"/>
      <w:sz w:val="24"/>
      <w:szCs w:val="24"/>
      <w:lang w:val="en-US"/>
    </w:rPr>
  </w:style>
  <w:style w:type="character" w:customStyle="1" w:styleId="HeaderChar">
    <w:name w:val="Header Char"/>
    <w:rsid w:val="00BF68AE"/>
    <w:rPr>
      <w:rFonts w:ascii="Palatino" w:eastAsia="Palatino" w:hAnsi="Palatino" w:cs="Palatino"/>
      <w:sz w:val="24"/>
      <w:szCs w:val="24"/>
    </w:rPr>
  </w:style>
  <w:style w:type="character" w:styleId="Numrodepage">
    <w:name w:val="page number"/>
    <w:rsid w:val="00BF68AE"/>
  </w:style>
  <w:style w:type="paragraph" w:customStyle="1" w:styleId="Standard1">
    <w:name w:val="Standard1"/>
    <w:basedOn w:val="Normal"/>
    <w:next w:val="Normal"/>
    <w:rsid w:val="00BF68AE"/>
    <w:rPr>
      <w:rFonts w:ascii="Helvetica" w:eastAsia="Helvetica" w:hAnsi="Helvetica" w:cs="Helvetica"/>
    </w:rPr>
  </w:style>
  <w:style w:type="paragraph" w:customStyle="1" w:styleId="titre">
    <w:name w:val="titre"/>
    <w:basedOn w:val="Normal"/>
    <w:next w:val="Normal"/>
    <w:rsid w:val="00BF68AE"/>
    <w:pPr>
      <w:pBdr>
        <w:top w:val="single" w:sz="0" w:space="0" w:color="808080"/>
        <w:left w:val="single" w:sz="0" w:space="0" w:color="808080"/>
        <w:bottom w:val="single" w:sz="0" w:space="0" w:color="808080"/>
        <w:right w:val="single" w:sz="0" w:space="0" w:color="808080"/>
      </w:pBdr>
      <w:shd w:val="solid" w:color="auto" w:fill="FFFFFF"/>
      <w:spacing w:line="360" w:lineRule="auto"/>
    </w:pPr>
    <w:rPr>
      <w:rFonts w:ascii="Arial Narrow" w:eastAsia="Arial Narrow" w:hAnsi="Arial Narrow" w:cs="Arial Narrow"/>
      <w:b/>
      <w:i/>
      <w:spacing w:val="60"/>
      <w:sz w:val="28"/>
      <w:szCs w:val="28"/>
    </w:rPr>
  </w:style>
  <w:style w:type="character" w:styleId="Lienhypertexte">
    <w:name w:val="Hyperlink"/>
    <w:rsid w:val="00BF68AE"/>
    <w:rPr>
      <w:color w:val="0000FF"/>
      <w:u w:val="none" w:color="000000"/>
    </w:rPr>
  </w:style>
  <w:style w:type="paragraph" w:styleId="Lgende">
    <w:name w:val="caption"/>
    <w:basedOn w:val="Normal"/>
    <w:next w:val="Normal"/>
    <w:rsid w:val="00BF68AE"/>
    <w:pPr>
      <w:spacing w:line="360" w:lineRule="auto"/>
      <w:jc w:val="both"/>
    </w:pPr>
    <w:rPr>
      <w:rFonts w:ascii="Palatino" w:eastAsia="Palatino" w:hAnsi="Palatino" w:cs="Palatino"/>
      <w:b/>
      <w:sz w:val="20"/>
      <w:szCs w:val="20"/>
    </w:rPr>
  </w:style>
  <w:style w:type="paragraph" w:styleId="Normalcentr">
    <w:name w:val="Block Text"/>
    <w:basedOn w:val="Normal"/>
    <w:next w:val="Normal"/>
    <w:rsid w:val="00BF68AE"/>
    <w:pPr>
      <w:spacing w:before="120" w:after="120"/>
      <w:ind w:left="142" w:right="141"/>
      <w:jc w:val="both"/>
    </w:pPr>
    <w:rPr>
      <w:rFonts w:ascii="Comic Sans MS" w:eastAsia="Comic Sans MS" w:hAnsi="Comic Sans MS" w:cs="Comic Sans MS"/>
      <w:b/>
      <w:color w:val="0000FF"/>
    </w:rPr>
  </w:style>
  <w:style w:type="character" w:styleId="lev">
    <w:name w:val="Strong"/>
    <w:uiPriority w:val="22"/>
    <w:qFormat/>
    <w:rsid w:val="00BF68AE"/>
    <w:rPr>
      <w:b/>
    </w:rPr>
  </w:style>
  <w:style w:type="paragraph" w:styleId="Pieddepage">
    <w:name w:val="footer"/>
    <w:basedOn w:val="Normal"/>
    <w:next w:val="Normal"/>
    <w:link w:val="PieddepageCar"/>
    <w:uiPriority w:val="99"/>
    <w:rsid w:val="00BF68AE"/>
    <w:rPr>
      <w:rFonts w:ascii="Palatino" w:eastAsia="Palatino" w:hAnsi="Palatino" w:cs="Palatino"/>
    </w:rPr>
  </w:style>
  <w:style w:type="character" w:customStyle="1" w:styleId="PieddepageCar">
    <w:name w:val="Pied de page Car"/>
    <w:basedOn w:val="Policepardfaut"/>
    <w:link w:val="Pieddepage"/>
    <w:uiPriority w:val="99"/>
    <w:rsid w:val="00BF68AE"/>
    <w:rPr>
      <w:rFonts w:ascii="Palatino" w:eastAsia="Palatino" w:hAnsi="Palatino" w:cs="Palatino"/>
      <w:sz w:val="24"/>
      <w:szCs w:val="24"/>
      <w:lang w:val="en-US"/>
    </w:rPr>
  </w:style>
  <w:style w:type="character" w:customStyle="1" w:styleId="FooterChar">
    <w:name w:val="Footer Char"/>
    <w:rsid w:val="00BF68AE"/>
    <w:rPr>
      <w:rFonts w:ascii="Palatino" w:eastAsia="Palatino" w:hAnsi="Palatino" w:cs="Palatino"/>
      <w:sz w:val="24"/>
      <w:szCs w:val="24"/>
    </w:rPr>
  </w:style>
  <w:style w:type="paragraph" w:styleId="Commentaire">
    <w:name w:val="annotation text"/>
    <w:basedOn w:val="Normal"/>
    <w:next w:val="Normal"/>
    <w:link w:val="CommentaireCar"/>
    <w:uiPriority w:val="99"/>
    <w:rsid w:val="00BF68AE"/>
    <w:rPr>
      <w:rFonts w:ascii="Palatino" w:eastAsia="Palatino" w:hAnsi="Palatino" w:cs="Palatin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68AE"/>
    <w:rPr>
      <w:rFonts w:ascii="Palatino" w:eastAsia="Palatino" w:hAnsi="Palatino" w:cs="Palatino"/>
      <w:sz w:val="20"/>
      <w:szCs w:val="20"/>
      <w:lang w:val="en-US"/>
    </w:rPr>
  </w:style>
  <w:style w:type="character" w:customStyle="1" w:styleId="CommentTextChar">
    <w:name w:val="Comment Text Char"/>
    <w:rsid w:val="00BF68AE"/>
    <w:rPr>
      <w:rFonts w:ascii="Palatino" w:eastAsia="Palatino" w:hAnsi="Palatino" w:cs="Palatino"/>
    </w:rPr>
  </w:style>
  <w:style w:type="character" w:styleId="Marquedecommentaire">
    <w:name w:val="annotation reference"/>
    <w:rsid w:val="00BF68AE"/>
    <w:rPr>
      <w:sz w:val="16"/>
      <w:szCs w:val="16"/>
    </w:rPr>
  </w:style>
  <w:style w:type="paragraph" w:styleId="Textedebulles">
    <w:name w:val="Balloon Text"/>
    <w:basedOn w:val="Normal"/>
    <w:next w:val="Normal"/>
    <w:link w:val="TextedebullesCar"/>
    <w:rsid w:val="00BF68AE"/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68AE"/>
    <w:rPr>
      <w:rFonts w:ascii="Tahoma" w:eastAsia="Tahoma" w:hAnsi="Tahoma" w:cs="Tahoma"/>
      <w:sz w:val="16"/>
      <w:szCs w:val="16"/>
      <w:lang w:val="en-US"/>
    </w:rPr>
  </w:style>
  <w:style w:type="character" w:customStyle="1" w:styleId="BalloonTextChar">
    <w:name w:val="Balloon Text Char"/>
    <w:rsid w:val="00BF68AE"/>
    <w:rPr>
      <w:rFonts w:ascii="Tahoma" w:eastAsia="Tahoma" w:hAnsi="Tahoma" w:cs="Tahoma"/>
      <w:sz w:val="16"/>
      <w:szCs w:val="16"/>
    </w:rPr>
  </w:style>
  <w:style w:type="paragraph" w:styleId="Explorateurdedocuments">
    <w:name w:val="Document Map"/>
    <w:basedOn w:val="Normal"/>
    <w:next w:val="Normal"/>
    <w:link w:val="ExplorateurdedocumentsCar"/>
    <w:rsid w:val="00BF68AE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rsid w:val="00BF68AE"/>
    <w:rPr>
      <w:rFonts w:ascii="Tahoma" w:eastAsia="Tahoma" w:hAnsi="Tahoma" w:cs="Tahoma"/>
      <w:sz w:val="20"/>
      <w:szCs w:val="20"/>
      <w:shd w:val="clear" w:color="auto" w:fill="000080"/>
      <w:lang w:val="en-US"/>
    </w:rPr>
  </w:style>
  <w:style w:type="character" w:customStyle="1" w:styleId="DocumentMapChar">
    <w:name w:val="Document Map Char"/>
    <w:rsid w:val="00BF68AE"/>
    <w:rPr>
      <w:rFonts w:ascii="Tahoma" w:eastAsia="Tahoma" w:hAnsi="Tahoma" w:cs="Tahoma"/>
    </w:rPr>
  </w:style>
  <w:style w:type="paragraph" w:styleId="Notedebasdepage">
    <w:name w:val="footnote text"/>
    <w:basedOn w:val="Normal"/>
    <w:next w:val="Normal"/>
    <w:link w:val="NotedebasdepageCar"/>
    <w:rsid w:val="00BF68AE"/>
    <w:rPr>
      <w:rFonts w:ascii="Palatino" w:eastAsia="Palatino" w:hAnsi="Palatino" w:cs="Palatin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F68AE"/>
    <w:rPr>
      <w:rFonts w:ascii="Palatino" w:eastAsia="Palatino" w:hAnsi="Palatino" w:cs="Palatino"/>
      <w:sz w:val="20"/>
      <w:szCs w:val="20"/>
      <w:lang w:val="en-US"/>
    </w:rPr>
  </w:style>
  <w:style w:type="character" w:customStyle="1" w:styleId="FootnoteTextChar">
    <w:name w:val="Footnote Text Char"/>
    <w:rsid w:val="00BF68AE"/>
    <w:rPr>
      <w:rFonts w:ascii="Palatino" w:eastAsia="Palatino" w:hAnsi="Palatino" w:cs="Palatino"/>
    </w:rPr>
  </w:style>
  <w:style w:type="paragraph" w:styleId="Corpsdetexte">
    <w:name w:val="Body Text"/>
    <w:basedOn w:val="Normal"/>
    <w:next w:val="Normal"/>
    <w:link w:val="CorpsdetexteCar"/>
    <w:rsid w:val="00BF68AE"/>
    <w:pPr>
      <w:spacing w:before="240"/>
      <w:jc w:val="both"/>
    </w:pPr>
    <w:rPr>
      <w:color w:val="FF0000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BF68AE"/>
    <w:rPr>
      <w:rFonts w:ascii="Times New Roman" w:eastAsia="Times New Roman" w:hAnsi="Times New Roman" w:cs="Times New Roman"/>
      <w:color w:val="FF0000"/>
      <w:sz w:val="28"/>
      <w:szCs w:val="28"/>
      <w:lang w:val="en-US"/>
    </w:rPr>
  </w:style>
  <w:style w:type="character" w:customStyle="1" w:styleId="BodyTextChar">
    <w:name w:val="Body Text Char"/>
    <w:rsid w:val="00BF68AE"/>
    <w:rPr>
      <w:color w:val="FF0000"/>
      <w:sz w:val="28"/>
      <w:szCs w:val="28"/>
    </w:rPr>
  </w:style>
  <w:style w:type="character" w:styleId="Appelnotedebasdep">
    <w:name w:val="footnote reference"/>
    <w:rsid w:val="00BF68AE"/>
    <w:rPr>
      <w:vertAlign w:val="baseline"/>
    </w:rPr>
  </w:style>
  <w:style w:type="character" w:styleId="Lienhypertextesuivivisit">
    <w:name w:val="FollowedHyperlink"/>
    <w:rsid w:val="00BF68AE"/>
    <w:rPr>
      <w:color w:val="800080"/>
      <w:u w:val="none" w:color="000000"/>
    </w:rPr>
  </w:style>
  <w:style w:type="paragraph" w:styleId="Objetducommentaire">
    <w:name w:val="annotation subject"/>
    <w:basedOn w:val="Normal"/>
    <w:next w:val="Commentaire"/>
    <w:link w:val="ObjetducommentaireCar"/>
    <w:rsid w:val="00BF68AE"/>
    <w:rPr>
      <w:rFonts w:ascii="Palatino" w:eastAsia="Palatino" w:hAnsi="Palatino" w:cs="Palatino"/>
      <w:b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F68AE"/>
    <w:rPr>
      <w:b/>
    </w:rPr>
  </w:style>
  <w:style w:type="character" w:customStyle="1" w:styleId="CommentSubjectChar">
    <w:name w:val="Comment Subject Char"/>
    <w:rsid w:val="00BF68AE"/>
    <w:rPr>
      <w:rFonts w:ascii="Palatino" w:eastAsia="Palatino" w:hAnsi="Palatino" w:cs="Palatino"/>
      <w:b/>
    </w:rPr>
  </w:style>
  <w:style w:type="paragraph" w:styleId="Sous-titre">
    <w:name w:val="Subtitle"/>
    <w:basedOn w:val="Normal"/>
    <w:next w:val="Normal"/>
    <w:link w:val="Sous-titreCar"/>
    <w:rsid w:val="00BF68AE"/>
    <w:pPr>
      <w:spacing w:after="60"/>
      <w:jc w:val="center"/>
    </w:pPr>
    <w:rPr>
      <w:rFonts w:ascii="Cambria" w:eastAsia="Cambria" w:hAnsi="Cambria" w:cs="Cambria"/>
    </w:rPr>
  </w:style>
  <w:style w:type="character" w:customStyle="1" w:styleId="Sous-titreCar">
    <w:name w:val="Sous-titre Car"/>
    <w:basedOn w:val="Policepardfaut"/>
    <w:link w:val="Sous-titre"/>
    <w:rsid w:val="00BF68AE"/>
    <w:rPr>
      <w:rFonts w:ascii="Cambria" w:eastAsia="Cambria" w:hAnsi="Cambria" w:cs="Cambria"/>
      <w:sz w:val="24"/>
      <w:szCs w:val="24"/>
      <w:lang w:val="en-US"/>
    </w:rPr>
  </w:style>
  <w:style w:type="character" w:customStyle="1" w:styleId="SubtitleChar">
    <w:name w:val="Subtitle Char"/>
    <w:rsid w:val="00BF68AE"/>
    <w:rPr>
      <w:rFonts w:ascii="Cambria" w:eastAsia="Cambria" w:hAnsi="Cambria" w:cs="Cambria"/>
      <w:sz w:val="24"/>
      <w:szCs w:val="24"/>
    </w:rPr>
  </w:style>
  <w:style w:type="paragraph" w:styleId="PrformatHTML">
    <w:name w:val="HTML Preformatted"/>
    <w:basedOn w:val="Normal"/>
    <w:next w:val="Normal"/>
    <w:link w:val="PrformatHTMLCar"/>
    <w:rsid w:val="00BF68AE"/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F68AE"/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rsid w:val="00BF68AE"/>
    <w:rPr>
      <w:rFonts w:ascii="Courier New" w:eastAsia="Courier New" w:hAnsi="Courier New" w:cs="Courier New"/>
    </w:rPr>
  </w:style>
  <w:style w:type="character" w:customStyle="1" w:styleId="apple-converted-space">
    <w:name w:val="apple-converted-space"/>
    <w:rsid w:val="00BF68AE"/>
  </w:style>
  <w:style w:type="character" w:styleId="Accentuation">
    <w:name w:val="Emphasis"/>
    <w:uiPriority w:val="20"/>
    <w:qFormat/>
    <w:rsid w:val="00BF68AE"/>
    <w:rPr>
      <w:i/>
    </w:rPr>
  </w:style>
  <w:style w:type="character" w:customStyle="1" w:styleId="trebuchet">
    <w:name w:val="trebuchet"/>
    <w:rsid w:val="00BF68AE"/>
  </w:style>
  <w:style w:type="paragraph" w:styleId="Sansinterligne">
    <w:name w:val="No Spacing"/>
    <w:basedOn w:val="Normal"/>
    <w:next w:val="Normal"/>
    <w:rsid w:val="00BF68AE"/>
  </w:style>
  <w:style w:type="character" w:customStyle="1" w:styleId="Heading2Char">
    <w:name w:val="Heading 2 Char"/>
    <w:rsid w:val="00BF68AE"/>
    <w:rPr>
      <w:rFonts w:ascii="Cambria" w:eastAsia="Cambria" w:hAnsi="Cambria" w:cs="Cambria"/>
      <w:b/>
      <w:i/>
      <w:sz w:val="28"/>
      <w:szCs w:val="28"/>
    </w:rPr>
  </w:style>
  <w:style w:type="paragraph" w:styleId="Paragraphedeliste">
    <w:name w:val="List Paragraph"/>
    <w:basedOn w:val="Normal"/>
    <w:next w:val="Normal"/>
    <w:rsid w:val="00BF68AE"/>
    <w:pPr>
      <w:ind w:left="720"/>
      <w:contextualSpacing/>
    </w:pPr>
  </w:style>
  <w:style w:type="paragraph" w:customStyle="1" w:styleId="NormalWeb">
    <w:name w:val="Normal Web"/>
    <w:basedOn w:val="Normal"/>
    <w:next w:val="Normal"/>
    <w:rsid w:val="00BF68AE"/>
    <w:pPr>
      <w:spacing w:before="100" w:after="100"/>
    </w:pPr>
  </w:style>
  <w:style w:type="paragraph" w:customStyle="1" w:styleId="courant">
    <w:name w:val="courant"/>
    <w:basedOn w:val="Normal"/>
    <w:next w:val="Normal"/>
    <w:rsid w:val="00BF68AE"/>
    <w:pPr>
      <w:spacing w:before="100" w:after="100"/>
    </w:pPr>
  </w:style>
  <w:style w:type="character" w:customStyle="1" w:styleId="courantbold">
    <w:name w:val="courantbold"/>
    <w:rsid w:val="00BF68AE"/>
  </w:style>
  <w:style w:type="character" w:customStyle="1" w:styleId="Heading4Char">
    <w:name w:val="Heading 4 Char"/>
    <w:rsid w:val="00BF68AE"/>
    <w:rPr>
      <w:rFonts w:ascii="Cambria" w:eastAsia="Cambria" w:hAnsi="Cambria" w:cs="Cambria"/>
      <w:b/>
      <w:i/>
      <w:color w:val="4F81BD"/>
      <w:sz w:val="24"/>
      <w:szCs w:val="24"/>
    </w:rPr>
  </w:style>
  <w:style w:type="paragraph" w:customStyle="1" w:styleId="puce3">
    <w:name w:val="puce 3"/>
    <w:basedOn w:val="Normal"/>
    <w:next w:val="Normal"/>
    <w:rsid w:val="00BF68AE"/>
    <w:pPr>
      <w:numPr>
        <w:numId w:val="1"/>
      </w:numPr>
      <w:spacing w:line="360" w:lineRule="auto"/>
      <w:ind w:left="360"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CarCar3CarCar1CarCar">
    <w:name w:val="Car Car3 Car Car1 Car Car"/>
    <w:basedOn w:val="Normal"/>
    <w:next w:val="Normal"/>
    <w:rsid w:val="00BF68AE"/>
    <w:pPr>
      <w:spacing w:after="160" w:line="240" w:lineRule="exact"/>
    </w:pPr>
  </w:style>
  <w:style w:type="paragraph" w:customStyle="1" w:styleId="CV4">
    <w:name w:val="CV4"/>
    <w:basedOn w:val="Normal"/>
    <w:next w:val="Normal"/>
    <w:rsid w:val="00BF68AE"/>
    <w:pPr>
      <w:numPr>
        <w:numId w:val="2"/>
      </w:numPr>
      <w:spacing w:before="120" w:line="360" w:lineRule="auto"/>
      <w:ind w:left="850" w:hanging="283"/>
      <w:jc w:val="both"/>
    </w:pPr>
    <w:rPr>
      <w:rFonts w:ascii="Arial" w:eastAsia="Arial" w:hAnsi="Arial" w:cs="Arial"/>
      <w:sz w:val="22"/>
      <w:szCs w:val="22"/>
    </w:rPr>
  </w:style>
  <w:style w:type="paragraph" w:customStyle="1" w:styleId="CVRef">
    <w:name w:val="CVRef"/>
    <w:basedOn w:val="Normal"/>
    <w:next w:val="Normal"/>
    <w:rsid w:val="00BF68AE"/>
    <w:pPr>
      <w:numPr>
        <w:ilvl w:val="1"/>
        <w:numId w:val="2"/>
      </w:numPr>
      <w:pBdr>
        <w:top w:val="single" w:sz="0" w:space="0" w:color="999999"/>
        <w:bottom w:val="single" w:sz="0" w:space="0" w:color="999999"/>
      </w:pBdr>
      <w:spacing w:before="240" w:line="360" w:lineRule="auto"/>
      <w:ind w:left="2304" w:hanging="1596"/>
      <w:jc w:val="both"/>
    </w:pPr>
    <w:rPr>
      <w:rFonts w:ascii="Arial" w:eastAsia="Arial" w:hAnsi="Arial" w:cs="Arial"/>
      <w:i/>
      <w:sz w:val="20"/>
      <w:szCs w:val="20"/>
    </w:rPr>
  </w:style>
  <w:style w:type="paragraph" w:customStyle="1" w:styleId="Default">
    <w:name w:val="Default"/>
    <w:basedOn w:val="Normal"/>
    <w:next w:val="Normal"/>
    <w:rsid w:val="00BF68AE"/>
    <w:rPr>
      <w:color w:val="000000"/>
    </w:rPr>
  </w:style>
  <w:style w:type="paragraph" w:customStyle="1" w:styleId="xl63">
    <w:name w:val="xl63"/>
    <w:basedOn w:val="Normal"/>
    <w:next w:val="Normal"/>
    <w:rsid w:val="00BF68AE"/>
    <w:pPr>
      <w:spacing w:before="100" w:after="100"/>
      <w:jc w:val="center"/>
    </w:pPr>
    <w:rPr>
      <w:b/>
      <w:color w:val="000000"/>
      <w:sz w:val="16"/>
      <w:szCs w:val="16"/>
    </w:rPr>
  </w:style>
  <w:style w:type="paragraph" w:customStyle="1" w:styleId="xl64">
    <w:name w:val="xl64"/>
    <w:basedOn w:val="Normal"/>
    <w:next w:val="Normal"/>
    <w:rsid w:val="00BF68AE"/>
    <w:pPr>
      <w:spacing w:before="100" w:after="100"/>
      <w:jc w:val="center"/>
    </w:pPr>
    <w:rPr>
      <w:sz w:val="16"/>
      <w:szCs w:val="16"/>
    </w:rPr>
  </w:style>
  <w:style w:type="paragraph" w:customStyle="1" w:styleId="xl65">
    <w:name w:val="xl65"/>
    <w:basedOn w:val="Normal"/>
    <w:next w:val="Normal"/>
    <w:rsid w:val="00BF68AE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next w:val="Normal"/>
    <w:rsid w:val="00BF68AE"/>
    <w:pPr>
      <w:spacing w:before="100" w:after="100"/>
      <w:jc w:val="center"/>
    </w:pPr>
    <w:rPr>
      <w:b/>
      <w:sz w:val="16"/>
      <w:szCs w:val="16"/>
    </w:rPr>
  </w:style>
  <w:style w:type="paragraph" w:customStyle="1" w:styleId="xl67">
    <w:name w:val="xl67"/>
    <w:basedOn w:val="Normal"/>
    <w:next w:val="Normal"/>
    <w:rsid w:val="00BF68AE"/>
    <w:pPr>
      <w:pBdr>
        <w:bottom w:val="single" w:sz="0" w:space="0" w:color="auto"/>
      </w:pBdr>
      <w:spacing w:before="100" w:after="100"/>
    </w:pPr>
    <w:rPr>
      <w:sz w:val="20"/>
      <w:szCs w:val="20"/>
    </w:rPr>
  </w:style>
  <w:style w:type="paragraph" w:customStyle="1" w:styleId="xl68">
    <w:name w:val="xl68"/>
    <w:basedOn w:val="Normal"/>
    <w:next w:val="Normal"/>
    <w:rsid w:val="00BF68AE"/>
    <w:pPr>
      <w:pBdr>
        <w:top w:val="single" w:sz="0" w:space="0" w:color="auto"/>
        <w:bottom w:val="single" w:sz="0" w:space="0" w:color="auto"/>
      </w:pBdr>
      <w:spacing w:before="100" w:after="100"/>
      <w:jc w:val="center"/>
    </w:pPr>
    <w:rPr>
      <w:sz w:val="16"/>
      <w:szCs w:val="16"/>
    </w:rPr>
  </w:style>
  <w:style w:type="paragraph" w:customStyle="1" w:styleId="xl69">
    <w:name w:val="xl69"/>
    <w:basedOn w:val="Normal"/>
    <w:next w:val="Normal"/>
    <w:rsid w:val="00BF68AE"/>
    <w:pPr>
      <w:pBdr>
        <w:top w:val="single" w:sz="0" w:space="0" w:color="auto"/>
        <w:right w:val="single" w:sz="0" w:space="0" w:color="auto"/>
      </w:pBdr>
      <w:spacing w:before="100" w:after="100"/>
    </w:pPr>
    <w:rPr>
      <w:color w:val="000000"/>
      <w:sz w:val="16"/>
      <w:szCs w:val="16"/>
    </w:rPr>
  </w:style>
  <w:style w:type="paragraph" w:customStyle="1" w:styleId="xl70">
    <w:name w:val="xl70"/>
    <w:basedOn w:val="Normal"/>
    <w:next w:val="Normal"/>
    <w:rsid w:val="00BF68AE"/>
    <w:pPr>
      <w:pBdr>
        <w:right w:val="single" w:sz="0" w:space="0" w:color="auto"/>
      </w:pBdr>
      <w:spacing w:before="100" w:after="100"/>
    </w:pPr>
    <w:rPr>
      <w:color w:val="000000"/>
    </w:rPr>
  </w:style>
  <w:style w:type="paragraph" w:customStyle="1" w:styleId="xl71">
    <w:name w:val="xl71"/>
    <w:basedOn w:val="Normal"/>
    <w:next w:val="Normal"/>
    <w:rsid w:val="00BF68AE"/>
    <w:pPr>
      <w:pBdr>
        <w:right w:val="single" w:sz="0" w:space="0" w:color="auto"/>
      </w:pBdr>
      <w:spacing w:before="100" w:after="100"/>
    </w:pPr>
    <w:rPr>
      <w:color w:val="000000"/>
      <w:sz w:val="16"/>
      <w:szCs w:val="16"/>
    </w:rPr>
  </w:style>
  <w:style w:type="paragraph" w:customStyle="1" w:styleId="xl72">
    <w:name w:val="xl72"/>
    <w:basedOn w:val="Normal"/>
    <w:next w:val="Normal"/>
    <w:rsid w:val="00BF68AE"/>
    <w:pPr>
      <w:pBdr>
        <w:right w:val="single" w:sz="0" w:space="0" w:color="auto"/>
      </w:pBdr>
      <w:spacing w:before="100" w:after="100"/>
    </w:pPr>
    <w:rPr>
      <w:sz w:val="20"/>
      <w:szCs w:val="20"/>
    </w:rPr>
  </w:style>
  <w:style w:type="paragraph" w:customStyle="1" w:styleId="xl73">
    <w:name w:val="xl73"/>
    <w:basedOn w:val="Normal"/>
    <w:next w:val="Normal"/>
    <w:rsid w:val="00BF68AE"/>
    <w:pPr>
      <w:pBdr>
        <w:right w:val="single" w:sz="0" w:space="0" w:color="auto"/>
      </w:pBdr>
      <w:spacing w:before="100" w:after="100"/>
    </w:pPr>
    <w:rPr>
      <w:sz w:val="16"/>
      <w:szCs w:val="16"/>
    </w:rPr>
  </w:style>
  <w:style w:type="paragraph" w:customStyle="1" w:styleId="xl74">
    <w:name w:val="xl74"/>
    <w:basedOn w:val="Normal"/>
    <w:next w:val="Normal"/>
    <w:rsid w:val="00BF68AE"/>
    <w:pPr>
      <w:pBdr>
        <w:bottom w:val="single" w:sz="0" w:space="0" w:color="auto"/>
        <w:right w:val="single" w:sz="0" w:space="0" w:color="auto"/>
      </w:pBdr>
      <w:spacing w:before="100" w:after="100"/>
    </w:pPr>
    <w:rPr>
      <w:sz w:val="16"/>
      <w:szCs w:val="16"/>
    </w:rPr>
  </w:style>
  <w:style w:type="paragraph" w:customStyle="1" w:styleId="xl75">
    <w:name w:val="xl75"/>
    <w:basedOn w:val="Normal"/>
    <w:next w:val="Normal"/>
    <w:rsid w:val="00BF68AE"/>
    <w:pPr>
      <w:pBdr>
        <w:bottom w:val="single" w:sz="0" w:space="0" w:color="auto"/>
      </w:pBdr>
      <w:spacing w:before="100" w:after="100"/>
      <w:jc w:val="center"/>
    </w:pPr>
    <w:rPr>
      <w:sz w:val="16"/>
      <w:szCs w:val="16"/>
    </w:rPr>
  </w:style>
  <w:style w:type="paragraph" w:customStyle="1" w:styleId="svarticle">
    <w:name w:val="svarticle"/>
    <w:basedOn w:val="Normal"/>
    <w:rsid w:val="00BF68AE"/>
    <w:pPr>
      <w:spacing w:before="100" w:beforeAutospacing="1" w:after="100" w:afterAutospacing="1"/>
    </w:pPr>
    <w:rPr>
      <w:lang w:val="fr-FR" w:eastAsia="fr-FR"/>
    </w:rPr>
  </w:style>
  <w:style w:type="paragraph" w:customStyle="1" w:styleId="Pa14">
    <w:name w:val="Pa14"/>
    <w:basedOn w:val="Default"/>
    <w:next w:val="Default"/>
    <w:uiPriority w:val="99"/>
    <w:rsid w:val="00BF68AE"/>
    <w:pPr>
      <w:autoSpaceDE w:val="0"/>
      <w:autoSpaceDN w:val="0"/>
      <w:adjustRightInd w:val="0"/>
      <w:spacing w:line="201" w:lineRule="atLeast"/>
    </w:pPr>
    <w:rPr>
      <w:rFonts w:ascii="TimesNewRomanPS" w:hAnsi="TimesNewRomanPS"/>
      <w:color w:val="auto"/>
      <w:lang w:val="fr-FR"/>
    </w:rPr>
  </w:style>
  <w:style w:type="paragraph" w:customStyle="1" w:styleId="Pa15">
    <w:name w:val="Pa15"/>
    <w:basedOn w:val="Default"/>
    <w:next w:val="Default"/>
    <w:uiPriority w:val="99"/>
    <w:rsid w:val="00BF68AE"/>
    <w:pPr>
      <w:autoSpaceDE w:val="0"/>
      <w:autoSpaceDN w:val="0"/>
      <w:adjustRightInd w:val="0"/>
      <w:spacing w:line="161" w:lineRule="atLeast"/>
    </w:pPr>
    <w:rPr>
      <w:rFonts w:ascii="TimesNewRomanPS" w:hAnsi="TimesNewRomanPS"/>
      <w:color w:val="auto"/>
      <w:lang w:val="fr-FR"/>
    </w:rPr>
  </w:style>
  <w:style w:type="paragraph" w:customStyle="1" w:styleId="Pa1">
    <w:name w:val="Pa1"/>
    <w:basedOn w:val="Default"/>
    <w:next w:val="Default"/>
    <w:uiPriority w:val="99"/>
    <w:rsid w:val="00BF68AE"/>
    <w:pPr>
      <w:autoSpaceDE w:val="0"/>
      <w:autoSpaceDN w:val="0"/>
      <w:adjustRightInd w:val="0"/>
      <w:spacing w:line="161" w:lineRule="atLeast"/>
    </w:pPr>
    <w:rPr>
      <w:rFonts w:ascii="TimesNewRomanPS" w:hAnsi="TimesNewRomanPS"/>
      <w:color w:val="auto"/>
      <w:lang w:val="fr-FR"/>
    </w:rPr>
  </w:style>
  <w:style w:type="paragraph" w:customStyle="1" w:styleId="Pa5">
    <w:name w:val="Pa5"/>
    <w:basedOn w:val="Default"/>
    <w:next w:val="Default"/>
    <w:uiPriority w:val="99"/>
    <w:rsid w:val="00BF68AE"/>
    <w:pPr>
      <w:autoSpaceDE w:val="0"/>
      <w:autoSpaceDN w:val="0"/>
      <w:adjustRightInd w:val="0"/>
      <w:spacing w:line="101" w:lineRule="atLeast"/>
    </w:pPr>
    <w:rPr>
      <w:rFonts w:ascii="TimesNewRomanPS" w:hAnsi="TimesNewRomanPS"/>
      <w:color w:val="auto"/>
      <w:lang w:val="fr-FR"/>
    </w:rPr>
  </w:style>
  <w:style w:type="paragraph" w:customStyle="1" w:styleId="Pa0">
    <w:name w:val="Pa0"/>
    <w:basedOn w:val="Default"/>
    <w:next w:val="Default"/>
    <w:uiPriority w:val="99"/>
    <w:rsid w:val="00BF68AE"/>
    <w:pPr>
      <w:autoSpaceDE w:val="0"/>
      <w:autoSpaceDN w:val="0"/>
      <w:adjustRightInd w:val="0"/>
      <w:spacing w:line="121" w:lineRule="atLeast"/>
    </w:pPr>
    <w:rPr>
      <w:rFonts w:ascii="TimesNewRomanPS" w:hAnsi="TimesNewRomanPS"/>
      <w:color w:val="auto"/>
      <w:lang w:val="fr-FR"/>
    </w:rPr>
  </w:style>
  <w:style w:type="character" w:customStyle="1" w:styleId="A11">
    <w:name w:val="A11"/>
    <w:uiPriority w:val="99"/>
    <w:rsid w:val="00BF68AE"/>
    <w:rPr>
      <w:rFonts w:cs="TimesNewRomanPS"/>
      <w:color w:val="000000"/>
      <w:sz w:val="11"/>
      <w:szCs w:val="11"/>
    </w:rPr>
  </w:style>
  <w:style w:type="paragraph" w:styleId="NormalWeb0">
    <w:name w:val="Normal (Web)"/>
    <w:basedOn w:val="Normal"/>
    <w:uiPriority w:val="99"/>
    <w:unhideWhenUsed/>
    <w:rsid w:val="00BF68AE"/>
    <w:pPr>
      <w:spacing w:before="100" w:beforeAutospacing="1" w:after="100" w:afterAutospacing="1"/>
    </w:pPr>
    <w:rPr>
      <w:lang w:val="fr-FR" w:eastAsia="fr-FR"/>
    </w:rPr>
  </w:style>
  <w:style w:type="character" w:customStyle="1" w:styleId="gt-cd-pos">
    <w:name w:val="gt-cd-pos"/>
    <w:basedOn w:val="Policepardfaut"/>
    <w:rsid w:val="00BF68AE"/>
  </w:style>
  <w:style w:type="character" w:customStyle="1" w:styleId="reference">
    <w:name w:val="reference"/>
    <w:basedOn w:val="Policepardfaut"/>
    <w:rsid w:val="00BF68AE"/>
  </w:style>
  <w:style w:type="character" w:customStyle="1" w:styleId="refauthors">
    <w:name w:val="refauthors"/>
    <w:basedOn w:val="Policepardfaut"/>
    <w:rsid w:val="00BF68AE"/>
  </w:style>
  <w:style w:type="character" w:customStyle="1" w:styleId="reftitle">
    <w:name w:val="reftitle"/>
    <w:basedOn w:val="Policepardfaut"/>
    <w:rsid w:val="00BF68AE"/>
  </w:style>
  <w:style w:type="character" w:customStyle="1" w:styleId="refcomment">
    <w:name w:val="refcomment"/>
    <w:basedOn w:val="Policepardfaut"/>
    <w:rsid w:val="00BF68AE"/>
  </w:style>
  <w:style w:type="character" w:customStyle="1" w:styleId="highlight">
    <w:name w:val="highlight"/>
    <w:basedOn w:val="Policepardfaut"/>
    <w:rsid w:val="00BF68AE"/>
  </w:style>
  <w:style w:type="character" w:styleId="Numrodeligne">
    <w:name w:val="line number"/>
    <w:basedOn w:val="Policepardfaut"/>
    <w:uiPriority w:val="99"/>
    <w:semiHidden/>
    <w:unhideWhenUsed/>
    <w:rsid w:val="00BF68AE"/>
  </w:style>
  <w:style w:type="character" w:customStyle="1" w:styleId="ui-ncbitoggler-master-text">
    <w:name w:val="ui-ncbitoggler-master-text"/>
    <w:basedOn w:val="Policepardfaut"/>
    <w:rsid w:val="00BF68AE"/>
  </w:style>
  <w:style w:type="character" w:customStyle="1" w:styleId="element-citation">
    <w:name w:val="element-citation"/>
    <w:basedOn w:val="Policepardfaut"/>
    <w:rsid w:val="00BF68AE"/>
  </w:style>
  <w:style w:type="character" w:customStyle="1" w:styleId="ref-journal">
    <w:name w:val="ref-journal"/>
    <w:basedOn w:val="Policepardfaut"/>
    <w:rsid w:val="00BF68AE"/>
  </w:style>
  <w:style w:type="character" w:customStyle="1" w:styleId="ref-vol">
    <w:name w:val="ref-vol"/>
    <w:basedOn w:val="Policepardfaut"/>
    <w:rsid w:val="00BF68AE"/>
  </w:style>
  <w:style w:type="character" w:customStyle="1" w:styleId="nowrap">
    <w:name w:val="nowrap"/>
    <w:basedOn w:val="Policepardfaut"/>
    <w:rsid w:val="00BF68AE"/>
  </w:style>
  <w:style w:type="paragraph" w:styleId="Rvision">
    <w:name w:val="Revision"/>
    <w:hidden/>
    <w:uiPriority w:val="99"/>
    <w:semiHidden/>
    <w:rsid w:val="00BF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2018-11-04T16:57:00Z</dcterms:created>
  <dcterms:modified xsi:type="dcterms:W3CDTF">2018-11-05T19:46:00Z</dcterms:modified>
</cp:coreProperties>
</file>