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A236" w14:textId="6BDF4C02" w:rsidR="00CA477A" w:rsidRPr="00C7311D" w:rsidRDefault="00CA477A">
      <w:pPr>
        <w:rPr>
          <w:b/>
          <w:i/>
          <w:sz w:val="28"/>
          <w:szCs w:val="28"/>
        </w:rPr>
      </w:pPr>
      <w:r w:rsidRPr="00C7311D">
        <w:rPr>
          <w:b/>
          <w:i/>
          <w:sz w:val="28"/>
          <w:szCs w:val="28"/>
        </w:rPr>
        <w:t>S</w:t>
      </w:r>
      <w:r w:rsidR="0052039D">
        <w:rPr>
          <w:b/>
          <w:i/>
          <w:sz w:val="28"/>
          <w:szCs w:val="28"/>
        </w:rPr>
        <w:t>upporting Information</w:t>
      </w:r>
    </w:p>
    <w:p w14:paraId="539736D3" w14:textId="6B1F16F0" w:rsidR="00972C3F" w:rsidRDefault="00972C3F" w:rsidP="00972C3F">
      <w:pPr>
        <w:spacing w:line="480" w:lineRule="auto"/>
        <w:rPr>
          <w:b/>
        </w:rPr>
      </w:pPr>
    </w:p>
    <w:p w14:paraId="7B77A37E" w14:textId="500A6FB7" w:rsidR="00972C3F" w:rsidRPr="00972C3F" w:rsidRDefault="00972C3F" w:rsidP="00972C3F">
      <w:pPr>
        <w:spacing w:line="480" w:lineRule="auto"/>
        <w:rPr>
          <w:b/>
        </w:rPr>
      </w:pPr>
      <w:r w:rsidRPr="00972C3F">
        <w:rPr>
          <w:b/>
        </w:rPr>
        <w:t>Calibration and Internal Validation Method</w:t>
      </w:r>
      <w:r>
        <w:rPr>
          <w:b/>
        </w:rPr>
        <w:t>s</w:t>
      </w:r>
    </w:p>
    <w:p w14:paraId="3CFEFD47" w14:textId="57F5602E" w:rsidR="00972C3F" w:rsidRPr="005E5153" w:rsidRDefault="00972C3F" w:rsidP="007517A4">
      <w:pPr>
        <w:spacing w:line="480" w:lineRule="auto"/>
        <w:jc w:val="both"/>
      </w:pPr>
      <w:r w:rsidRPr="005E5153">
        <w:t>Calibration is the agreement between observed endpoints and predictions</w:t>
      </w:r>
      <w:r w:rsidRPr="005E5153">
        <w:fldChar w:fldCharType="begin"/>
      </w:r>
      <w:r w:rsidRPr="005E5153">
        <w:instrText xml:space="preserve"> ADDIN EN.CITE &lt;EndNote&gt;&lt;Cite&gt;&lt;Author&gt;Steyerberg&lt;/Author&gt;&lt;Year&gt;2010&lt;/Year&gt;&lt;RecNum&gt;6212&lt;/RecNum&gt;&lt;DisplayText&gt;(19)&lt;/DisplayText&gt;&lt;record&gt;&lt;rec-number&gt;6212&lt;/rec-number&gt;&lt;foreign-keys&gt;&lt;key app="EN" db-id="z0pstdve0pafaze5aw25ewdyxa2ff290ra2x" timestamp="1512994963"&gt;6212&lt;/key&gt;&lt;/foreign-keys&gt;&lt;ref-type name="Journal Article"&gt;17&lt;/ref-type&gt;&lt;contributors&gt;&lt;authors&gt;&lt;author&gt;Steyerberg, E. W.&lt;/author&gt;&lt;author&gt;Vickers, A. J.&lt;/author&gt;&lt;author&gt;Cook, N. R.&lt;/author&gt;&lt;author&gt;Gerds, T.&lt;/author&gt;&lt;author&gt;Gonen, M.&lt;/author&gt;&lt;author&gt;Obuchowski, N.&lt;/author&gt;&lt;author&gt;Pencina, M. J.&lt;/author&gt;&lt;author&gt;Kattan, M. W.&lt;/author&gt;&lt;/authors&gt;&lt;/contributors&gt;&lt;auth-address&gt;Department of Public Health, Erasmus MC, Rotterdam, The Netherlands. e.steyerberg@erasmusmc.nl&lt;/auth-address&gt;&lt;titles&gt;&lt;title&gt;Assessing the performance of prediction models: a framework for traditional and novel measures&lt;/title&gt;&lt;secondary-title&gt;Epidemiology&lt;/secondary-title&gt;&lt;/titles&gt;&lt;periodical&gt;&lt;full-title&gt;Epidemiology&lt;/full-title&gt;&lt;abbr-1&gt;Epidemiology&lt;/abbr-1&gt;&lt;/periodical&gt;&lt;pages&gt;128-38&lt;/pages&gt;&lt;volume&gt;21&lt;/volume&gt;&lt;number&gt;1&lt;/number&gt;&lt;edition&gt;2009/12/17&lt;/edition&gt;&lt;keywords&gt;&lt;keyword&gt;Epidemiologic Studies&lt;/keyword&gt;&lt;keyword&gt;*Models, Statistical&lt;/keyword&gt;&lt;keyword&gt;*Prognosis&lt;/keyword&gt;&lt;keyword&gt;ROC Curve&lt;/keyword&gt;&lt;keyword&gt;Reproducibility of Results&lt;/keyword&gt;&lt;keyword&gt;Risk Assessment/methods/*standards/statistics &amp;amp; numerical data&lt;/keyword&gt;&lt;/keywords&gt;&lt;dates&gt;&lt;year&gt;2010&lt;/year&gt;&lt;pub-dates&gt;&lt;date&gt;Jan&lt;/date&gt;&lt;/pub-dates&gt;&lt;/dates&gt;&lt;isbn&gt;1531-5487 (Electronic)&amp;#xD;1044-3983 (Linking)&lt;/isbn&gt;&lt;accession-num&gt;20010215&lt;/accession-num&gt;&lt;urls&gt;&lt;related-urls&gt;&lt;url&gt;https://www.ncbi.nlm.nih.gov/pubmed/20010215&lt;/url&gt;&lt;/related-urls&gt;&lt;/urls&gt;&lt;custom2&gt;PMC3575184&lt;/custom2&gt;&lt;electronic-resource-num&gt;10.1097/EDE.0b013e3181c30fb2&lt;/electronic-resource-num&gt;&lt;/record&gt;&lt;/Cite&gt;&lt;/EndNote&gt;</w:instrText>
      </w:r>
      <w:r w:rsidRPr="005E5153">
        <w:fldChar w:fldCharType="separate"/>
      </w:r>
      <w:r w:rsidRPr="005E5153">
        <w:rPr>
          <w:noProof/>
        </w:rPr>
        <w:t>(19)</w:t>
      </w:r>
      <w:r w:rsidRPr="005E5153">
        <w:fldChar w:fldCharType="end"/>
      </w:r>
      <w:r w:rsidRPr="005E5153">
        <w:t>. Calibration was graphically assessed by plotting observed outcomes against predicted probabilities. Smooth nonparametric calibration curves were created by using a LOESS algorithm</w:t>
      </w:r>
      <w:r w:rsidRPr="005E5153">
        <w:fldChar w:fldCharType="begin"/>
      </w:r>
      <w:r w:rsidRPr="005E5153">
        <w:instrText xml:space="preserve"> ADDIN EN.CITE &lt;EndNote&gt;&lt;Cite&gt;&lt;Author&gt;Austin&lt;/Author&gt;&lt;Year&gt;2014&lt;/Year&gt;&lt;RecNum&gt;6237&lt;/RecNum&gt;&lt;DisplayText&gt;(20)&lt;/DisplayText&gt;&lt;record&gt;&lt;rec-number&gt;6237&lt;/rec-number&gt;&lt;foreign-keys&gt;&lt;key app="EN" db-id="z0pstdve0pafaze5aw25ewdyxa2ff290ra2x" timestamp="1516956540"&gt;6237&lt;/key&gt;&lt;/foreign-keys&gt;&lt;ref-type name="Journal Article"&gt;17&lt;/ref-type&gt;&lt;contributors&gt;&lt;authors&gt;&lt;author&gt;Austin, P. C.&lt;/author&gt;&lt;author&gt;Steyerberg, E. W.&lt;/author&gt;&lt;/authors&gt;&lt;/contributors&gt;&lt;auth-address&gt;Institute for Clinical Evaluative Sciences, Toronto, Ontario, Canada; Institute of Health Management, Policy and Evaluation, University of Toronto, Toronto, Ontario, Canada; Dalla Lana School of Public Health, University of Toronto, Toronto, Ontario, Canada; Sunnybrook Research Institute, Sunnybrook Health Sciences Centre, Toronto, Canada.&lt;/auth-address&gt;&lt;titles&gt;&lt;title&gt;Graphical assessment of internal and external calibration of logistic regression models by using loess smoothers&lt;/title&gt;&lt;secondary-title&gt;Stat Med&lt;/secondary-title&gt;&lt;/titles&gt;&lt;periodical&gt;&lt;full-title&gt;Stat Med&lt;/full-title&gt;&lt;abbr-1&gt;Statistics in medicine&lt;/abbr-1&gt;&lt;/periodical&gt;&lt;pages&gt;517-35&lt;/pages&gt;&lt;volume&gt;33&lt;/volume&gt;&lt;number&gt;3&lt;/number&gt;&lt;edition&gt;2013/09/05&lt;/edition&gt;&lt;keywords&gt;&lt;keyword&gt;*Algorithms&lt;/keyword&gt;&lt;keyword&gt;Computer Simulation&lt;/keyword&gt;&lt;keyword&gt;*Least-Squares Analysis&lt;/keyword&gt;&lt;keyword&gt;*Logistic Models&lt;/keyword&gt;&lt;keyword&gt;Monte Carlo Method&lt;/keyword&gt;&lt;keyword&gt;calibration&lt;/keyword&gt;&lt;keyword&gt;graphical methods&lt;/keyword&gt;&lt;keyword&gt;logistic regression&lt;/keyword&gt;&lt;keyword&gt;prediction&lt;/keyword&gt;&lt;keyword&gt;prediction models&lt;/keyword&gt;&lt;/keywords&gt;&lt;dates&gt;&lt;year&gt;2014&lt;/year&gt;&lt;pub-dates&gt;&lt;date&gt;Feb 10&lt;/date&gt;&lt;/pub-dates&gt;&lt;/dates&gt;&lt;isbn&gt;1097-0258 (Electronic)&amp;#xD;0277-6715 (Linking)&lt;/isbn&gt;&lt;accession-num&gt;24002997&lt;/accession-num&gt;&lt;urls&gt;&lt;related-urls&gt;&lt;url&gt;https://www.ncbi.nlm.nih.gov/pubmed/24002997&lt;/url&gt;&lt;/related-urls&gt;&lt;/urls&gt;&lt;custom2&gt;PMC4793659&lt;/custom2&gt;&lt;electronic-resource-num&gt;10.1002/sim.5941&lt;/electronic-resource-num&gt;&lt;/record&gt;&lt;/Cite&gt;&lt;/EndNote&gt;</w:instrText>
      </w:r>
      <w:r w:rsidRPr="005E5153">
        <w:fldChar w:fldCharType="separate"/>
      </w:r>
      <w:r w:rsidRPr="005E5153">
        <w:rPr>
          <w:noProof/>
        </w:rPr>
        <w:t>(20)</w:t>
      </w:r>
      <w:r w:rsidRPr="005E5153">
        <w:fldChar w:fldCharType="end"/>
      </w:r>
      <w:r w:rsidRPr="005E5153">
        <w:t xml:space="preserve"> to estimate the observed probabilities of OETD relative to the predicted probabilities. The calibration slope was estimated by logistic regression of the binary outcome (OETD present or not) on the linear predictor. The linear predictor, </w:t>
      </w:r>
      <w:r w:rsidRPr="005E5153">
        <w:rPr>
          <w:i/>
        </w:rPr>
        <w:t>L</w:t>
      </w:r>
      <w:r w:rsidRPr="005E5153">
        <w:t xml:space="preserve">, is the linear combination of the coefficients from the fitted model with the covariate values in the original sample, i.e. </w:t>
      </w:r>
      <w:r w:rsidRPr="005E5153">
        <w:rPr>
          <w:rFonts w:ascii="Cambria Math" w:eastAsia="Cambria Math" w:hAnsi="Cambria Math" w:cs="Cambria Math"/>
        </w:rPr>
        <w:t>𝐿</w:t>
      </w:r>
      <w:r w:rsidRPr="005E5153">
        <w:t xml:space="preserve"> = </w:t>
      </w:r>
      <w:r w:rsidRPr="005E5153">
        <w:rPr>
          <w:rFonts w:ascii="Cambria Math" w:eastAsia="Cambria Math" w:hAnsi="Cambria Math" w:cs="Cambria Math"/>
        </w:rPr>
        <w:t>𝑎</w:t>
      </w:r>
      <w:r w:rsidRPr="005E5153">
        <w:t xml:space="preserve"> + </w:t>
      </w:r>
      <w:r w:rsidRPr="005E5153">
        <w:rPr>
          <w:rFonts w:ascii="Cambria Math" w:eastAsia="Cambria Math" w:hAnsi="Cambria Math" w:cs="Cambria Math"/>
        </w:rPr>
        <w:t>𝑏</w:t>
      </w:r>
      <w:r w:rsidRPr="005E5153">
        <w:rPr>
          <w:vertAlign w:val="subscript"/>
        </w:rPr>
        <w:t>1</w:t>
      </w:r>
      <w:r w:rsidRPr="005E5153">
        <w:rPr>
          <w:rFonts w:ascii="Cambria Math" w:eastAsia="Cambria Math" w:hAnsi="Cambria Math" w:cs="Cambria Math"/>
        </w:rPr>
        <w:t>𝑥</w:t>
      </w:r>
      <w:r w:rsidRPr="005E5153">
        <w:rPr>
          <w:vertAlign w:val="subscript"/>
        </w:rPr>
        <w:t>1</w:t>
      </w:r>
      <w:r w:rsidRPr="005E5153">
        <w:t xml:space="preserve"> + </w:t>
      </w:r>
      <w:r w:rsidRPr="005E5153">
        <w:rPr>
          <w:rFonts w:ascii="Cambria Math" w:eastAsia="Cambria Math" w:hAnsi="Cambria Math" w:cs="Cambria Math"/>
        </w:rPr>
        <w:t>𝑏</w:t>
      </w:r>
      <w:r w:rsidRPr="005E5153">
        <w:rPr>
          <w:vertAlign w:val="subscript"/>
        </w:rPr>
        <w:t>2</w:t>
      </w:r>
      <w:r w:rsidRPr="005E5153">
        <w:rPr>
          <w:rFonts w:ascii="Cambria Math" w:eastAsia="Cambria Math" w:hAnsi="Cambria Math" w:cs="Cambria Math"/>
        </w:rPr>
        <w:t>𝑥</w:t>
      </w:r>
      <w:r w:rsidRPr="005E5153">
        <w:rPr>
          <w:vertAlign w:val="subscript"/>
        </w:rPr>
        <w:t xml:space="preserve">2 </w:t>
      </w:r>
      <w:r w:rsidRPr="005E5153">
        <w:t xml:space="preserve">+ … + </w:t>
      </w:r>
      <w:r w:rsidRPr="005E5153">
        <w:rPr>
          <w:rFonts w:ascii="Cambria Math" w:eastAsia="Cambria Math" w:hAnsi="Cambria Math" w:cs="Cambria Math"/>
        </w:rPr>
        <w:t>𝑏</w:t>
      </w:r>
      <w:r w:rsidRPr="005E5153">
        <w:rPr>
          <w:rFonts w:ascii="Cambria Math" w:eastAsia="Cambria Math" w:hAnsi="Cambria Math" w:cs="Cambria Math"/>
          <w:vertAlign w:val="subscript"/>
        </w:rPr>
        <w:t>𝑖</w:t>
      </w:r>
      <w:r w:rsidRPr="005E5153">
        <w:rPr>
          <w:rFonts w:ascii="Cambria Math" w:eastAsia="Cambria Math" w:hAnsi="Cambria Math" w:cs="Cambria Math"/>
        </w:rPr>
        <w:t>𝑥</w:t>
      </w:r>
      <w:r w:rsidRPr="005E5153">
        <w:rPr>
          <w:rFonts w:ascii="Cambria Math" w:eastAsia="Cambria Math" w:hAnsi="Cambria Math" w:cs="Cambria Math"/>
          <w:vertAlign w:val="subscript"/>
        </w:rPr>
        <w:t>𝑖</w:t>
      </w:r>
      <w:r w:rsidRPr="005E5153">
        <w:t xml:space="preserve">, where </w:t>
      </w:r>
      <w:r w:rsidRPr="005E5153">
        <w:rPr>
          <w:rFonts w:ascii="Cambria Math" w:eastAsia="Cambria Math" w:hAnsi="Cambria Math" w:cs="Cambria Math"/>
        </w:rPr>
        <w:t>𝑎</w:t>
      </w:r>
      <w:r w:rsidRPr="005E5153">
        <w:t xml:space="preserve"> is the model intercept, </w:t>
      </w:r>
      <w:r w:rsidRPr="005E5153">
        <w:rPr>
          <w:rFonts w:ascii="Cambria Math" w:eastAsia="Cambria Math" w:hAnsi="Cambria Math" w:cs="Cambria Math"/>
        </w:rPr>
        <w:t>𝑏</w:t>
      </w:r>
      <w:r w:rsidRPr="005E5153">
        <w:rPr>
          <w:vertAlign w:val="subscript"/>
        </w:rPr>
        <w:t>1</w:t>
      </w:r>
      <w:r w:rsidRPr="005E5153">
        <w:t xml:space="preserve"> to </w:t>
      </w:r>
      <w:r w:rsidRPr="005E5153">
        <w:rPr>
          <w:rFonts w:ascii="Cambria Math" w:eastAsia="Cambria Math" w:hAnsi="Cambria Math" w:cs="Cambria Math"/>
        </w:rPr>
        <w:t>𝑏</w:t>
      </w:r>
      <w:r w:rsidRPr="005E5153">
        <w:rPr>
          <w:rFonts w:ascii="Cambria Math" w:eastAsia="Cambria Math" w:hAnsi="Cambria Math" w:cs="Cambria Math"/>
          <w:vertAlign w:val="subscript"/>
        </w:rPr>
        <w:t>𝑖</w:t>
      </w:r>
      <w:r w:rsidRPr="005E5153">
        <w:t xml:space="preserve"> the set of regression coefficients, and </w:t>
      </w:r>
      <w:r w:rsidRPr="005E5153">
        <w:rPr>
          <w:rFonts w:ascii="Cambria Math" w:eastAsia="Cambria Math" w:hAnsi="Cambria Math" w:cs="Cambria Math"/>
        </w:rPr>
        <w:t>𝑥</w:t>
      </w:r>
      <w:r w:rsidRPr="005E5153">
        <w:rPr>
          <w:vertAlign w:val="subscript"/>
        </w:rPr>
        <w:t>1</w:t>
      </w:r>
      <w:r w:rsidRPr="005E5153">
        <w:t xml:space="preserve"> to </w:t>
      </w:r>
      <w:r w:rsidRPr="005E5153">
        <w:rPr>
          <w:rFonts w:ascii="Cambria Math" w:eastAsia="Cambria Math" w:hAnsi="Cambria Math" w:cs="Cambria Math"/>
        </w:rPr>
        <w:t>𝑥</w:t>
      </w:r>
      <w:r w:rsidRPr="005E5153">
        <w:rPr>
          <w:rFonts w:ascii="Cambria Math" w:eastAsia="Cambria Math" w:hAnsi="Cambria Math" w:cs="Cambria Math"/>
          <w:vertAlign w:val="subscript"/>
        </w:rPr>
        <w:t>𝑖</w:t>
      </w:r>
      <w:r w:rsidRPr="005E5153">
        <w:t xml:space="preserve"> the values of the </w:t>
      </w:r>
      <w:proofErr w:type="spellStart"/>
      <w:r w:rsidRPr="005E5153">
        <w:rPr>
          <w:i/>
        </w:rPr>
        <w:t>i</w:t>
      </w:r>
      <w:proofErr w:type="spellEnd"/>
      <w:r w:rsidRPr="005E5153">
        <w:t xml:space="preserve"> index tests. </w:t>
      </w:r>
    </w:p>
    <w:p w14:paraId="1D4769C8" w14:textId="77777777" w:rsidR="00972C3F" w:rsidRPr="005E5153" w:rsidRDefault="00972C3F" w:rsidP="007517A4">
      <w:pPr>
        <w:spacing w:line="480" w:lineRule="auto"/>
        <w:jc w:val="both"/>
      </w:pPr>
    </w:p>
    <w:p w14:paraId="57B1E117" w14:textId="77777777" w:rsidR="00972C3F" w:rsidRPr="005E5153" w:rsidRDefault="00972C3F" w:rsidP="007517A4">
      <w:pPr>
        <w:spacing w:line="480" w:lineRule="auto"/>
        <w:jc w:val="both"/>
      </w:pPr>
      <w:r>
        <w:t>Internal validation using b</w:t>
      </w:r>
      <w:r w:rsidRPr="005E5153">
        <w:t xml:space="preserve">ootstrapping was performed for both Clinical and Research </w:t>
      </w:r>
      <w:proofErr w:type="gramStart"/>
      <w:r w:rsidRPr="005E5153">
        <w:t>models, and</w:t>
      </w:r>
      <w:proofErr w:type="gramEnd"/>
      <w:r w:rsidRPr="005E5153">
        <w:t xml:space="preserve"> involved resampling with replacement from the original data set, thus replicating new samples similar to the original cohort; the size of each of the 200 samples was the same as the original data set. Each model was fitted to each bootstrap sample and the coefficients were then applied to the original sample to obtain a predicted probability of the occurrence of OETD for each patient. The </w:t>
      </w:r>
      <w:r w:rsidRPr="005E5153">
        <w:rPr>
          <w:i/>
        </w:rPr>
        <w:t>c</w:t>
      </w:r>
      <w:r w:rsidRPr="005E5153">
        <w:t xml:space="preserve">-statistic for the model was estimated and averaged over the 200 samples to obtain the optimism adjusted </w:t>
      </w:r>
      <w:r w:rsidRPr="005E5153">
        <w:rPr>
          <w:i/>
        </w:rPr>
        <w:t>c</w:t>
      </w:r>
      <w:r w:rsidRPr="005E5153">
        <w:t xml:space="preserve">-statistic. </w:t>
      </w:r>
    </w:p>
    <w:p w14:paraId="22BFF0AC" w14:textId="70931B4D" w:rsidR="00AA6891" w:rsidRDefault="00AA6891">
      <w:pPr>
        <w:rPr>
          <w:b/>
        </w:rPr>
      </w:pPr>
      <w:r>
        <w:rPr>
          <w:b/>
        </w:rPr>
        <w:br w:type="page"/>
      </w:r>
    </w:p>
    <w:p w14:paraId="568B3BF4" w14:textId="545A15A3" w:rsidR="00972C3F" w:rsidRDefault="00AA6891">
      <w:pPr>
        <w:rPr>
          <w:b/>
        </w:rPr>
      </w:pPr>
      <w:r>
        <w:rPr>
          <w:b/>
        </w:rPr>
        <w:lastRenderedPageBreak/>
        <w:t xml:space="preserve">A description of Principle Component Analysis and Latent Class Analysis </w:t>
      </w:r>
    </w:p>
    <w:p w14:paraId="458DEB92" w14:textId="1EFCF76B" w:rsidR="00AA6891" w:rsidRDefault="00AA6891">
      <w:pPr>
        <w:rPr>
          <w:b/>
        </w:rPr>
      </w:pPr>
    </w:p>
    <w:p w14:paraId="2555E930" w14:textId="77777777" w:rsidR="00AA6891" w:rsidRPr="00AA6891" w:rsidRDefault="00AA6891" w:rsidP="00AA6891">
      <w:pPr>
        <w:spacing w:line="480" w:lineRule="auto"/>
        <w:jc w:val="both"/>
        <w:rPr>
          <w:rFonts w:eastAsia="Times New Roman"/>
          <w:color w:val="000000" w:themeColor="text1"/>
        </w:rPr>
      </w:pPr>
      <w:r w:rsidRPr="00AA6891">
        <w:rPr>
          <w:rFonts w:eastAsia="Times New Roman"/>
          <w:color w:val="000000" w:themeColor="text1"/>
        </w:rPr>
        <w:t>Principal Component Analysis (PCA) is a statistical approach used in exploratory data analysis to reduce a large set of </w:t>
      </w:r>
      <w:r w:rsidRPr="00AA6891">
        <w:rPr>
          <w:rFonts w:eastAsia="Times New Roman"/>
          <w:color w:val="000000" w:themeColor="text1"/>
          <w:shd w:val="clear" w:color="auto" w:fill="FFFFFF"/>
        </w:rPr>
        <w:t>possibly correlated variables (different tests and PROMs in our study) </w:t>
      </w:r>
      <w:r w:rsidRPr="00AA6891">
        <w:rPr>
          <w:rFonts w:eastAsia="Times New Roman"/>
          <w:color w:val="000000" w:themeColor="text1"/>
        </w:rPr>
        <w:t>to a small set of variables that are linearly uncorrelated. These are called principle components. The first principal component accounts for as much of the variability in the data as possible, and each succeeding component accounts for as much of the remaining variability as possible. The relationship between each variable (test or PROM) and the components is expressed in the form of a correlation coefficient as a loading. In this way we explored which tests of ET function displayed common findings.</w:t>
      </w:r>
    </w:p>
    <w:p w14:paraId="6BDF9FB7" w14:textId="77777777" w:rsidR="00AA6891" w:rsidRPr="00AA6891" w:rsidRDefault="00AA6891" w:rsidP="00AA6891">
      <w:pPr>
        <w:spacing w:line="480" w:lineRule="auto"/>
        <w:jc w:val="both"/>
        <w:rPr>
          <w:rFonts w:eastAsia="Times New Roman"/>
          <w:color w:val="000000" w:themeColor="text1"/>
        </w:rPr>
      </w:pPr>
    </w:p>
    <w:p w14:paraId="7CFF220B" w14:textId="77777777" w:rsidR="00AA6891" w:rsidRPr="00AA6891" w:rsidRDefault="00AA6891" w:rsidP="00AA6891">
      <w:pPr>
        <w:spacing w:line="480" w:lineRule="auto"/>
        <w:jc w:val="both"/>
        <w:rPr>
          <w:rFonts w:eastAsia="Times New Roman"/>
          <w:color w:val="000000" w:themeColor="text1"/>
        </w:rPr>
      </w:pPr>
      <w:r w:rsidRPr="00AA6891">
        <w:rPr>
          <w:rFonts w:eastAsia="Times New Roman"/>
          <w:color w:val="000000" w:themeColor="text1"/>
          <w:lang w:val="en-US"/>
        </w:rPr>
        <w:t>Latent class analysis (LCA) is used to assess diagnostic accuracy in situations where a reference standard diagnosis is imperfect or unavailable. This statistical technique combines multiple pieces of diagnostic information, in this case the test and PROM results, to determine disease status. Although disease status remains an unmeasured (“latent”) categorical variable, the study population is divided into two classes, disease positive and disease negative. </w:t>
      </w:r>
    </w:p>
    <w:p w14:paraId="17B6BDDE" w14:textId="583EA5F6" w:rsidR="00DF472C" w:rsidRDefault="00DF472C" w:rsidP="00290153">
      <w:bookmarkStart w:id="0" w:name="_GoBack"/>
      <w:bookmarkEnd w:id="0"/>
    </w:p>
    <w:sectPr w:rsidR="00DF472C" w:rsidSect="00D72D5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F4F9" w14:textId="77777777" w:rsidR="00251475" w:rsidRDefault="00251475">
      <w:r>
        <w:separator/>
      </w:r>
    </w:p>
  </w:endnote>
  <w:endnote w:type="continuationSeparator" w:id="0">
    <w:p w14:paraId="6FB2B662" w14:textId="77777777" w:rsidR="00251475" w:rsidRDefault="0025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89CB" w14:textId="77777777" w:rsidR="00972C3F" w:rsidRDefault="00972C3F" w:rsidP="00763864">
    <w:pPr>
      <w:pStyle w:val="Footer"/>
      <w:framePr w:wrap="around" w:vAnchor="text" w:hAnchor="margin" w:xAlign="center" w:y="1"/>
      <w:rPr>
        <w:rStyle w:val="PageNumber"/>
        <w:rFonts w:eastAsiaTheme="minorHAnsi"/>
        <w:lang w:eastAsia="en-US"/>
      </w:rPr>
    </w:pPr>
    <w:r>
      <w:rPr>
        <w:rStyle w:val="PageNumber"/>
      </w:rPr>
      <w:fldChar w:fldCharType="begin"/>
    </w:r>
    <w:r>
      <w:rPr>
        <w:rStyle w:val="PageNumber"/>
      </w:rPr>
      <w:instrText xml:space="preserve">PAGE  </w:instrText>
    </w:r>
    <w:r>
      <w:rPr>
        <w:rStyle w:val="PageNumber"/>
      </w:rPr>
      <w:fldChar w:fldCharType="end"/>
    </w:r>
  </w:p>
  <w:p w14:paraId="4F8FF933" w14:textId="77777777" w:rsidR="00972C3F" w:rsidRDefault="0097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A404" w14:textId="77777777" w:rsidR="00972C3F" w:rsidRDefault="00972C3F" w:rsidP="00763864">
    <w:pPr>
      <w:pStyle w:val="Footer"/>
      <w:framePr w:wrap="around" w:vAnchor="text" w:hAnchor="margin" w:xAlign="center" w:y="1"/>
      <w:rPr>
        <w:rStyle w:val="PageNumber"/>
        <w:rFonts w:eastAsiaTheme="minorHAnsi"/>
        <w:lang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BBF17D" w14:textId="77777777" w:rsidR="00972C3F" w:rsidRDefault="0097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D297" w14:textId="77777777" w:rsidR="00251475" w:rsidRDefault="00251475">
      <w:r>
        <w:separator/>
      </w:r>
    </w:p>
  </w:footnote>
  <w:footnote w:type="continuationSeparator" w:id="0">
    <w:p w14:paraId="515BE84E" w14:textId="77777777" w:rsidR="00251475" w:rsidRDefault="0025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368A"/>
    <w:multiLevelType w:val="hybridMultilevel"/>
    <w:tmpl w:val="EFF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7A"/>
    <w:rsid w:val="00035B2E"/>
    <w:rsid w:val="002250D9"/>
    <w:rsid w:val="00251475"/>
    <w:rsid w:val="00290153"/>
    <w:rsid w:val="002A3C8E"/>
    <w:rsid w:val="002E2D44"/>
    <w:rsid w:val="002F101F"/>
    <w:rsid w:val="00300956"/>
    <w:rsid w:val="00347F43"/>
    <w:rsid w:val="003B34EA"/>
    <w:rsid w:val="0046756D"/>
    <w:rsid w:val="0052039D"/>
    <w:rsid w:val="0057380D"/>
    <w:rsid w:val="0059060B"/>
    <w:rsid w:val="005C3725"/>
    <w:rsid w:val="00651784"/>
    <w:rsid w:val="00732251"/>
    <w:rsid w:val="00750908"/>
    <w:rsid w:val="007517A4"/>
    <w:rsid w:val="00763864"/>
    <w:rsid w:val="007918FF"/>
    <w:rsid w:val="007B29DB"/>
    <w:rsid w:val="007F2411"/>
    <w:rsid w:val="0084410D"/>
    <w:rsid w:val="0090090D"/>
    <w:rsid w:val="00940926"/>
    <w:rsid w:val="00972C3F"/>
    <w:rsid w:val="00991AC8"/>
    <w:rsid w:val="00A152F8"/>
    <w:rsid w:val="00A63B63"/>
    <w:rsid w:val="00AA6891"/>
    <w:rsid w:val="00AF5676"/>
    <w:rsid w:val="00B6014A"/>
    <w:rsid w:val="00BA1E4C"/>
    <w:rsid w:val="00C7311D"/>
    <w:rsid w:val="00CA3FAD"/>
    <w:rsid w:val="00CA477A"/>
    <w:rsid w:val="00D57590"/>
    <w:rsid w:val="00D60878"/>
    <w:rsid w:val="00D72D58"/>
    <w:rsid w:val="00DB72D4"/>
    <w:rsid w:val="00DE1AFE"/>
    <w:rsid w:val="00DF472C"/>
    <w:rsid w:val="00E633E0"/>
    <w:rsid w:val="00E94B78"/>
    <w:rsid w:val="00EB2877"/>
    <w:rsid w:val="00F67EB7"/>
    <w:rsid w:val="00FC00B3"/>
    <w:rsid w:val="00FD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8E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86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3725"/>
    <w:pPr>
      <w:tabs>
        <w:tab w:val="center" w:pos="4320"/>
        <w:tab w:val="right" w:pos="8640"/>
      </w:tabs>
    </w:pPr>
    <w:rPr>
      <w:rFonts w:eastAsiaTheme="minorEastAsia"/>
      <w:lang w:eastAsia="ja-JP"/>
    </w:rPr>
  </w:style>
  <w:style w:type="character" w:customStyle="1" w:styleId="FooterChar">
    <w:name w:val="Footer Char"/>
    <w:basedOn w:val="DefaultParagraphFont"/>
    <w:link w:val="Footer"/>
    <w:rsid w:val="005C3725"/>
    <w:rPr>
      <w:rFonts w:ascii="Times New Roman" w:eastAsiaTheme="minorEastAsia" w:hAnsi="Times New Roman" w:cs="Times New Roman"/>
      <w:lang w:eastAsia="ja-JP"/>
    </w:rPr>
  </w:style>
  <w:style w:type="character" w:styleId="PageNumber">
    <w:name w:val="page number"/>
    <w:basedOn w:val="DefaultParagraphFont"/>
    <w:rsid w:val="005C3725"/>
  </w:style>
  <w:style w:type="table" w:styleId="TableGrid">
    <w:name w:val="Table Grid"/>
    <w:basedOn w:val="TableNormal"/>
    <w:uiPriority w:val="39"/>
    <w:rsid w:val="00DF472C"/>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A152F8"/>
    <w:pPr>
      <w:ind w:left="720"/>
      <w:contextualSpacing/>
    </w:pPr>
    <w:rPr>
      <w:rFonts w:asciiTheme="minorHAnsi" w:hAnsiTheme="minorHAnsi" w:cstheme="minorBidi"/>
      <w:lang w:eastAsia="en-US"/>
    </w:rPr>
  </w:style>
  <w:style w:type="paragraph" w:styleId="NormalWeb">
    <w:name w:val="Normal (Web)"/>
    <w:basedOn w:val="Normal"/>
    <w:uiPriority w:val="99"/>
    <w:rsid w:val="007B29DB"/>
    <w:pPr>
      <w:spacing w:beforeLines="1" w:afterLines="1"/>
      <w:jc w:val="both"/>
    </w:pPr>
    <w:rPr>
      <w:rFonts w:ascii="Times" w:eastAsiaTheme="minorEastAsia" w:hAnsi="Time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5704">
      <w:bodyDiv w:val="1"/>
      <w:marLeft w:val="0"/>
      <w:marRight w:val="0"/>
      <w:marTop w:val="0"/>
      <w:marBottom w:val="0"/>
      <w:divBdr>
        <w:top w:val="none" w:sz="0" w:space="0" w:color="auto"/>
        <w:left w:val="none" w:sz="0" w:space="0" w:color="auto"/>
        <w:bottom w:val="none" w:sz="0" w:space="0" w:color="auto"/>
        <w:right w:val="none" w:sz="0" w:space="0" w:color="auto"/>
      </w:divBdr>
    </w:div>
    <w:div w:id="1949047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3</cp:revision>
  <dcterms:created xsi:type="dcterms:W3CDTF">2018-10-28T11:48:00Z</dcterms:created>
  <dcterms:modified xsi:type="dcterms:W3CDTF">2018-10-28T11:54:00Z</dcterms:modified>
</cp:coreProperties>
</file>