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46" w:rsidRDefault="00584346"/>
    <w:p w:rsidR="00EB167A" w:rsidRDefault="00EB167A" w:rsidP="00EB167A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S10 Table</w:t>
      </w:r>
      <w:r w:rsidRPr="003E03D0">
        <w:rPr>
          <w:rFonts w:ascii="Arial" w:eastAsia="Calibri" w:hAnsi="Arial" w:cs="Arial"/>
          <w:b/>
          <w:sz w:val="24"/>
          <w:szCs w:val="24"/>
        </w:rPr>
        <w:t>: Estimates of peer effects and covariates on adoption of new drugs</w:t>
      </w:r>
      <w:r>
        <w:rPr>
          <w:rFonts w:ascii="Arial" w:eastAsia="Calibri" w:hAnsi="Arial" w:cs="Arial"/>
          <w:b/>
          <w:sz w:val="24"/>
          <w:szCs w:val="24"/>
        </w:rPr>
        <w:t xml:space="preserve"> from instrumental variables regression</w:t>
      </w:r>
      <w:r w:rsidRPr="003E03D0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3E03D0">
        <w:rPr>
          <w:rFonts w:ascii="Arial" w:eastAsia="Calibri" w:hAnsi="Arial" w:cs="Arial"/>
          <w:b/>
          <w:i/>
          <w:sz w:val="24"/>
          <w:szCs w:val="24"/>
        </w:rPr>
        <w:t>Primary analysis showing all covariates.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98"/>
        <w:gridCol w:w="1890"/>
        <w:gridCol w:w="1854"/>
        <w:gridCol w:w="1926"/>
      </w:tblGrid>
      <w:tr w:rsidR="00EB167A" w:rsidRPr="002B3A07" w:rsidTr="004D17BA">
        <w:trPr>
          <w:tblHeader/>
        </w:trPr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Variable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Anticoagulant cohort for dabigatran adoption (n = 7,785)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B3A07">
              <w:rPr>
                <w:rFonts w:ascii="Arial" w:eastAsia="Calibri" w:hAnsi="Arial" w:cs="Arial"/>
                <w:sz w:val="20"/>
                <w:szCs w:val="20"/>
              </w:rPr>
              <w:t>Antidiabetes</w:t>
            </w:r>
            <w:proofErr w:type="spellEnd"/>
            <w:r w:rsidRPr="002B3A07">
              <w:rPr>
                <w:rFonts w:ascii="Arial" w:eastAsia="Calibri" w:hAnsi="Arial" w:cs="Arial"/>
                <w:sz w:val="20"/>
                <w:szCs w:val="20"/>
              </w:rPr>
              <w:t xml:space="preserve"> cohort for sitagliptin adoption            </w:t>
            </w:r>
            <w:proofErr w:type="gramStart"/>
            <w:r w:rsidRPr="002B3A07">
              <w:rPr>
                <w:rFonts w:ascii="Arial" w:eastAsia="Calibri" w:hAnsi="Arial" w:cs="Arial"/>
                <w:sz w:val="20"/>
                <w:szCs w:val="20"/>
              </w:rPr>
              <w:t xml:space="preserve">   (</w:t>
            </w:r>
            <w:proofErr w:type="gramEnd"/>
            <w:r w:rsidRPr="002B3A07">
              <w:rPr>
                <w:rFonts w:ascii="Arial" w:eastAsia="Calibri" w:hAnsi="Arial" w:cs="Arial"/>
                <w:sz w:val="20"/>
                <w:szCs w:val="20"/>
              </w:rPr>
              <w:t>n = 8,257)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 xml:space="preserve">Antihypertensive cohort for </w:t>
            </w:r>
            <w:proofErr w:type="spellStart"/>
            <w:r w:rsidRPr="002B3A07">
              <w:rPr>
                <w:rFonts w:ascii="Arial" w:eastAsia="Calibri" w:hAnsi="Arial" w:cs="Arial"/>
                <w:sz w:val="20"/>
                <w:szCs w:val="20"/>
              </w:rPr>
              <w:t>aliskiren</w:t>
            </w:r>
            <w:proofErr w:type="spellEnd"/>
            <w:r w:rsidRPr="002B3A07">
              <w:rPr>
                <w:rFonts w:ascii="Arial" w:eastAsia="Calibri" w:hAnsi="Arial" w:cs="Arial"/>
                <w:sz w:val="20"/>
                <w:szCs w:val="20"/>
              </w:rPr>
              <w:t xml:space="preserve"> adoption  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(n= 9,974)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tabs>
                <w:tab w:val="left" w:pos="1800"/>
              </w:tabs>
              <w:spacing w:after="0" w:line="240" w:lineRule="auto"/>
              <w:ind w:right="-342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Patient-sharing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590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 (0.15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832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 (0.1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0.784**(0.293)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Medical group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185 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(0.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132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0.335 (0.175)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Hospital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0.319 (0.188)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0.376 (0.211)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261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7A" w:rsidRPr="002B3A07" w:rsidTr="004D17BA">
        <w:trPr>
          <w:trHeight w:val="278"/>
        </w:trPr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Training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0649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(0.1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87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(0.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225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 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(0.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310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B167A" w:rsidRPr="002B3A07" w:rsidTr="004D17BA">
        <w:trPr>
          <w:trHeight w:val="278"/>
        </w:trPr>
        <w:tc>
          <w:tcPr>
            <w:tcW w:w="3798" w:type="dxa"/>
            <w:shd w:val="clear" w:color="auto" w:fill="auto"/>
          </w:tcPr>
          <w:p w:rsidR="00EB167A" w:rsidRPr="001813EF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% high-volume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prescribers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0.201***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(0.0101)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0.328***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(0.0110)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0.128***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(0.00664)</w:t>
            </w:r>
          </w:p>
        </w:tc>
      </w:tr>
      <w:tr w:rsidR="00EB167A" w:rsidRPr="002B3A07" w:rsidTr="004D17BA">
        <w:trPr>
          <w:trHeight w:val="278"/>
        </w:trPr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762B">
              <w:rPr>
                <w:rFonts w:ascii="Arial" w:eastAsia="Calibri" w:hAnsi="Arial" w:cs="Arial"/>
                <w:sz w:val="20"/>
                <w:szCs w:val="20"/>
              </w:rPr>
              <w:t xml:space="preserve">fraction of patient-sharing peers </w:t>
            </w:r>
            <w:r>
              <w:rPr>
                <w:rFonts w:ascii="Arial" w:eastAsia="Calibri" w:hAnsi="Arial" w:cs="Arial"/>
                <w:sz w:val="20"/>
                <w:szCs w:val="20"/>
              </w:rPr>
              <w:t>who are high-volume prescribers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-0.262***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(0.0992)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-0.245***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(0.0657)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-0.100 (0.0531)</w:t>
            </w:r>
          </w:p>
        </w:tc>
      </w:tr>
      <w:tr w:rsidR="00EB167A" w:rsidRPr="002B3A07" w:rsidTr="004D17BA">
        <w:trPr>
          <w:trHeight w:val="278"/>
        </w:trPr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762B">
              <w:rPr>
                <w:rFonts w:ascii="Arial" w:eastAsia="Calibri" w:hAnsi="Arial" w:cs="Arial"/>
                <w:sz w:val="20"/>
                <w:szCs w:val="20"/>
              </w:rPr>
              <w:t xml:space="preserve">fraction of medical group peers </w:t>
            </w:r>
            <w:r>
              <w:rPr>
                <w:rFonts w:ascii="Arial" w:eastAsia="Calibri" w:hAnsi="Arial" w:cs="Arial"/>
                <w:sz w:val="20"/>
                <w:szCs w:val="20"/>
              </w:rPr>
              <w:t>who are high-volume prescribers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-0.0419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(0.0328)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-0.0867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(0.0561)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-0.0452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(0.0307)</w:t>
            </w:r>
          </w:p>
        </w:tc>
      </w:tr>
      <w:tr w:rsidR="00EB167A" w:rsidRPr="002B3A07" w:rsidTr="004D17BA">
        <w:trPr>
          <w:trHeight w:val="278"/>
        </w:trPr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762B">
              <w:rPr>
                <w:rFonts w:ascii="Arial" w:eastAsia="Calibri" w:hAnsi="Arial" w:cs="Arial"/>
                <w:sz w:val="20"/>
                <w:szCs w:val="20"/>
              </w:rPr>
              <w:t xml:space="preserve">fraction of hospital peers </w:t>
            </w:r>
            <w:r>
              <w:rPr>
                <w:rFonts w:ascii="Arial" w:eastAsia="Calibri" w:hAnsi="Arial" w:cs="Arial"/>
                <w:sz w:val="20"/>
                <w:szCs w:val="20"/>
              </w:rPr>
              <w:t>who are high-volume prescribers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-0.0793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(0.0920)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-0.194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(0.122)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-0.0623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(0.0616)</w:t>
            </w:r>
          </w:p>
        </w:tc>
      </w:tr>
      <w:tr w:rsidR="00EB167A" w:rsidRPr="002B3A07" w:rsidTr="004D17BA">
        <w:trPr>
          <w:trHeight w:val="278"/>
        </w:trPr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762B">
              <w:rPr>
                <w:rFonts w:ascii="Arial" w:eastAsia="Calibri" w:hAnsi="Arial" w:cs="Arial"/>
                <w:sz w:val="20"/>
                <w:szCs w:val="20"/>
              </w:rPr>
              <w:t xml:space="preserve">fraction of training peers </w:t>
            </w:r>
            <w:r>
              <w:rPr>
                <w:rFonts w:ascii="Arial" w:eastAsia="Calibri" w:hAnsi="Arial" w:cs="Arial"/>
                <w:sz w:val="20"/>
                <w:szCs w:val="20"/>
              </w:rPr>
              <w:t>who are high-volume prescribers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0.00450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(0.0651)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-0.0147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(0.0932)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-0.0139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1762B">
              <w:rPr>
                <w:rFonts w:ascii="Arial" w:eastAsia="Times New Roman" w:hAnsi="Arial" w:cs="Arial"/>
                <w:sz w:val="20"/>
                <w:szCs w:val="20"/>
              </w:rPr>
              <w:t>(0.0565)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Physician sex = female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3***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(0.0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0962</w:t>
            </w:r>
            <w:r w:rsidRPr="002B3A07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6484">
              <w:rPr>
                <w:rFonts w:ascii="Arial" w:eastAsia="Calibri" w:hAnsi="Arial" w:cs="Arial"/>
                <w:color w:val="000000"/>
                <w:sz w:val="20"/>
                <w:szCs w:val="20"/>
              </w:rPr>
              <w:t>-0.0252**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(0.00959)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593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Medical school graduation (&lt;10 years = reference category)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10-19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0522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00151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0932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20-29</w:t>
            </w:r>
          </w:p>
        </w:tc>
        <w:tc>
          <w:tcPr>
            <w:tcW w:w="1890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-0.0271</w:t>
            </w:r>
          </w:p>
          <w:p w:rsidR="00EB167A" w:rsidRPr="00316215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(0.0161)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0394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30+</w:t>
            </w:r>
          </w:p>
        </w:tc>
        <w:tc>
          <w:tcPr>
            <w:tcW w:w="1890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-0.0370*</w:t>
            </w:r>
          </w:p>
          <w:p w:rsidR="00EB167A" w:rsidRPr="00316215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(0.0168)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Relevant Physician Specialty (PCP = reference category; Cardiologist for anticoagulant and antihypertensive cohorts; endocrinologist for antidiabetic cohort)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Nephrology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0.0684*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(0.0270)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Other specialty (e.g., surgeon)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0594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0475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0227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678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Practices in metropolitan area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0945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Graduated from US Medical School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0353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0627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708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 xml:space="preserve">Graduated from top 20 US Medical School 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8)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0886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% of prescriptions paid for by Medicaid or uninsured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-0.0230*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(0.0107)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% of prescriptions filled by patients age 65-84 (reference category = % filled by patients &lt;65 years old)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6)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0843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7A" w:rsidRPr="002B3A07" w:rsidTr="004D17BA">
        <w:trPr>
          <w:trHeight w:val="503"/>
        </w:trPr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% prescriptions filled by patients &gt;84 years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lastRenderedPageBreak/>
              <w:t>No peers in patient-sharing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499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463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0.0597*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(0.0286)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No peers in medical group network</w:t>
            </w:r>
          </w:p>
        </w:tc>
        <w:tc>
          <w:tcPr>
            <w:tcW w:w="1890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0.0400*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(0.0165)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116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No peers in hospital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042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510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No peers in training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0664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in relevant specialty (e.g., cardio, endocrine) in patient-sharing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-0.262**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(0.0998)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0.0706*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(0.0339)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who are nephrologists in patient-sharing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0835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who are in other specialties in patient-sharing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3*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721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361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545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0.0754*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(0.0362)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in relevant specialty (e.g., cardio, endocrine) in medical group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who are nephrologists in medical group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0525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who are in other specialties in medical group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  <w:tc>
          <w:tcPr>
            <w:tcW w:w="1854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-0.0489*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(0.0212)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in relevant specialty (e.g., cardio, endocrine) in hospital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530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who are nephrologists in hospital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who are in other specialties in hospital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649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644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in relevant specialty (e.g., cardio, endocrine) in training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0792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877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8)</w:t>
            </w:r>
          </w:p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who are nephrologists in training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-0.0878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(0.0521)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Fraction of peers who are in other specialties in training network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0469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HRR2 (reference category = Philadelphia)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  <w:tc>
          <w:tcPr>
            <w:tcW w:w="1854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0.0354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(0.0212)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HRR3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391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567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261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HRR4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0.0324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(0.0189)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HRR5</w:t>
            </w:r>
          </w:p>
        </w:tc>
        <w:tc>
          <w:tcPr>
            <w:tcW w:w="1890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0.0539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(0.0304)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0.0415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(0.0219)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HRR6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0.0404*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(0.0167)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HRR7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0363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HRR8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0.0340*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(0.0165)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HRR9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189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0191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(0.01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0.0228*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(0.00956)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lastRenderedPageBreak/>
              <w:t>HRR10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HRR11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488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HRR12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HRR13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EB167A" w:rsidRPr="002B3A07" w:rsidTr="004D17BA">
        <w:trPr>
          <w:trHeight w:val="557"/>
        </w:trPr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HRR14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6)</w:t>
            </w:r>
          </w:p>
        </w:tc>
        <w:tc>
          <w:tcPr>
            <w:tcW w:w="1854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 xml:space="preserve">          0.0604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(0.0315)</w:t>
            </w:r>
          </w:p>
        </w:tc>
        <w:tc>
          <w:tcPr>
            <w:tcW w:w="1926" w:type="dxa"/>
            <w:shd w:val="clear" w:color="auto" w:fill="auto"/>
          </w:tcPr>
          <w:p w:rsidR="00EB167A" w:rsidRPr="007F6484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0.0387*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484">
              <w:rPr>
                <w:rFonts w:ascii="Arial" w:eastAsia="Times New Roman" w:hAnsi="Arial" w:cs="Arial"/>
                <w:sz w:val="20"/>
                <w:szCs w:val="20"/>
              </w:rPr>
              <w:t>(0.0184)</w:t>
            </w:r>
          </w:p>
        </w:tc>
      </w:tr>
      <w:tr w:rsidR="00EB167A" w:rsidRPr="002B3A07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Non-PA HRRs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0964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0.034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(0.04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9)</w:t>
            </w:r>
          </w:p>
        </w:tc>
      </w:tr>
      <w:tr w:rsidR="00EB167A" w:rsidRPr="003E03D0" w:rsidTr="004D17BA">
        <w:tc>
          <w:tcPr>
            <w:tcW w:w="3798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3A07">
              <w:rPr>
                <w:rFonts w:ascii="Arial" w:eastAsia="Calibri" w:hAnsi="Arial" w:cs="Arial"/>
                <w:sz w:val="20"/>
                <w:szCs w:val="20"/>
              </w:rPr>
              <w:t>R-squared</w:t>
            </w:r>
          </w:p>
        </w:tc>
        <w:tc>
          <w:tcPr>
            <w:tcW w:w="1890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926" w:type="dxa"/>
            <w:shd w:val="clear" w:color="auto" w:fill="auto"/>
          </w:tcPr>
          <w:p w:rsidR="00EB167A" w:rsidRPr="002B3A07" w:rsidRDefault="00EB167A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07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EB167A" w:rsidRDefault="00EB167A">
      <w:bookmarkStart w:id="0" w:name="_GoBack"/>
      <w:bookmarkEnd w:id="0"/>
    </w:p>
    <w:sectPr w:rsidR="00EB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7A"/>
    <w:rsid w:val="00584346"/>
    <w:rsid w:val="00E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9941"/>
  <w15:chartTrackingRefBased/>
  <w15:docId w15:val="{462A6889-D3D9-473A-94B6-8747B1A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Junker, Stefanie Pilotte Fiddner</dc:creator>
  <cp:keywords/>
  <dc:description/>
  <cp:lastModifiedBy>Junker, Stefanie Pilotte Fiddner</cp:lastModifiedBy>
  <cp:revision>1</cp:revision>
  <dcterms:created xsi:type="dcterms:W3CDTF">2018-09-20T15:07:00Z</dcterms:created>
  <dcterms:modified xsi:type="dcterms:W3CDTF">2018-09-20T15:07:00Z</dcterms:modified>
</cp:coreProperties>
</file>