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504" w:rsidRDefault="008964FC" w:rsidP="00B61504">
      <w:pPr>
        <w:pStyle w:val="Heading2"/>
      </w:pPr>
      <w:bookmarkStart w:id="0" w:name="_GoBack"/>
      <w:bookmarkEnd w:id="0"/>
      <w:r>
        <w:t>S1 T</w:t>
      </w:r>
      <w:r w:rsidR="00B61504">
        <w:t xml:space="preserve">ext. Details on </w:t>
      </w:r>
      <w:r w:rsidR="00BE0498">
        <w:t>data collection and analysis</w:t>
      </w:r>
      <w:r w:rsidR="00B61504">
        <w:t>.</w:t>
      </w:r>
    </w:p>
    <w:p w:rsidR="00BE0498" w:rsidRPr="00BE0498" w:rsidRDefault="00BE0498" w:rsidP="00EE1312">
      <w:pPr>
        <w:keepNext/>
        <w:keepLines/>
        <w:spacing w:before="440" w:after="120" w:line="480" w:lineRule="auto"/>
        <w:jc w:val="both"/>
        <w:outlineLvl w:val="2"/>
        <w:rPr>
          <w:rFonts w:ascii="Calibri" w:eastAsia="Times New Roman" w:hAnsi="Calibri" w:cs="Times New Roman"/>
          <w:b/>
          <w:bCs/>
          <w:sz w:val="28"/>
          <w:lang w:val="en-GB"/>
        </w:rPr>
      </w:pPr>
      <w:r w:rsidRPr="00BE0498">
        <w:rPr>
          <w:rFonts w:ascii="Calibri" w:eastAsia="Times New Roman" w:hAnsi="Calibri" w:cs="Times New Roman"/>
          <w:b/>
          <w:bCs/>
          <w:sz w:val="28"/>
          <w:lang w:val="en-GB"/>
        </w:rPr>
        <w:t>Children’s nutritional status</w:t>
      </w:r>
    </w:p>
    <w:p w:rsidR="00B61504" w:rsidRPr="00BE0498" w:rsidRDefault="00BE0498" w:rsidP="00BE0498">
      <w:pPr>
        <w:spacing w:line="480" w:lineRule="auto"/>
        <w:jc w:val="both"/>
        <w:rPr>
          <w:rFonts w:asciiTheme="minorHAnsi" w:hAnsiTheme="minorHAnsi"/>
          <w:sz w:val="20"/>
          <w:szCs w:val="20"/>
          <w:lang w:val="en-US"/>
        </w:rPr>
      </w:pPr>
      <w:r w:rsidRPr="00BE0498">
        <w:rPr>
          <w:rFonts w:asciiTheme="minorHAnsi" w:hAnsiTheme="minorHAnsi"/>
          <w:sz w:val="20"/>
          <w:szCs w:val="20"/>
          <w:lang w:val="en-GB"/>
        </w:rPr>
        <w:t>Weight was measured with an electronic scale to the nearest 0.1 kg (</w:t>
      </w:r>
      <w:proofErr w:type="spellStart"/>
      <w:r w:rsidRPr="00BE0498">
        <w:rPr>
          <w:rFonts w:asciiTheme="minorHAnsi" w:hAnsiTheme="minorHAnsi"/>
          <w:sz w:val="20"/>
          <w:szCs w:val="20"/>
          <w:lang w:val="en-GB"/>
        </w:rPr>
        <w:t>UNIscale</w:t>
      </w:r>
      <w:proofErr w:type="spellEnd"/>
      <w:r w:rsidRPr="00BE0498">
        <w:rPr>
          <w:rFonts w:asciiTheme="minorHAnsi" w:hAnsiTheme="minorHAnsi"/>
          <w:sz w:val="20"/>
          <w:szCs w:val="20"/>
          <w:lang w:val="en-GB"/>
        </w:rPr>
        <w:t xml:space="preserve">: </w:t>
      </w:r>
      <w:proofErr w:type="spellStart"/>
      <w:r w:rsidRPr="00BE0498">
        <w:rPr>
          <w:rFonts w:asciiTheme="minorHAnsi" w:hAnsiTheme="minorHAnsi"/>
          <w:sz w:val="20"/>
          <w:szCs w:val="20"/>
          <w:lang w:val="en-GB"/>
        </w:rPr>
        <w:t>Seca</w:t>
      </w:r>
      <w:proofErr w:type="spellEnd"/>
      <w:r w:rsidRPr="00BE0498">
        <w:rPr>
          <w:rFonts w:asciiTheme="minorHAnsi" w:hAnsiTheme="minorHAnsi"/>
          <w:sz w:val="20"/>
          <w:szCs w:val="20"/>
          <w:lang w:val="en-GB"/>
        </w:rPr>
        <w:t xml:space="preserve"> GmbH, Hamburg, Germany). Length was measured with a UNICEF wooden three piece measuring board with a sliding foot piece and with a precision of 0.1 cm. Children were measured lying down. Both length and weight were measured twice for each child and the average of the two measurements was taken. Scales were calibrated with a standard weight at the start of each day of data collection. Age was calculated using the date of birth from verifiable documents (health record, weighing card, birth certificate) or estimated based on traditional calendar.</w:t>
      </w:r>
    </w:p>
    <w:p w:rsidR="00EE1312" w:rsidRDefault="00CF1D88" w:rsidP="00EE1312">
      <w:pPr>
        <w:keepNext/>
        <w:keepLines/>
        <w:spacing w:before="440" w:after="120" w:line="480" w:lineRule="auto"/>
        <w:jc w:val="both"/>
        <w:outlineLvl w:val="2"/>
        <w:rPr>
          <w:rFonts w:ascii="Calibri" w:eastAsia="Times New Roman" w:hAnsi="Calibri" w:cs="Times New Roman"/>
          <w:b/>
          <w:bCs/>
          <w:sz w:val="28"/>
          <w:lang w:val="en-GB"/>
        </w:rPr>
      </w:pPr>
      <w:r w:rsidRPr="00CF1D88">
        <w:rPr>
          <w:rFonts w:ascii="Calibri" w:eastAsia="Times New Roman" w:hAnsi="Calibri" w:cs="Times New Roman"/>
          <w:b/>
          <w:bCs/>
          <w:sz w:val="28"/>
          <w:lang w:val="en-GB"/>
        </w:rPr>
        <w:t>Food composition table</w:t>
      </w:r>
    </w:p>
    <w:p w:rsidR="00CF1D88" w:rsidRPr="00CF1D88" w:rsidRDefault="005D03B5" w:rsidP="00EE1312">
      <w:pPr>
        <w:keepNext/>
        <w:keepLines/>
        <w:spacing w:before="240" w:after="120" w:line="480" w:lineRule="auto"/>
        <w:jc w:val="both"/>
        <w:outlineLvl w:val="2"/>
        <w:rPr>
          <w:rFonts w:ascii="Calibri" w:eastAsia="Times New Roman" w:hAnsi="Calibri" w:cs="Times New Roman"/>
          <w:b/>
          <w:bCs/>
          <w:color w:val="FF0000"/>
          <w:sz w:val="28"/>
          <w:lang w:val="en-US"/>
        </w:rPr>
      </w:pPr>
      <w:r w:rsidRPr="005D03B5">
        <w:rPr>
          <w:rFonts w:ascii="Calibri" w:eastAsia="Calibri" w:hAnsi="Calibri" w:cs="Arial"/>
          <w:sz w:val="20"/>
          <w:lang w:val="en-GB"/>
        </w:rPr>
        <w:t xml:space="preserve">Where </w:t>
      </w:r>
      <w:r w:rsidRPr="005D03B5">
        <w:rPr>
          <w:rFonts w:ascii="Calibri" w:eastAsia="Calibri" w:hAnsi="Calibri" w:cs="Arial"/>
          <w:sz w:val="20"/>
          <w:szCs w:val="20"/>
          <w:lang w:val="en-GB"/>
        </w:rPr>
        <w:t xml:space="preserve">appropriate, yield </w:t>
      </w:r>
      <w:r w:rsidRPr="005D03B5">
        <w:rPr>
          <w:rFonts w:ascii="Calibri" w:eastAsia="Calibri" w:hAnsi="Calibri" w:cs="Arial"/>
          <w:sz w:val="20"/>
          <w:szCs w:val="20"/>
          <w:lang w:val="en-GB"/>
        </w:rPr>
        <w:fldChar w:fldCharType="begin"/>
      </w:r>
      <w:r>
        <w:rPr>
          <w:rFonts w:ascii="Calibri" w:eastAsia="Calibri" w:hAnsi="Calibri" w:cs="Arial"/>
          <w:sz w:val="20"/>
          <w:szCs w:val="20"/>
          <w:lang w:val="en-GB"/>
        </w:rPr>
        <w:instrText xml:space="preserve"> ADDIN EN.CITE &lt;EndNote&gt;&lt;Cite&gt;&lt;Author&gt;FAO&lt;/Author&gt;&lt;Year&gt;2012&lt;/Year&gt;&lt;RecNum&gt;38&lt;/RecNum&gt;&lt;DisplayText&gt;(1)&lt;/DisplayText&gt;&lt;record&gt;&lt;rec-number&gt;38&lt;/rec-number&gt;&lt;foreign-keys&gt;&lt;key app="EN" db-id="59ss2rxdjtd9w7e20v2v20570s2sa5d09rxz" timestamp="1463056867"&gt;38&lt;/key&gt;&lt;/foreign-keys&gt;&lt;ref-type name="Generic"&gt;13&lt;/ref-type&gt;&lt;contributors&gt;&lt;authors&gt;&lt;author&gt;FAO,&lt;/author&gt;&lt;author&gt;INFOODS,&lt;/author&gt;&lt;author&gt;ECOWAS/WAHO,&lt;/author&gt;&lt;author&gt;Bioversity International,&lt;/author&gt;&lt;/authors&gt;&lt;/contributors&gt;&lt;titles&gt;&lt;title&gt;West African Food Composition Table&lt;/title&gt;&lt;/titles&gt;&lt;dates&gt;&lt;year&gt;2012&lt;/year&gt;&lt;/dates&gt;&lt;pub-location&gt;Rome, Italy&lt;/pub-location&gt;&lt;publisher&gt;FAO&lt;/publisher&gt;&lt;urls&gt;&lt;related-urls&gt;&lt;url&gt;http://www.fao.org/documents/card/en/c/238ce5e9-acd5-5cb2-8442-6498506aee1c/&lt;/url&gt;&lt;/related-urls&gt;&lt;/urls&gt;&lt;/record&gt;&lt;/Cite&gt;&lt;/EndNote&gt;</w:instrText>
      </w:r>
      <w:r w:rsidRPr="005D03B5">
        <w:rPr>
          <w:rFonts w:ascii="Calibri" w:eastAsia="Calibri" w:hAnsi="Calibri" w:cs="Arial"/>
          <w:sz w:val="20"/>
          <w:szCs w:val="20"/>
          <w:lang w:val="en-GB"/>
        </w:rPr>
        <w:fldChar w:fldCharType="separate"/>
      </w:r>
      <w:r>
        <w:rPr>
          <w:rFonts w:ascii="Calibri" w:eastAsia="Calibri" w:hAnsi="Calibri" w:cs="Arial"/>
          <w:noProof/>
          <w:sz w:val="20"/>
          <w:szCs w:val="20"/>
          <w:lang w:val="en-GB"/>
        </w:rPr>
        <w:t>(1)</w:t>
      </w:r>
      <w:r w:rsidRPr="005D03B5">
        <w:rPr>
          <w:rFonts w:ascii="Calibri" w:eastAsia="Calibri" w:hAnsi="Calibri" w:cs="Arial"/>
          <w:sz w:val="20"/>
          <w:szCs w:val="20"/>
          <w:lang w:val="en-GB"/>
        </w:rPr>
        <w:fldChar w:fldCharType="end"/>
      </w:r>
      <w:r w:rsidRPr="005D03B5">
        <w:rPr>
          <w:rFonts w:ascii="Calibri" w:eastAsia="Calibri" w:hAnsi="Calibri" w:cs="Arial"/>
          <w:sz w:val="20"/>
          <w:szCs w:val="20"/>
          <w:lang w:val="en-GB"/>
        </w:rPr>
        <w:t xml:space="preserve"> and nutrient retention factors </w:t>
      </w:r>
      <w:r w:rsidRPr="005D03B5">
        <w:rPr>
          <w:rFonts w:ascii="Calibri" w:eastAsia="Calibri" w:hAnsi="Calibri" w:cs="Arial"/>
          <w:sz w:val="20"/>
          <w:szCs w:val="20"/>
          <w:lang w:val="en-GB"/>
        </w:rPr>
        <w:fldChar w:fldCharType="begin"/>
      </w:r>
      <w:r>
        <w:rPr>
          <w:rFonts w:ascii="Calibri" w:eastAsia="Calibri" w:hAnsi="Calibri" w:cs="Arial"/>
          <w:sz w:val="20"/>
          <w:szCs w:val="20"/>
          <w:lang w:val="en-GB"/>
        </w:rPr>
        <w:instrText xml:space="preserve"> ADDIN EN.CITE &lt;EndNote&gt;&lt;Cite&gt;&lt;Author&gt;USDA Nutrient Data Laboratory&lt;/Author&gt;&lt;Year&gt;2015&lt;/Year&gt;&lt;RecNum&gt;148&lt;/RecNum&gt;&lt;DisplayText&gt;(2, 3)&lt;/DisplayText&gt;&lt;record&gt;&lt;rec-number&gt;148&lt;/rec-number&gt;&lt;foreign-keys&gt;&lt;key app="EN" db-id="59ss2rxdjtd9w7e20v2v20570s2sa5d09rxz" timestamp="1463658001"&gt;148&lt;/key&gt;&lt;/foreign-keys&gt;&lt;ref-type name="Web Page"&gt;12&lt;/ref-type&gt;&lt;contributors&gt;&lt;authors&gt;&lt;author&gt;USDA Nutrient Data Laboratory, &lt;/author&gt;&lt;/authors&gt;&lt;/contributors&gt;&lt;titles&gt;&lt;title&gt;USDA National Nutrient Database for Standard Reference, Release 28&lt;/title&gt;&lt;/titles&gt;&lt;edition&gt;Version Current: September 2015&lt;/edition&gt;&lt;dates&gt;&lt;year&gt;2015&lt;/year&gt;&lt;/dates&gt;&lt;urls&gt;&lt;related-urls&gt;&lt;url&gt;http://www.ars.usda.gov/nea/bhnrc/ndl&lt;/url&gt;&lt;/related-urls&gt;&lt;/urls&gt;&lt;/record&gt;&lt;/Cite&gt;&lt;Cite&gt;&lt;Author&gt;Vásquez-Caicedo&lt;/Author&gt;&lt;Year&gt;2008&lt;/Year&gt;&lt;RecNum&gt;121&lt;/RecNum&gt;&lt;record&gt;&lt;rec-number&gt;121&lt;/rec-number&gt;&lt;foreign-keys&gt;&lt;key app="EN" db-id="59ss2rxdjtd9w7e20v2v20570s2sa5d09rxz" timestamp="1463056867"&gt;121&lt;/key&gt;&lt;/foreign-keys&gt;&lt;ref-type name="Journal Article"&gt;17&lt;/ref-type&gt;&lt;contributors&gt;&lt;authors&gt;&lt;author&gt;Vásquez-Caicedo, A.L.&lt;/author&gt;&lt;author&gt;Bell, S.&lt;/author&gt;&lt;author&gt;Hartmann, B.&lt;/author&gt;&lt;/authors&gt;&lt;/contributors&gt;&lt;titles&gt;&lt;title&gt;Report on collection of rules on use of recipe calculation procedures including the use of yield and retention factors for imputing nutrient values for composite foods (D2.2.9)&lt;/title&gt;&lt;secondary-title&gt;EuroFIR&lt;/secondary-title&gt;&lt;/titles&gt;&lt;dates&gt;&lt;year&gt;2008&lt;/year&gt;&lt;/dates&gt;&lt;urls&gt;&lt;/urls&gt;&lt;/record&gt;&lt;/Cite&gt;&lt;/EndNote&gt;</w:instrText>
      </w:r>
      <w:r w:rsidRPr="005D03B5">
        <w:rPr>
          <w:rFonts w:ascii="Calibri" w:eastAsia="Calibri" w:hAnsi="Calibri" w:cs="Arial"/>
          <w:sz w:val="20"/>
          <w:szCs w:val="20"/>
          <w:lang w:val="en-GB"/>
        </w:rPr>
        <w:fldChar w:fldCharType="separate"/>
      </w:r>
      <w:r>
        <w:rPr>
          <w:rFonts w:ascii="Calibri" w:eastAsia="Calibri" w:hAnsi="Calibri" w:cs="Arial"/>
          <w:noProof/>
          <w:sz w:val="20"/>
          <w:szCs w:val="20"/>
          <w:lang w:val="en-GB"/>
        </w:rPr>
        <w:t>(2, 3)</w:t>
      </w:r>
      <w:r w:rsidRPr="005D03B5">
        <w:rPr>
          <w:rFonts w:ascii="Calibri" w:eastAsia="Calibri" w:hAnsi="Calibri" w:cs="Arial"/>
          <w:sz w:val="20"/>
          <w:szCs w:val="20"/>
          <w:lang w:val="en-GB"/>
        </w:rPr>
        <w:fldChar w:fldCharType="end"/>
      </w:r>
      <w:r w:rsidRPr="005D03B5">
        <w:rPr>
          <w:rFonts w:ascii="Calibri" w:eastAsia="Calibri" w:hAnsi="Calibri" w:cs="Arial"/>
          <w:sz w:val="20"/>
          <w:szCs w:val="20"/>
          <w:lang w:val="en-GB"/>
        </w:rPr>
        <w:t xml:space="preserve"> were applied to account for nutrient losses during cooking. The Atwater general factors for carbohydrate, protein and fat and the recommended </w:t>
      </w:r>
      <w:proofErr w:type="spellStart"/>
      <w:r w:rsidRPr="005D03B5">
        <w:rPr>
          <w:rFonts w:ascii="Calibri" w:eastAsia="Calibri" w:hAnsi="Calibri" w:cs="Arial"/>
          <w:sz w:val="20"/>
          <w:szCs w:val="20"/>
          <w:lang w:val="en-GB"/>
        </w:rPr>
        <w:t>metabolizable</w:t>
      </w:r>
      <w:proofErr w:type="spellEnd"/>
      <w:r w:rsidRPr="005D03B5">
        <w:rPr>
          <w:rFonts w:ascii="Calibri" w:eastAsia="Calibri" w:hAnsi="Calibri" w:cs="Arial"/>
          <w:sz w:val="20"/>
          <w:szCs w:val="20"/>
          <w:lang w:val="en-GB"/>
        </w:rPr>
        <w:t xml:space="preserve"> energy for dietary fibre in ordinary diets (2 kcal or 8.4 kJ/g) are used in calculating energy </w:t>
      </w:r>
      <w:r w:rsidRPr="005D03B5">
        <w:rPr>
          <w:rFonts w:ascii="Calibri" w:eastAsia="Calibri" w:hAnsi="Calibri" w:cs="Arial"/>
          <w:sz w:val="20"/>
          <w:szCs w:val="20"/>
          <w:lang w:val="en-GB"/>
        </w:rPr>
        <w:fldChar w:fldCharType="begin"/>
      </w:r>
      <w:r>
        <w:rPr>
          <w:rFonts w:ascii="Calibri" w:eastAsia="Calibri" w:hAnsi="Calibri" w:cs="Arial"/>
          <w:sz w:val="20"/>
          <w:szCs w:val="20"/>
          <w:lang w:val="en-GB"/>
        </w:rPr>
        <w:instrText xml:space="preserve"> ADDIN EN.CITE &lt;EndNote&gt;&lt;Cite&gt;&lt;Author&gt;FAO&lt;/Author&gt;&lt;Year&gt;2003&lt;/Year&gt;&lt;RecNum&gt;39&lt;/RecNum&gt;&lt;DisplayText&gt;(4)&lt;/DisplayText&gt;&lt;record&gt;&lt;rec-number&gt;39&lt;/rec-number&gt;&lt;foreign-keys&gt;&lt;key app="EN" db-id="59ss2rxdjtd9w7e20v2v20570s2sa5d09rxz" timestamp="1463056867"&gt;39&lt;/key&gt;&lt;/foreign-keys&gt;&lt;ref-type name="Journal Article"&gt;17&lt;/ref-type&gt;&lt;contributors&gt;&lt;authors&gt;&lt;author&gt;FAO&lt;/author&gt;&lt;/authors&gt;&lt;/contributors&gt;&lt;titles&gt;&lt;title&gt;Food energy – methods of analysis and conversion factors. Report of a technical workshop (FAO food and nutrition paper 77)&lt;/title&gt;&lt;secondary-title&gt;Rome: Food and Agriculture Organisation&lt;/secondary-title&gt;&lt;/titles&gt;&lt;dates&gt;&lt;year&gt;2003&lt;/year&gt;&lt;/dates&gt;&lt;urls&gt;&lt;/urls&gt;&lt;/record&gt;&lt;/Cite&gt;&lt;/EndNote&gt;</w:instrText>
      </w:r>
      <w:r w:rsidRPr="005D03B5">
        <w:rPr>
          <w:rFonts w:ascii="Calibri" w:eastAsia="Calibri" w:hAnsi="Calibri" w:cs="Arial"/>
          <w:sz w:val="20"/>
          <w:szCs w:val="20"/>
          <w:lang w:val="en-GB"/>
        </w:rPr>
        <w:fldChar w:fldCharType="separate"/>
      </w:r>
      <w:r>
        <w:rPr>
          <w:rFonts w:ascii="Calibri" w:eastAsia="Calibri" w:hAnsi="Calibri" w:cs="Arial"/>
          <w:noProof/>
          <w:sz w:val="20"/>
          <w:szCs w:val="20"/>
          <w:lang w:val="en-GB"/>
        </w:rPr>
        <w:t>(4)</w:t>
      </w:r>
      <w:r w:rsidRPr="005D03B5">
        <w:rPr>
          <w:rFonts w:ascii="Calibri" w:eastAsia="Calibri" w:hAnsi="Calibri" w:cs="Arial"/>
          <w:sz w:val="20"/>
          <w:szCs w:val="20"/>
          <w:lang w:val="en-GB"/>
        </w:rPr>
        <w:fldChar w:fldCharType="end"/>
      </w:r>
      <w:r w:rsidRPr="005D03B5">
        <w:rPr>
          <w:rFonts w:ascii="Calibri" w:eastAsia="Calibri" w:hAnsi="Calibri" w:cs="Arial"/>
          <w:sz w:val="20"/>
          <w:szCs w:val="20"/>
          <w:lang w:val="en-GB"/>
        </w:rPr>
        <w:t xml:space="preserve">. Total vitamin A (RAE) was calculated as the sum of retinol and 1/12 β-carotene </w:t>
      </w:r>
      <w:r w:rsidRPr="005D03B5">
        <w:rPr>
          <w:rFonts w:ascii="Calibri" w:eastAsia="Calibri" w:hAnsi="Calibri" w:cs="Arial"/>
          <w:sz w:val="20"/>
          <w:szCs w:val="20"/>
          <w:lang w:val="en-GB"/>
        </w:rPr>
        <w:fldChar w:fldCharType="begin"/>
      </w:r>
      <w:r>
        <w:rPr>
          <w:rFonts w:ascii="Calibri" w:eastAsia="Calibri" w:hAnsi="Calibri" w:cs="Arial"/>
          <w:sz w:val="20"/>
          <w:szCs w:val="20"/>
          <w:lang w:val="en-GB"/>
        </w:rPr>
        <w:instrText xml:space="preserve"> ADDIN EN.CITE &lt;EndNote&gt;&lt;Cite&gt;&lt;Author&gt;FAO&lt;/Author&gt;&lt;Year&gt;2012&lt;/Year&gt;&lt;RecNum&gt;38&lt;/RecNum&gt;&lt;DisplayText&gt;(1)&lt;/DisplayText&gt;&lt;record&gt;&lt;rec-number&gt;38&lt;/rec-number&gt;&lt;foreign-keys&gt;&lt;key app="EN" db-id="59ss2rxdjtd9w7e20v2v20570s2sa5d09rxz" timestamp="1463056867"&gt;38&lt;/key&gt;&lt;/foreign-keys&gt;&lt;ref-type name="Generic"&gt;13&lt;/ref-type&gt;&lt;contributors&gt;&lt;authors&gt;&lt;author&gt;FAO,&lt;/author&gt;&lt;author&gt;INFOODS,&lt;/author&gt;&lt;author&gt;ECOWAS/WAHO,&lt;/author&gt;&lt;author&gt;Bioversity International,&lt;/author&gt;&lt;/authors&gt;&lt;/contributors&gt;&lt;titles&gt;&lt;title&gt;West African Food Composition Table&lt;/title&gt;&lt;/titles&gt;&lt;dates&gt;&lt;year&gt;2012&lt;/year&gt;&lt;/dates&gt;&lt;pub-location&gt;Rome, Italy&lt;/pub-location&gt;&lt;publisher&gt;FAO&lt;/publisher&gt;&lt;urls&gt;&lt;related-urls&gt;&lt;url&gt;http://www.fao.org/documents/card/en/c/238ce5e9-acd5-5cb2-8442-6498506aee1c/&lt;/url&gt;&lt;/related-urls&gt;&lt;/urls&gt;&lt;/record&gt;&lt;/Cite&gt;&lt;/EndNote&gt;</w:instrText>
      </w:r>
      <w:r w:rsidRPr="005D03B5">
        <w:rPr>
          <w:rFonts w:ascii="Calibri" w:eastAsia="Calibri" w:hAnsi="Calibri" w:cs="Arial"/>
          <w:sz w:val="20"/>
          <w:szCs w:val="20"/>
          <w:lang w:val="en-GB"/>
        </w:rPr>
        <w:fldChar w:fldCharType="separate"/>
      </w:r>
      <w:r>
        <w:rPr>
          <w:rFonts w:ascii="Calibri" w:eastAsia="Calibri" w:hAnsi="Calibri" w:cs="Arial"/>
          <w:noProof/>
          <w:sz w:val="20"/>
          <w:szCs w:val="20"/>
          <w:lang w:val="en-GB"/>
        </w:rPr>
        <w:t>(1)</w:t>
      </w:r>
      <w:r w:rsidRPr="005D03B5">
        <w:rPr>
          <w:rFonts w:ascii="Calibri" w:eastAsia="Calibri" w:hAnsi="Calibri" w:cs="Arial"/>
          <w:sz w:val="20"/>
          <w:szCs w:val="20"/>
          <w:lang w:val="en-GB"/>
        </w:rPr>
        <w:fldChar w:fldCharType="end"/>
      </w:r>
      <w:r w:rsidRPr="005D03B5">
        <w:rPr>
          <w:rFonts w:ascii="Calibri" w:eastAsia="Calibri" w:hAnsi="Calibri" w:cs="Arial"/>
          <w:sz w:val="20"/>
          <w:szCs w:val="20"/>
          <w:lang w:val="en-GB"/>
        </w:rPr>
        <w:t>.</w:t>
      </w:r>
    </w:p>
    <w:p w:rsidR="005D03B5" w:rsidRPr="005D03B5" w:rsidRDefault="005D03B5" w:rsidP="005D03B5">
      <w:pPr>
        <w:keepNext/>
        <w:keepLines/>
        <w:spacing w:before="440" w:after="240" w:line="480" w:lineRule="auto"/>
        <w:jc w:val="both"/>
        <w:outlineLvl w:val="2"/>
        <w:rPr>
          <w:rFonts w:ascii="Calibri" w:eastAsia="Times New Roman" w:hAnsi="Calibri" w:cs="Times New Roman"/>
          <w:b/>
          <w:bCs/>
          <w:sz w:val="28"/>
          <w:lang w:val="en-GB"/>
        </w:rPr>
      </w:pPr>
      <w:r w:rsidRPr="005D03B5">
        <w:rPr>
          <w:rFonts w:ascii="Calibri" w:eastAsia="Times New Roman" w:hAnsi="Calibri" w:cs="Times New Roman"/>
          <w:b/>
          <w:bCs/>
          <w:sz w:val="28"/>
          <w:lang w:val="en-GB"/>
        </w:rPr>
        <w:t>Children’s dietary intake</w:t>
      </w:r>
    </w:p>
    <w:p w:rsidR="005D03B5" w:rsidRPr="005D03B5" w:rsidRDefault="005D03B5" w:rsidP="005D03B5">
      <w:pPr>
        <w:spacing w:line="480" w:lineRule="auto"/>
        <w:jc w:val="both"/>
        <w:rPr>
          <w:rFonts w:asciiTheme="minorHAnsi" w:hAnsiTheme="minorHAnsi"/>
          <w:sz w:val="20"/>
          <w:szCs w:val="20"/>
          <w:lang w:val="en-GB"/>
        </w:rPr>
      </w:pPr>
      <w:r w:rsidRPr="003A1466">
        <w:rPr>
          <w:rFonts w:asciiTheme="minorHAnsi" w:hAnsiTheme="minorHAnsi"/>
          <w:sz w:val="20"/>
          <w:szCs w:val="20"/>
          <w:lang w:val="en-GB"/>
        </w:rPr>
        <w:t>Primary caretakers were asked to recall all the foods and drinks consumed in and outside the home by their child during the preceding day and to describe ingredients and cooking methods of any mixed dishes.</w:t>
      </w:r>
      <w:r w:rsidRPr="005D03B5">
        <w:rPr>
          <w:rFonts w:asciiTheme="minorHAnsi" w:hAnsiTheme="minorHAnsi"/>
          <w:sz w:val="20"/>
          <w:szCs w:val="20"/>
          <w:lang w:val="en-GB"/>
        </w:rPr>
        <w:t xml:space="preserve"> Duplicate amounts of all foods and ingredients of mixed dishes consumed were weighed to the nearest 2g using </w:t>
      </w:r>
      <w:proofErr w:type="spellStart"/>
      <w:r w:rsidRPr="005D03B5">
        <w:rPr>
          <w:rFonts w:asciiTheme="minorHAnsi" w:hAnsiTheme="minorHAnsi"/>
          <w:sz w:val="20"/>
          <w:szCs w:val="20"/>
          <w:lang w:val="en-GB"/>
        </w:rPr>
        <w:t>Soehnle</w:t>
      </w:r>
      <w:proofErr w:type="spellEnd"/>
      <w:r w:rsidRPr="005D03B5">
        <w:rPr>
          <w:rFonts w:asciiTheme="minorHAnsi" w:hAnsiTheme="minorHAnsi"/>
          <w:sz w:val="20"/>
          <w:szCs w:val="20"/>
          <w:lang w:val="en-GB"/>
        </w:rPr>
        <w:t xml:space="preserve"> electronic kitchen scale (Plateau Art 65086, Germany). Scales were randomly assigned to the interviewers and calibrated with a known weight each day. When duplicates were not available in the household, amounts were estimated (in order of priority) as their monetary value equivalents, in weight-to-weight estimates with other foods (e.g. amount of sugar estimated with weight of same volume of corn flour), in volumes, as their general sizes (small, medium or large) using pictures or in household units. The total volume of each (mixed) dish cooked </w:t>
      </w:r>
      <w:r w:rsidRPr="005D03B5">
        <w:rPr>
          <w:rFonts w:asciiTheme="minorHAnsi" w:hAnsiTheme="minorHAnsi"/>
          <w:sz w:val="20"/>
          <w:szCs w:val="20"/>
          <w:lang w:val="en-GB"/>
        </w:rPr>
        <w:lastRenderedPageBreak/>
        <w:t>at the respondents’ household and the volume of this dish specifically consumed by the child were measured to determine the proportion of the dish consumed by the child. This proportion was multiplied by the total amount of ingredients used in the preparation of the dish to determine the amount of ingredients consumed by the child. Standard recipes were generated to estimate the grams of ingredients consumed from mixed dishes eaten outside the home by averaging three recipes of different vendors in the local area. Conversion factors were developed to convert monetary values, weight-to-weight measures, volumes, sizes and household units to their gram weight equivalents.</w:t>
      </w:r>
    </w:p>
    <w:p w:rsidR="008F47B1" w:rsidRPr="00EC0308" w:rsidRDefault="005D03B5" w:rsidP="00EC0308">
      <w:pPr>
        <w:spacing w:line="480" w:lineRule="auto"/>
        <w:jc w:val="both"/>
        <w:rPr>
          <w:lang w:val="en-GB"/>
        </w:rPr>
      </w:pPr>
      <w:r w:rsidRPr="00EC0308">
        <w:rPr>
          <w:rFonts w:asciiTheme="minorHAnsi" w:hAnsiTheme="minorHAnsi"/>
          <w:i/>
          <w:sz w:val="20"/>
          <w:szCs w:val="20"/>
          <w:lang w:val="en-GB"/>
        </w:rPr>
        <w:t>Children’s nutrient adequacy:</w:t>
      </w:r>
      <w:r w:rsidR="00EC0308" w:rsidRPr="00EC0308">
        <w:rPr>
          <w:rFonts w:asciiTheme="minorHAnsi" w:hAnsiTheme="minorHAnsi"/>
          <w:i/>
          <w:sz w:val="20"/>
          <w:szCs w:val="20"/>
          <w:lang w:val="en-GB"/>
        </w:rPr>
        <w:t xml:space="preserve"> </w:t>
      </w:r>
      <w:r w:rsidR="00EC0308" w:rsidRPr="00EC0308">
        <w:rPr>
          <w:lang w:val="en-GB"/>
        </w:rPr>
        <w:t>Except for iron, the probability of adequacy (PA) of each nutrient was calculated based on their respective</w:t>
      </w:r>
      <w:r w:rsidR="00EC0308" w:rsidRPr="00EE1312">
        <w:rPr>
          <w:lang w:val="en-GB"/>
        </w:rPr>
        <w:t xml:space="preserve"> estimated average requirements (EARs) and distributions </w:t>
      </w:r>
      <w:r w:rsidR="00EC0308" w:rsidRPr="00EE1312">
        <w:fldChar w:fldCharType="begin"/>
      </w:r>
      <w:r w:rsidR="00EC0308" w:rsidRPr="00EE1312">
        <w:rPr>
          <w:lang w:val="en-GB"/>
        </w:rPr>
        <w:instrText xml:space="preserve"> ADDIN EN.CITE &lt;EndNote&gt;&lt;Cite&gt;&lt;Author&gt;WHO/FAO&lt;/Author&gt;&lt;Year&gt;2004&lt;/Year&gt;&lt;RecNum&gt;126&lt;/RecNum&gt;&lt;DisplayText&gt;(44, 45)&lt;/DisplayText&gt;&lt;record&gt;&lt;rec-number&gt;126&lt;/rec-number&gt;&lt;foreign-keys&gt;&lt;key app="EN" db-id="59ss2rxdjtd9w7e20v2v20570s2sa5d09rxz" timestamp="1463056867"&gt;126&lt;/key&gt;&lt;/foreign-keys&gt;&lt;ref-type name="Journal Article"&gt;17&lt;/ref-type&gt;&lt;contributors&gt;&lt;authors&gt;&lt;author&gt;WHO/FAO&lt;/author&gt;&lt;/authors&gt;&lt;/contributors&gt;&lt;titles&gt;&lt;title&gt;Vitamin and Mineral Requirements in Human Nutrition. Second Edition.&lt;/title&gt;&lt;secondary-title&gt;Geneva/Rome: WHO/FAO&lt;/secondary-title&gt;&lt;/titles&gt;&lt;dates&gt;&lt;year&gt;2004&lt;/year&gt;&lt;/dates&gt;&lt;urls&gt;&lt;/urls&gt;&lt;/record&gt;&lt;/Cite&gt;&lt;Cite&gt;&lt;Author&gt;WHO&lt;/Author&gt;&lt;Year&gt;2006&lt;/Year&gt;&lt;RecNum&gt;248&lt;/RecNum&gt;&lt;record&gt;&lt;rec-number&gt;248&lt;/rec-number&gt;&lt;foreign-keys&gt;&lt;key app="EN" db-id="59ss2rxdjtd9w7e20v2v20570s2sa5d09rxz" timestamp="1507017006"&gt;248&lt;/key&gt;&lt;/foreign-keys&gt;&lt;ref-type name="Book"&gt;6&lt;/ref-type&gt;&lt;contributors&gt;&lt;authors&gt;&lt;author&gt;WHO/FAO&lt;/author&gt;&lt;/authors&gt;&lt;/contributors&gt;&lt;titles&gt;&lt;title&gt;Guidelines on food fortification with micronutrients&lt;/title&gt;&lt;/titles&gt;&lt;dates&gt;&lt;year&gt;2006&lt;/year&gt;&lt;/dates&gt;&lt;pub-location&gt;Geneva&lt;/pub-location&gt;&lt;publisher&gt;WHO Press&lt;/publisher&gt;&lt;urls&gt;&lt;/urls&gt;&lt;/record&gt;&lt;/Cite&gt;&lt;/EndNote&gt;</w:instrText>
      </w:r>
      <w:r w:rsidR="00EC0308" w:rsidRPr="00EE1312">
        <w:fldChar w:fldCharType="separate"/>
      </w:r>
      <w:r w:rsidR="00EC0308" w:rsidRPr="00EE1312">
        <w:rPr>
          <w:noProof/>
          <w:lang w:val="en-GB"/>
        </w:rPr>
        <w:t>(44, 45)</w:t>
      </w:r>
      <w:r w:rsidR="00EC0308" w:rsidRPr="00EE1312">
        <w:fldChar w:fldCharType="end"/>
      </w:r>
      <w:r w:rsidR="00EC0308" w:rsidRPr="00EE1312">
        <w:rPr>
          <w:lang w:val="en-GB"/>
        </w:rPr>
        <w:t xml:space="preserve"> (</w:t>
      </w:r>
      <w:r w:rsidR="00631640" w:rsidRPr="00EE1312">
        <w:rPr>
          <w:lang w:val="en-GB"/>
        </w:rPr>
        <w:t>S1 Table</w:t>
      </w:r>
      <w:r w:rsidR="00EC0308" w:rsidRPr="00EE1312">
        <w:rPr>
          <w:lang w:val="en-GB"/>
        </w:rPr>
        <w:t xml:space="preserve">). </w:t>
      </w:r>
      <w:r w:rsidR="00EC0308" w:rsidRPr="00EC0308">
        <w:rPr>
          <w:lang w:val="en-GB"/>
        </w:rPr>
        <w:t>The following formula was used in SPSS: PA=PROBNORM [(adjusted individual intake-EAR)/SD], where the PROBNORM function clarifies whether the probability of the individual intake is above the EAR.</w:t>
      </w:r>
      <w:r w:rsidR="00EC0308">
        <w:rPr>
          <w:lang w:val="en-GB"/>
        </w:rPr>
        <w:t xml:space="preserve"> </w:t>
      </w:r>
      <w:r w:rsidR="00EC0308" w:rsidRPr="00EC0308">
        <w:rPr>
          <w:lang w:val="en-GB"/>
        </w:rPr>
        <w:t xml:space="preserve">For iron, probability of adequacy values from Institute of Medicine </w:t>
      </w:r>
      <w:r w:rsidR="00EC0308" w:rsidRPr="009514AA">
        <w:fldChar w:fldCharType="begin"/>
      </w:r>
      <w:r w:rsidR="00EC0308" w:rsidRPr="00EC0308">
        <w:rPr>
          <w:lang w:val="en-GB"/>
        </w:rPr>
        <w:instrText xml:space="preserve"> ADDIN EN.CITE &lt;EndNote&gt;&lt;Cite&gt;&lt;Author&gt;IOM&lt;/Author&gt;&lt;Year&gt;2001&lt;/Year&gt;&lt;RecNum&gt;64&lt;/RecNum&gt;&lt;DisplayText&gt;(46)&lt;/DisplayText&gt;&lt;record&gt;&lt;rec-number&gt;64&lt;/rec-number&gt;&lt;foreign-keys&gt;&lt;key app="EN" db-id="59ss2rxdjtd9w7e20v2v20570s2sa5d09rxz" timestamp="1463056867"&gt;64&lt;/key&gt;&lt;/foreign-keys&gt;&lt;ref-type name="Journal Article"&gt;17&lt;/ref-type&gt;&lt;contributors&gt;&lt;authors&gt;&lt;author&gt;IOM&lt;/author&gt;&lt;/authors&gt;&lt;/contributors&gt;&lt;titles&gt;&lt;title&gt;Dietary Reference Intakes for Vitamin A, Vitamin K, Arsenic, Boron, Chromium, Copper, Iodine, Iron, Manganese, Molybdenum, Nickel, Silicon, Vanadium and Zinc&lt;/title&gt;&lt;secondary-title&gt;Dietary Reference Intakes. Washington, D.C: Food and Nutrition Board, Institute of Medicine&lt;/secondary-title&gt;&lt;/titles&gt;&lt;dates&gt;&lt;year&gt;2001&lt;/year&gt;&lt;/dates&gt;&lt;urls&gt;&lt;/urls&gt;&lt;/record&gt;&lt;/Cite&gt;&lt;/EndNote&gt;</w:instrText>
      </w:r>
      <w:r w:rsidR="00EC0308" w:rsidRPr="009514AA">
        <w:fldChar w:fldCharType="separate"/>
      </w:r>
      <w:r w:rsidR="00EC0308" w:rsidRPr="00EC0308">
        <w:rPr>
          <w:noProof/>
          <w:lang w:val="en-GB"/>
        </w:rPr>
        <w:t>(46)</w:t>
      </w:r>
      <w:r w:rsidR="00EC0308" w:rsidRPr="009514AA">
        <w:fldChar w:fldCharType="end"/>
      </w:r>
      <w:r w:rsidR="00EC0308" w:rsidRPr="00EC0308">
        <w:rPr>
          <w:lang w:val="en-GB"/>
        </w:rPr>
        <w:t xml:space="preserve"> were used as the distribution of iron requirement is skewed </w:t>
      </w:r>
      <w:r w:rsidR="00EC0308" w:rsidRPr="00EC0308">
        <w:rPr>
          <w:color w:val="5B9BD5" w:themeColor="accent1"/>
          <w:lang w:val="en-GB"/>
        </w:rPr>
        <w:t>(</w:t>
      </w:r>
      <w:r w:rsidR="00631640">
        <w:rPr>
          <w:color w:val="5B9BD5" w:themeColor="accent1"/>
          <w:lang w:val="en-GB"/>
        </w:rPr>
        <w:t>S2</w:t>
      </w:r>
      <w:r w:rsidR="00AF574B">
        <w:rPr>
          <w:color w:val="5B9BD5" w:themeColor="accent1"/>
          <w:lang w:val="en-GB"/>
        </w:rPr>
        <w:t xml:space="preserve"> </w:t>
      </w:r>
      <w:r w:rsidR="00EC0308" w:rsidRPr="00EC0308">
        <w:rPr>
          <w:color w:val="5B9BD5" w:themeColor="accent1"/>
          <w:lang w:val="en-GB"/>
        </w:rPr>
        <w:t>Table).</w:t>
      </w:r>
    </w:p>
    <w:p w:rsidR="008F47B1" w:rsidRDefault="008F47B1" w:rsidP="008F47B1">
      <w:pPr>
        <w:spacing w:line="480" w:lineRule="auto"/>
        <w:jc w:val="both"/>
        <w:rPr>
          <w:rFonts w:asciiTheme="minorHAnsi" w:hAnsiTheme="minorHAnsi" w:cs="Sabon-Roman"/>
          <w:sz w:val="20"/>
          <w:szCs w:val="20"/>
          <w:lang w:val="en-GB"/>
        </w:rPr>
      </w:pPr>
      <w:r w:rsidRPr="008F47B1">
        <w:rPr>
          <w:rFonts w:asciiTheme="minorHAnsi" w:hAnsiTheme="minorHAnsi"/>
          <w:i/>
          <w:sz w:val="20"/>
          <w:szCs w:val="20"/>
          <w:lang w:val="en-GB"/>
        </w:rPr>
        <w:t xml:space="preserve">Optimised diet for non-breastfed children of 12-23 months: </w:t>
      </w:r>
      <w:r w:rsidRPr="008F47B1">
        <w:rPr>
          <w:rFonts w:asciiTheme="minorHAnsi" w:hAnsiTheme="minorHAnsi"/>
          <w:sz w:val="20"/>
          <w:szCs w:val="20"/>
          <w:lang w:val="en-GB"/>
        </w:rPr>
        <w:t xml:space="preserve">The </w:t>
      </w:r>
      <w:proofErr w:type="spellStart"/>
      <w:r w:rsidRPr="008F47B1">
        <w:rPr>
          <w:rFonts w:asciiTheme="minorHAnsi" w:hAnsiTheme="minorHAnsi"/>
          <w:sz w:val="20"/>
          <w:szCs w:val="20"/>
          <w:lang w:val="en-GB"/>
        </w:rPr>
        <w:t>Optifood</w:t>
      </w:r>
      <w:proofErr w:type="spellEnd"/>
      <w:r w:rsidRPr="008F47B1">
        <w:rPr>
          <w:rFonts w:asciiTheme="minorHAnsi" w:hAnsiTheme="minorHAnsi"/>
          <w:sz w:val="20"/>
          <w:szCs w:val="20"/>
          <w:lang w:val="en-GB"/>
        </w:rPr>
        <w:t xml:space="preserve"> analysis comprises of four steps </w:t>
      </w:r>
      <w:r w:rsidRPr="008F47B1">
        <w:rPr>
          <w:rFonts w:asciiTheme="minorHAnsi" w:hAnsiTheme="minorHAnsi"/>
          <w:sz w:val="20"/>
          <w:szCs w:val="20"/>
        </w:rPr>
        <w:fldChar w:fldCharType="begin">
          <w:fldData xml:space="preserve">PEVuZE5vdGU+PENpdGU+PEF1dGhvcj5GZXJndXNvbjwvQXV0aG9yPjxZZWFyPjIwMDY8L1llYXI+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</w:fldData>
        </w:fldChar>
      </w:r>
      <w:r w:rsidRPr="008F47B1">
        <w:rPr>
          <w:rFonts w:asciiTheme="minorHAnsi" w:hAnsiTheme="minorHAnsi"/>
          <w:sz w:val="20"/>
          <w:szCs w:val="20"/>
          <w:lang w:val="en-GB"/>
        </w:rPr>
        <w:instrText xml:space="preserve"> ADDIN EN.CITE </w:instrText>
      </w:r>
      <w:r>
        <w:rPr>
          <w:rFonts w:asciiTheme="minorHAnsi" w:hAnsiTheme="minorHAnsi"/>
          <w:sz w:val="20"/>
          <w:szCs w:val="20"/>
        </w:rPr>
        <w:fldChar w:fldCharType="begin">
          <w:fldData xml:space="preserve">PEVuZE5vdGU+PENpdGU+PEF1dGhvcj5GZXJndXNvbjwvQXV0aG9yPjxZZWFyPjIwMDY8L1llYXI+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</w:fldData>
        </w:fldChar>
      </w:r>
      <w:r w:rsidRPr="008F47B1">
        <w:rPr>
          <w:rFonts w:asciiTheme="minorHAnsi" w:hAnsiTheme="minorHAnsi"/>
          <w:sz w:val="20"/>
          <w:szCs w:val="20"/>
          <w:lang w:val="en-GB"/>
        </w:rPr>
        <w:instrText xml:space="preserve"> ADDIN EN.CITE.DATA </w:instrText>
      </w:r>
      <w:r>
        <w:rPr>
          <w:rFonts w:asciiTheme="minorHAnsi" w:hAnsiTheme="minorHAnsi"/>
          <w:sz w:val="20"/>
          <w:szCs w:val="20"/>
        </w:rPr>
      </w:r>
      <w:r>
        <w:rPr>
          <w:rFonts w:asciiTheme="minorHAnsi" w:hAnsiTheme="minorHAnsi"/>
          <w:sz w:val="20"/>
          <w:szCs w:val="20"/>
        </w:rPr>
        <w:fldChar w:fldCharType="end"/>
      </w:r>
      <w:r w:rsidRPr="008F47B1">
        <w:rPr>
          <w:rFonts w:asciiTheme="minorHAnsi" w:hAnsiTheme="minorHAnsi"/>
          <w:sz w:val="20"/>
          <w:szCs w:val="20"/>
        </w:rPr>
      </w:r>
      <w:r w:rsidRPr="008F47B1">
        <w:rPr>
          <w:rFonts w:asciiTheme="minorHAnsi" w:hAnsiTheme="minorHAnsi"/>
          <w:sz w:val="20"/>
          <w:szCs w:val="20"/>
        </w:rPr>
        <w:fldChar w:fldCharType="separate"/>
      </w:r>
      <w:r w:rsidRPr="008F47B1">
        <w:rPr>
          <w:rFonts w:asciiTheme="minorHAnsi" w:hAnsiTheme="minorHAnsi"/>
          <w:noProof/>
          <w:sz w:val="20"/>
          <w:szCs w:val="20"/>
          <w:lang w:val="en-GB"/>
        </w:rPr>
        <w:t>(5, 6)</w:t>
      </w:r>
      <w:r w:rsidRPr="008F47B1">
        <w:rPr>
          <w:rFonts w:asciiTheme="minorHAnsi" w:hAnsiTheme="minorHAnsi"/>
          <w:sz w:val="20"/>
          <w:szCs w:val="20"/>
        </w:rPr>
        <w:fldChar w:fldCharType="end"/>
      </w:r>
      <w:r w:rsidRPr="008F47B1">
        <w:rPr>
          <w:rFonts w:asciiTheme="minorHAnsi" w:hAnsiTheme="minorHAnsi"/>
          <w:sz w:val="20"/>
          <w:szCs w:val="20"/>
          <w:lang w:val="en-GB"/>
        </w:rPr>
        <w:t xml:space="preserve"> but for this study we only ran the first two steps: </w:t>
      </w:r>
      <w:r w:rsidRPr="008F47B1">
        <w:rPr>
          <w:rFonts w:asciiTheme="minorHAnsi" w:hAnsiTheme="minorHAnsi" w:cs="Sabon-Roman"/>
          <w:sz w:val="20"/>
          <w:szCs w:val="20"/>
          <w:lang w:val="en-GB"/>
        </w:rPr>
        <w:t>(1) to check that model parameters ensure realistic diets; and (2) to identify two realistic diets that meet or come as close as possible to meeting nutrient needs of the target population. One of the two modelled diets uses the median number of servings of foods (takes into account habitual food pattern: ‘food pattern diet’) while the other diet uses the extremes of the distributions (‘no food pattern diet’). We used the no food pattern diet for this study as this diet best covered requirements of all 13 key nutrients.</w:t>
      </w:r>
    </w:p>
    <w:p w:rsidR="003631B9" w:rsidRPr="003A1466" w:rsidRDefault="003631B9" w:rsidP="00E9040B">
      <w:pPr>
        <w:spacing w:before="240" w:after="240"/>
        <w:rPr>
          <w:rFonts w:asciiTheme="minorHAnsi" w:hAnsiTheme="minorHAnsi"/>
          <w:b/>
          <w:sz w:val="28"/>
          <w:szCs w:val="28"/>
        </w:rPr>
      </w:pPr>
      <w:r w:rsidRPr="003A1466">
        <w:rPr>
          <w:rFonts w:asciiTheme="minorHAnsi" w:hAnsiTheme="minorHAnsi"/>
          <w:b/>
          <w:sz w:val="28"/>
          <w:szCs w:val="28"/>
        </w:rPr>
        <w:t xml:space="preserve">Food coverage at household, regional and national level </w:t>
      </w:r>
    </w:p>
    <w:p w:rsidR="003A1466" w:rsidRPr="003A1466" w:rsidRDefault="003A1466" w:rsidP="003A1466">
      <w:pPr>
        <w:spacing w:line="480" w:lineRule="auto"/>
        <w:rPr>
          <w:rFonts w:asciiTheme="minorHAnsi" w:hAnsiTheme="minorHAnsi"/>
          <w:b/>
          <w:sz w:val="20"/>
          <w:szCs w:val="20"/>
          <w:lang w:val="en-GB"/>
        </w:rPr>
      </w:pPr>
      <w:r w:rsidRPr="003A1466">
        <w:rPr>
          <w:rFonts w:asciiTheme="minorHAnsi" w:hAnsiTheme="minorHAnsi"/>
          <w:b/>
          <w:sz w:val="20"/>
          <w:szCs w:val="20"/>
          <w:lang w:val="en-GB"/>
        </w:rPr>
        <w:t>The recommended and nationally supplied quantity of food groups per capita per year, and the percentage coverage of the recom</w:t>
      </w:r>
      <w:r>
        <w:rPr>
          <w:rFonts w:asciiTheme="minorHAnsi" w:hAnsiTheme="minorHAnsi"/>
          <w:b/>
          <w:sz w:val="20"/>
          <w:szCs w:val="20"/>
          <w:lang w:val="en-GB"/>
        </w:rPr>
        <w:t>m</w:t>
      </w:r>
      <w:r w:rsidRPr="003A1466">
        <w:rPr>
          <w:rFonts w:asciiTheme="minorHAnsi" w:hAnsiTheme="minorHAnsi"/>
          <w:b/>
          <w:sz w:val="20"/>
          <w:szCs w:val="20"/>
          <w:lang w:val="en-GB"/>
        </w:rPr>
        <w:t xml:space="preserve">ended food groups by national food supply. </w:t>
      </w:r>
    </w:p>
    <w:tbl>
      <w:tblPr>
        <w:tblStyle w:val="TableGrid"/>
        <w:tblW w:w="7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2126"/>
        <w:gridCol w:w="1984"/>
        <w:gridCol w:w="1276"/>
      </w:tblGrid>
      <w:tr w:rsidR="003A1466" w:rsidRPr="003A1466" w:rsidTr="003A1466">
        <w:tc>
          <w:tcPr>
            <w:tcW w:w="2376" w:type="dxa"/>
            <w:tcBorders>
              <w:top w:val="single" w:sz="4" w:space="0" w:color="auto"/>
              <w:bottom w:val="single" w:sz="4" w:space="0" w:color="auto"/>
            </w:tcBorders>
          </w:tcPr>
          <w:p w:rsidR="003A1466" w:rsidRPr="003A1466" w:rsidRDefault="003A1466" w:rsidP="00BC77C3">
            <w:pPr>
              <w:jc w:val="center"/>
              <w:rPr>
                <w:rFonts w:asciiTheme="minorHAnsi" w:hAnsiTheme="minorHAnsi"/>
                <w:b/>
                <w:sz w:val="20"/>
                <w:szCs w:val="20"/>
              </w:rPr>
            </w:pPr>
            <w:r w:rsidRPr="003A1466">
              <w:rPr>
                <w:rFonts w:asciiTheme="minorHAnsi" w:hAnsiTheme="minorHAnsi"/>
                <w:b/>
                <w:sz w:val="20"/>
                <w:szCs w:val="20"/>
              </w:rPr>
              <w:t>Food group</w:t>
            </w:r>
          </w:p>
        </w:tc>
        <w:tc>
          <w:tcPr>
            <w:tcW w:w="2126" w:type="dxa"/>
            <w:tcBorders>
              <w:top w:val="single" w:sz="4" w:space="0" w:color="auto"/>
              <w:bottom w:val="single" w:sz="4" w:space="0" w:color="auto"/>
            </w:tcBorders>
          </w:tcPr>
          <w:p w:rsidR="003A1466" w:rsidRPr="003A1466" w:rsidRDefault="003A1466" w:rsidP="00BC77C3">
            <w:pPr>
              <w:jc w:val="center"/>
              <w:rPr>
                <w:rFonts w:asciiTheme="minorHAnsi" w:hAnsiTheme="minorHAnsi"/>
                <w:b/>
                <w:sz w:val="20"/>
                <w:szCs w:val="20"/>
              </w:rPr>
            </w:pPr>
            <w:r w:rsidRPr="003A1466">
              <w:rPr>
                <w:rFonts w:asciiTheme="minorHAnsi" w:hAnsiTheme="minorHAnsi"/>
                <w:b/>
                <w:sz w:val="20"/>
                <w:szCs w:val="20"/>
              </w:rPr>
              <w:t xml:space="preserve">Recommended </w:t>
            </w:r>
            <w:proofErr w:type="spellStart"/>
            <w:r w:rsidRPr="003A1466">
              <w:rPr>
                <w:rFonts w:asciiTheme="minorHAnsi" w:hAnsiTheme="minorHAnsi"/>
                <w:b/>
                <w:sz w:val="20"/>
                <w:szCs w:val="20"/>
              </w:rPr>
              <w:t>SA</w:t>
            </w:r>
            <w:r>
              <w:rPr>
                <w:rFonts w:asciiTheme="minorHAnsi" w:hAnsiTheme="minorHAnsi"/>
                <w:b/>
                <w:sz w:val="20"/>
                <w:szCs w:val="20"/>
                <w:vertAlign w:val="superscript"/>
              </w:rPr>
              <w:t>a</w:t>
            </w:r>
            <w:proofErr w:type="spellEnd"/>
            <w:r w:rsidRPr="003A1466">
              <w:rPr>
                <w:rFonts w:asciiTheme="minorHAnsi" w:hAnsiTheme="minorHAnsi"/>
                <w:b/>
                <w:sz w:val="20"/>
                <w:szCs w:val="20"/>
              </w:rPr>
              <w:t xml:space="preserve">, kg/capita/year, </w:t>
            </w:r>
          </w:p>
          <w:p w:rsidR="003A1466" w:rsidRPr="003A1466" w:rsidRDefault="003A1466" w:rsidP="00BC77C3">
            <w:pPr>
              <w:jc w:val="center"/>
              <w:rPr>
                <w:rFonts w:asciiTheme="minorHAnsi" w:hAnsiTheme="minorHAnsi"/>
                <w:b/>
                <w:sz w:val="20"/>
                <w:szCs w:val="20"/>
              </w:rPr>
            </w:pPr>
            <w:r w:rsidRPr="003A1466">
              <w:rPr>
                <w:rFonts w:asciiTheme="minorHAnsi" w:hAnsiTheme="minorHAnsi"/>
                <w:b/>
                <w:sz w:val="20"/>
                <w:szCs w:val="20"/>
              </w:rPr>
              <w:t>report</w:t>
            </w:r>
          </w:p>
        </w:tc>
        <w:tc>
          <w:tcPr>
            <w:tcW w:w="1984" w:type="dxa"/>
            <w:tcBorders>
              <w:top w:val="single" w:sz="4" w:space="0" w:color="auto"/>
              <w:bottom w:val="single" w:sz="4" w:space="0" w:color="auto"/>
            </w:tcBorders>
          </w:tcPr>
          <w:p w:rsidR="003A1466" w:rsidRPr="003A1466" w:rsidRDefault="003A1466" w:rsidP="00BC77C3">
            <w:pPr>
              <w:jc w:val="center"/>
              <w:rPr>
                <w:rFonts w:asciiTheme="minorHAnsi" w:hAnsiTheme="minorHAnsi"/>
                <w:b/>
                <w:sz w:val="20"/>
                <w:szCs w:val="20"/>
              </w:rPr>
            </w:pPr>
            <w:proofErr w:type="spellStart"/>
            <w:r w:rsidRPr="003A1466">
              <w:rPr>
                <w:rFonts w:asciiTheme="minorHAnsi" w:hAnsiTheme="minorHAnsi"/>
                <w:b/>
                <w:sz w:val="20"/>
                <w:szCs w:val="20"/>
              </w:rPr>
              <w:t>Supply</w:t>
            </w:r>
            <w:r>
              <w:rPr>
                <w:rFonts w:asciiTheme="minorHAnsi" w:hAnsiTheme="minorHAnsi"/>
                <w:b/>
                <w:sz w:val="20"/>
                <w:szCs w:val="20"/>
                <w:vertAlign w:val="superscript"/>
              </w:rPr>
              <w:t>b</w:t>
            </w:r>
            <w:proofErr w:type="spellEnd"/>
            <w:r w:rsidRPr="003A1466">
              <w:rPr>
                <w:rFonts w:asciiTheme="minorHAnsi" w:hAnsiTheme="minorHAnsi"/>
                <w:b/>
                <w:sz w:val="20"/>
                <w:szCs w:val="20"/>
              </w:rPr>
              <w:t xml:space="preserve"> kg/capita/year,</w:t>
            </w:r>
          </w:p>
          <w:p w:rsidR="003A1466" w:rsidRPr="003A1466" w:rsidRDefault="003A1466" w:rsidP="00BC77C3">
            <w:pPr>
              <w:jc w:val="center"/>
              <w:rPr>
                <w:rFonts w:asciiTheme="minorHAnsi" w:hAnsiTheme="minorHAnsi"/>
                <w:b/>
                <w:sz w:val="20"/>
                <w:szCs w:val="20"/>
              </w:rPr>
            </w:pPr>
            <w:r w:rsidRPr="003A1466">
              <w:rPr>
                <w:rFonts w:asciiTheme="minorHAnsi" w:hAnsiTheme="minorHAnsi"/>
                <w:b/>
                <w:sz w:val="20"/>
                <w:szCs w:val="20"/>
              </w:rPr>
              <w:t>report</w:t>
            </w:r>
          </w:p>
        </w:tc>
        <w:tc>
          <w:tcPr>
            <w:tcW w:w="1276" w:type="dxa"/>
            <w:tcBorders>
              <w:top w:val="single" w:sz="4" w:space="0" w:color="auto"/>
              <w:bottom w:val="single" w:sz="4" w:space="0" w:color="auto"/>
            </w:tcBorders>
          </w:tcPr>
          <w:p w:rsidR="003A1466" w:rsidRPr="003A1466" w:rsidRDefault="003A1466" w:rsidP="00BC77C3">
            <w:pPr>
              <w:jc w:val="center"/>
              <w:rPr>
                <w:rFonts w:asciiTheme="minorHAnsi" w:hAnsiTheme="minorHAnsi"/>
                <w:b/>
                <w:sz w:val="20"/>
                <w:szCs w:val="20"/>
              </w:rPr>
            </w:pPr>
            <w:r w:rsidRPr="003A1466">
              <w:rPr>
                <w:rFonts w:asciiTheme="minorHAnsi" w:hAnsiTheme="minorHAnsi"/>
                <w:b/>
                <w:sz w:val="20"/>
                <w:szCs w:val="20"/>
              </w:rPr>
              <w:t>Coverage, %</w:t>
            </w:r>
          </w:p>
        </w:tc>
      </w:tr>
      <w:tr w:rsidR="003A1466" w:rsidRPr="003A1466" w:rsidTr="003A1466">
        <w:tc>
          <w:tcPr>
            <w:tcW w:w="2376" w:type="dxa"/>
            <w:tcBorders>
              <w:top w:val="single" w:sz="4" w:space="0" w:color="auto"/>
            </w:tcBorders>
          </w:tcPr>
          <w:p w:rsidR="003A1466" w:rsidRPr="003A1466" w:rsidRDefault="003A1466" w:rsidP="00BC77C3">
            <w:pPr>
              <w:rPr>
                <w:rFonts w:asciiTheme="minorHAnsi" w:hAnsiTheme="minorHAnsi"/>
                <w:sz w:val="20"/>
                <w:szCs w:val="20"/>
              </w:rPr>
            </w:pPr>
            <w:r w:rsidRPr="003A1466">
              <w:rPr>
                <w:rFonts w:asciiTheme="minorHAnsi" w:hAnsiTheme="minorHAnsi"/>
                <w:sz w:val="20"/>
                <w:szCs w:val="20"/>
              </w:rPr>
              <w:t>Starchy foods</w:t>
            </w:r>
          </w:p>
        </w:tc>
        <w:tc>
          <w:tcPr>
            <w:tcW w:w="2126" w:type="dxa"/>
            <w:tcBorders>
              <w:top w:val="single" w:sz="4" w:space="0" w:color="auto"/>
            </w:tcBorders>
          </w:tcPr>
          <w:p w:rsidR="003A1466" w:rsidRPr="003A1466" w:rsidRDefault="003A1466" w:rsidP="00BC77C3">
            <w:pPr>
              <w:jc w:val="center"/>
              <w:rPr>
                <w:rFonts w:asciiTheme="minorHAnsi" w:hAnsiTheme="minorHAnsi"/>
                <w:sz w:val="20"/>
                <w:szCs w:val="20"/>
              </w:rPr>
            </w:pPr>
            <w:r w:rsidRPr="003A1466">
              <w:rPr>
                <w:rFonts w:asciiTheme="minorHAnsi" w:hAnsiTheme="minorHAnsi"/>
                <w:sz w:val="20"/>
                <w:szCs w:val="20"/>
              </w:rPr>
              <w:t>356</w:t>
            </w:r>
          </w:p>
        </w:tc>
        <w:tc>
          <w:tcPr>
            <w:tcW w:w="1984" w:type="dxa"/>
            <w:tcBorders>
              <w:top w:val="single" w:sz="4" w:space="0" w:color="auto"/>
            </w:tcBorders>
          </w:tcPr>
          <w:p w:rsidR="003A1466" w:rsidRPr="003A1466" w:rsidRDefault="003A1466" w:rsidP="00BC77C3">
            <w:pPr>
              <w:jc w:val="center"/>
              <w:rPr>
                <w:rFonts w:asciiTheme="minorHAnsi" w:hAnsiTheme="minorHAnsi"/>
                <w:sz w:val="20"/>
                <w:szCs w:val="20"/>
              </w:rPr>
            </w:pPr>
            <w:r w:rsidRPr="003A1466">
              <w:rPr>
                <w:rFonts w:asciiTheme="minorHAnsi" w:hAnsiTheme="minorHAnsi"/>
                <w:sz w:val="20"/>
                <w:szCs w:val="20"/>
              </w:rPr>
              <w:t>527</w:t>
            </w:r>
          </w:p>
        </w:tc>
        <w:tc>
          <w:tcPr>
            <w:tcW w:w="1276" w:type="dxa"/>
            <w:tcBorders>
              <w:top w:val="single" w:sz="4" w:space="0" w:color="auto"/>
            </w:tcBorders>
          </w:tcPr>
          <w:p w:rsidR="003A1466" w:rsidRPr="003A1466" w:rsidRDefault="003A1466" w:rsidP="00BC77C3">
            <w:pPr>
              <w:jc w:val="center"/>
              <w:rPr>
                <w:rFonts w:asciiTheme="minorHAnsi" w:hAnsiTheme="minorHAnsi"/>
                <w:b/>
                <w:sz w:val="20"/>
                <w:szCs w:val="20"/>
              </w:rPr>
            </w:pPr>
            <w:r w:rsidRPr="003A1466">
              <w:rPr>
                <w:rFonts w:asciiTheme="minorHAnsi" w:hAnsiTheme="minorHAnsi"/>
                <w:b/>
                <w:sz w:val="20"/>
                <w:szCs w:val="20"/>
              </w:rPr>
              <w:t>148.0</w:t>
            </w:r>
          </w:p>
        </w:tc>
      </w:tr>
      <w:tr w:rsidR="003A1466" w:rsidRPr="003A1466" w:rsidTr="003A1466">
        <w:tc>
          <w:tcPr>
            <w:tcW w:w="2376" w:type="dxa"/>
          </w:tcPr>
          <w:p w:rsidR="003A1466" w:rsidRPr="003A1466" w:rsidRDefault="003A1466" w:rsidP="00BC77C3">
            <w:pPr>
              <w:rPr>
                <w:rFonts w:asciiTheme="minorHAnsi" w:hAnsiTheme="minorHAnsi"/>
                <w:sz w:val="20"/>
                <w:szCs w:val="20"/>
              </w:rPr>
            </w:pPr>
            <w:r w:rsidRPr="003A1466">
              <w:rPr>
                <w:rFonts w:asciiTheme="minorHAnsi" w:hAnsiTheme="minorHAnsi"/>
                <w:sz w:val="20"/>
                <w:szCs w:val="20"/>
              </w:rPr>
              <w:t>Vegetables</w:t>
            </w:r>
          </w:p>
        </w:tc>
        <w:tc>
          <w:tcPr>
            <w:tcW w:w="2126" w:type="dxa"/>
          </w:tcPr>
          <w:p w:rsidR="003A1466" w:rsidRPr="003A1466" w:rsidRDefault="003A1466" w:rsidP="00BC77C3">
            <w:pPr>
              <w:jc w:val="center"/>
              <w:rPr>
                <w:rFonts w:asciiTheme="minorHAnsi" w:hAnsiTheme="minorHAnsi"/>
                <w:sz w:val="20"/>
                <w:szCs w:val="20"/>
              </w:rPr>
            </w:pPr>
            <w:r w:rsidRPr="003A1466">
              <w:rPr>
                <w:rFonts w:asciiTheme="minorHAnsi" w:hAnsiTheme="minorHAnsi"/>
                <w:sz w:val="20"/>
                <w:szCs w:val="20"/>
              </w:rPr>
              <w:t>82</w:t>
            </w:r>
          </w:p>
        </w:tc>
        <w:tc>
          <w:tcPr>
            <w:tcW w:w="1984" w:type="dxa"/>
          </w:tcPr>
          <w:p w:rsidR="003A1466" w:rsidRPr="003A1466" w:rsidRDefault="003A1466" w:rsidP="00BC77C3">
            <w:pPr>
              <w:jc w:val="center"/>
              <w:rPr>
                <w:rFonts w:asciiTheme="minorHAnsi" w:hAnsiTheme="minorHAnsi"/>
                <w:sz w:val="20"/>
                <w:szCs w:val="20"/>
              </w:rPr>
            </w:pPr>
            <w:r w:rsidRPr="003A1466">
              <w:rPr>
                <w:rFonts w:asciiTheme="minorHAnsi" w:hAnsiTheme="minorHAnsi"/>
                <w:sz w:val="20"/>
                <w:szCs w:val="20"/>
              </w:rPr>
              <w:t>40</w:t>
            </w:r>
          </w:p>
        </w:tc>
        <w:tc>
          <w:tcPr>
            <w:tcW w:w="1276" w:type="dxa"/>
          </w:tcPr>
          <w:p w:rsidR="003A1466" w:rsidRPr="003A1466" w:rsidRDefault="003A1466" w:rsidP="00BC77C3">
            <w:pPr>
              <w:jc w:val="center"/>
              <w:rPr>
                <w:rFonts w:asciiTheme="minorHAnsi" w:hAnsiTheme="minorHAnsi"/>
                <w:b/>
                <w:sz w:val="20"/>
                <w:szCs w:val="20"/>
              </w:rPr>
            </w:pPr>
            <w:r w:rsidRPr="003A1466">
              <w:rPr>
                <w:rFonts w:asciiTheme="minorHAnsi" w:hAnsiTheme="minorHAnsi"/>
                <w:b/>
                <w:sz w:val="20"/>
                <w:szCs w:val="20"/>
              </w:rPr>
              <w:t>48.8</w:t>
            </w:r>
          </w:p>
        </w:tc>
      </w:tr>
      <w:tr w:rsidR="003A1466" w:rsidRPr="003A1466" w:rsidTr="003A1466">
        <w:tc>
          <w:tcPr>
            <w:tcW w:w="2376" w:type="dxa"/>
          </w:tcPr>
          <w:p w:rsidR="003A1466" w:rsidRPr="003A1466" w:rsidRDefault="003A1466" w:rsidP="00BC77C3">
            <w:pPr>
              <w:rPr>
                <w:rFonts w:asciiTheme="minorHAnsi" w:hAnsiTheme="minorHAnsi"/>
                <w:sz w:val="20"/>
                <w:szCs w:val="20"/>
              </w:rPr>
            </w:pPr>
            <w:r w:rsidRPr="003A1466">
              <w:rPr>
                <w:rFonts w:asciiTheme="minorHAnsi" w:hAnsiTheme="minorHAnsi"/>
                <w:sz w:val="20"/>
                <w:szCs w:val="20"/>
              </w:rPr>
              <w:t>Fruit</w:t>
            </w:r>
          </w:p>
        </w:tc>
        <w:tc>
          <w:tcPr>
            <w:tcW w:w="2126" w:type="dxa"/>
          </w:tcPr>
          <w:p w:rsidR="003A1466" w:rsidRPr="003A1466" w:rsidRDefault="003A1466" w:rsidP="00BC77C3">
            <w:pPr>
              <w:jc w:val="center"/>
              <w:rPr>
                <w:rFonts w:asciiTheme="minorHAnsi" w:hAnsiTheme="minorHAnsi"/>
                <w:sz w:val="20"/>
                <w:szCs w:val="20"/>
              </w:rPr>
            </w:pPr>
            <w:r w:rsidRPr="003A1466">
              <w:rPr>
                <w:rFonts w:asciiTheme="minorHAnsi" w:hAnsiTheme="minorHAnsi"/>
                <w:sz w:val="20"/>
                <w:szCs w:val="20"/>
              </w:rPr>
              <w:t>55</w:t>
            </w:r>
          </w:p>
        </w:tc>
        <w:tc>
          <w:tcPr>
            <w:tcW w:w="1984" w:type="dxa"/>
          </w:tcPr>
          <w:p w:rsidR="003A1466" w:rsidRPr="003A1466" w:rsidRDefault="003A1466" w:rsidP="00BC77C3">
            <w:pPr>
              <w:jc w:val="center"/>
              <w:rPr>
                <w:rFonts w:asciiTheme="minorHAnsi" w:hAnsiTheme="minorHAnsi"/>
                <w:sz w:val="20"/>
                <w:szCs w:val="20"/>
              </w:rPr>
            </w:pPr>
            <w:r w:rsidRPr="003A1466">
              <w:rPr>
                <w:rFonts w:asciiTheme="minorHAnsi" w:hAnsiTheme="minorHAnsi"/>
                <w:sz w:val="20"/>
                <w:szCs w:val="20"/>
              </w:rPr>
              <w:t>172</w:t>
            </w:r>
          </w:p>
        </w:tc>
        <w:tc>
          <w:tcPr>
            <w:tcW w:w="1276" w:type="dxa"/>
          </w:tcPr>
          <w:p w:rsidR="003A1466" w:rsidRPr="003A1466" w:rsidRDefault="003A1466" w:rsidP="00BC77C3">
            <w:pPr>
              <w:jc w:val="center"/>
              <w:rPr>
                <w:rFonts w:asciiTheme="minorHAnsi" w:hAnsiTheme="minorHAnsi"/>
                <w:b/>
                <w:sz w:val="20"/>
                <w:szCs w:val="20"/>
              </w:rPr>
            </w:pPr>
            <w:r w:rsidRPr="003A1466">
              <w:rPr>
                <w:rFonts w:asciiTheme="minorHAnsi" w:hAnsiTheme="minorHAnsi"/>
                <w:b/>
                <w:sz w:val="20"/>
                <w:szCs w:val="20"/>
              </w:rPr>
              <w:t>312.7</w:t>
            </w:r>
          </w:p>
        </w:tc>
      </w:tr>
      <w:tr w:rsidR="003A1466" w:rsidRPr="003A1466" w:rsidTr="003A1466">
        <w:tc>
          <w:tcPr>
            <w:tcW w:w="2376" w:type="dxa"/>
          </w:tcPr>
          <w:p w:rsidR="003A1466" w:rsidRPr="003A1466" w:rsidRDefault="003A1466" w:rsidP="00BC77C3">
            <w:pPr>
              <w:rPr>
                <w:rFonts w:asciiTheme="minorHAnsi" w:hAnsiTheme="minorHAnsi"/>
                <w:sz w:val="20"/>
                <w:szCs w:val="20"/>
              </w:rPr>
            </w:pPr>
            <w:r w:rsidRPr="003A1466">
              <w:rPr>
                <w:rFonts w:asciiTheme="minorHAnsi" w:hAnsiTheme="minorHAnsi"/>
                <w:sz w:val="20"/>
                <w:szCs w:val="20"/>
              </w:rPr>
              <w:t>Dry beans, split peas, lentils, soya</w:t>
            </w:r>
          </w:p>
        </w:tc>
        <w:tc>
          <w:tcPr>
            <w:tcW w:w="2126" w:type="dxa"/>
          </w:tcPr>
          <w:p w:rsidR="003A1466" w:rsidRPr="003A1466" w:rsidRDefault="003A1466" w:rsidP="00BC77C3">
            <w:pPr>
              <w:jc w:val="center"/>
              <w:rPr>
                <w:rFonts w:asciiTheme="minorHAnsi" w:hAnsiTheme="minorHAnsi"/>
                <w:sz w:val="20"/>
                <w:szCs w:val="20"/>
              </w:rPr>
            </w:pPr>
            <w:r w:rsidRPr="003A1466">
              <w:rPr>
                <w:rFonts w:asciiTheme="minorHAnsi" w:hAnsiTheme="minorHAnsi"/>
                <w:sz w:val="20"/>
                <w:szCs w:val="20"/>
              </w:rPr>
              <w:t>27</w:t>
            </w:r>
          </w:p>
        </w:tc>
        <w:tc>
          <w:tcPr>
            <w:tcW w:w="1984" w:type="dxa"/>
          </w:tcPr>
          <w:p w:rsidR="003A1466" w:rsidRPr="003A1466" w:rsidRDefault="003A1466" w:rsidP="00BC77C3">
            <w:pPr>
              <w:jc w:val="center"/>
              <w:rPr>
                <w:rFonts w:asciiTheme="minorHAnsi" w:hAnsiTheme="minorHAnsi"/>
                <w:sz w:val="20"/>
                <w:szCs w:val="20"/>
              </w:rPr>
            </w:pPr>
            <w:r w:rsidRPr="003A1466">
              <w:rPr>
                <w:rFonts w:asciiTheme="minorHAnsi" w:hAnsiTheme="minorHAnsi"/>
                <w:sz w:val="20"/>
                <w:szCs w:val="20"/>
              </w:rPr>
              <w:t>14</w:t>
            </w:r>
          </w:p>
        </w:tc>
        <w:tc>
          <w:tcPr>
            <w:tcW w:w="1276" w:type="dxa"/>
          </w:tcPr>
          <w:p w:rsidR="003A1466" w:rsidRPr="003A1466" w:rsidRDefault="003A1466" w:rsidP="00BC77C3">
            <w:pPr>
              <w:jc w:val="center"/>
              <w:rPr>
                <w:rFonts w:asciiTheme="minorHAnsi" w:hAnsiTheme="minorHAnsi"/>
                <w:b/>
                <w:sz w:val="20"/>
                <w:szCs w:val="20"/>
              </w:rPr>
            </w:pPr>
            <w:r w:rsidRPr="003A1466">
              <w:rPr>
                <w:rFonts w:asciiTheme="minorHAnsi" w:hAnsiTheme="minorHAnsi"/>
                <w:b/>
                <w:sz w:val="20"/>
                <w:szCs w:val="20"/>
              </w:rPr>
              <w:t>51.9</w:t>
            </w:r>
          </w:p>
        </w:tc>
      </w:tr>
      <w:tr w:rsidR="003A1466" w:rsidRPr="003A1466" w:rsidTr="003A1466">
        <w:tc>
          <w:tcPr>
            <w:tcW w:w="2376" w:type="dxa"/>
          </w:tcPr>
          <w:p w:rsidR="003A1466" w:rsidRPr="003A1466" w:rsidRDefault="003A1466" w:rsidP="00BC77C3">
            <w:pPr>
              <w:rPr>
                <w:rFonts w:asciiTheme="minorHAnsi" w:hAnsiTheme="minorHAnsi"/>
                <w:sz w:val="20"/>
                <w:szCs w:val="20"/>
              </w:rPr>
            </w:pPr>
            <w:r w:rsidRPr="003A1466">
              <w:rPr>
                <w:rFonts w:asciiTheme="minorHAnsi" w:hAnsiTheme="minorHAnsi"/>
                <w:sz w:val="20"/>
                <w:szCs w:val="20"/>
              </w:rPr>
              <w:lastRenderedPageBreak/>
              <w:t>Fish, chicken, lean meat, eggs</w:t>
            </w:r>
          </w:p>
        </w:tc>
        <w:tc>
          <w:tcPr>
            <w:tcW w:w="2126" w:type="dxa"/>
          </w:tcPr>
          <w:p w:rsidR="003A1466" w:rsidRPr="003A1466" w:rsidRDefault="003A1466" w:rsidP="00BC77C3">
            <w:pPr>
              <w:jc w:val="center"/>
              <w:rPr>
                <w:rFonts w:asciiTheme="minorHAnsi" w:hAnsiTheme="minorHAnsi"/>
                <w:sz w:val="20"/>
                <w:szCs w:val="20"/>
              </w:rPr>
            </w:pPr>
            <w:r w:rsidRPr="003A1466">
              <w:rPr>
                <w:rFonts w:asciiTheme="minorHAnsi" w:hAnsiTheme="minorHAnsi"/>
                <w:sz w:val="20"/>
                <w:szCs w:val="20"/>
              </w:rPr>
              <w:t>37</w:t>
            </w:r>
          </w:p>
        </w:tc>
        <w:tc>
          <w:tcPr>
            <w:tcW w:w="1984" w:type="dxa"/>
          </w:tcPr>
          <w:p w:rsidR="003A1466" w:rsidRPr="003A1466" w:rsidRDefault="003A1466" w:rsidP="00BC77C3">
            <w:pPr>
              <w:jc w:val="center"/>
              <w:rPr>
                <w:rFonts w:asciiTheme="minorHAnsi" w:hAnsiTheme="minorHAnsi"/>
                <w:sz w:val="20"/>
                <w:szCs w:val="20"/>
              </w:rPr>
            </w:pPr>
            <w:r w:rsidRPr="003A1466">
              <w:rPr>
                <w:rFonts w:asciiTheme="minorHAnsi" w:hAnsiTheme="minorHAnsi"/>
                <w:sz w:val="20"/>
                <w:szCs w:val="20"/>
              </w:rPr>
              <w:t xml:space="preserve">47 </w:t>
            </w:r>
          </w:p>
          <w:p w:rsidR="003A1466" w:rsidRPr="003A1466" w:rsidRDefault="003A1466" w:rsidP="00BC77C3">
            <w:pPr>
              <w:jc w:val="center"/>
              <w:rPr>
                <w:rFonts w:asciiTheme="minorHAnsi" w:hAnsiTheme="minorHAnsi"/>
                <w:i/>
                <w:sz w:val="20"/>
                <w:szCs w:val="20"/>
              </w:rPr>
            </w:pPr>
            <w:r w:rsidRPr="003A1466">
              <w:rPr>
                <w:rFonts w:asciiTheme="minorHAnsi" w:hAnsiTheme="minorHAnsi"/>
                <w:i/>
                <w:sz w:val="20"/>
                <w:szCs w:val="20"/>
              </w:rPr>
              <w:t>(27 from fish)</w:t>
            </w:r>
          </w:p>
        </w:tc>
        <w:tc>
          <w:tcPr>
            <w:tcW w:w="1276" w:type="dxa"/>
          </w:tcPr>
          <w:p w:rsidR="003A1466" w:rsidRPr="003A1466" w:rsidRDefault="003A1466" w:rsidP="00BC77C3">
            <w:pPr>
              <w:jc w:val="center"/>
              <w:rPr>
                <w:rFonts w:asciiTheme="minorHAnsi" w:hAnsiTheme="minorHAnsi"/>
                <w:b/>
                <w:sz w:val="20"/>
                <w:szCs w:val="20"/>
              </w:rPr>
            </w:pPr>
            <w:r w:rsidRPr="003A1466">
              <w:rPr>
                <w:rFonts w:asciiTheme="minorHAnsi" w:hAnsiTheme="minorHAnsi"/>
                <w:b/>
                <w:sz w:val="20"/>
                <w:szCs w:val="20"/>
              </w:rPr>
              <w:t>127.0</w:t>
            </w:r>
          </w:p>
        </w:tc>
      </w:tr>
      <w:tr w:rsidR="003A1466" w:rsidRPr="003A1466" w:rsidTr="003A1466">
        <w:tc>
          <w:tcPr>
            <w:tcW w:w="2376" w:type="dxa"/>
          </w:tcPr>
          <w:p w:rsidR="003A1466" w:rsidRPr="003A1466" w:rsidRDefault="003A1466" w:rsidP="00BC77C3">
            <w:pPr>
              <w:rPr>
                <w:rFonts w:asciiTheme="minorHAnsi" w:hAnsiTheme="minorHAnsi"/>
                <w:sz w:val="20"/>
                <w:szCs w:val="20"/>
              </w:rPr>
            </w:pPr>
            <w:r w:rsidRPr="003A1466">
              <w:rPr>
                <w:rFonts w:asciiTheme="minorHAnsi" w:hAnsiTheme="minorHAnsi"/>
                <w:sz w:val="20"/>
                <w:szCs w:val="20"/>
              </w:rPr>
              <w:t xml:space="preserve">Milk, </w:t>
            </w:r>
            <w:proofErr w:type="spellStart"/>
            <w:r w:rsidRPr="003A1466">
              <w:rPr>
                <w:rFonts w:asciiTheme="minorHAnsi" w:hAnsiTheme="minorHAnsi"/>
                <w:sz w:val="20"/>
                <w:szCs w:val="20"/>
              </w:rPr>
              <w:t>maas</w:t>
            </w:r>
            <w:proofErr w:type="spellEnd"/>
            <w:r w:rsidRPr="003A1466">
              <w:rPr>
                <w:rFonts w:asciiTheme="minorHAnsi" w:hAnsiTheme="minorHAnsi"/>
                <w:sz w:val="20"/>
                <w:szCs w:val="20"/>
              </w:rPr>
              <w:t xml:space="preserve"> (fermented milk), yoghurt</w:t>
            </w:r>
          </w:p>
        </w:tc>
        <w:tc>
          <w:tcPr>
            <w:tcW w:w="2126" w:type="dxa"/>
          </w:tcPr>
          <w:p w:rsidR="003A1466" w:rsidRPr="003A1466" w:rsidRDefault="003A1466" w:rsidP="00BC77C3">
            <w:pPr>
              <w:jc w:val="center"/>
              <w:rPr>
                <w:rFonts w:asciiTheme="minorHAnsi" w:hAnsiTheme="minorHAnsi"/>
                <w:sz w:val="20"/>
                <w:szCs w:val="20"/>
              </w:rPr>
            </w:pPr>
            <w:r w:rsidRPr="003A1466">
              <w:rPr>
                <w:rFonts w:asciiTheme="minorHAnsi" w:hAnsiTheme="minorHAnsi"/>
                <w:sz w:val="20"/>
                <w:szCs w:val="20"/>
              </w:rPr>
              <w:t>55</w:t>
            </w:r>
          </w:p>
        </w:tc>
        <w:tc>
          <w:tcPr>
            <w:tcW w:w="1984" w:type="dxa"/>
          </w:tcPr>
          <w:p w:rsidR="003A1466" w:rsidRPr="003A1466" w:rsidRDefault="003A1466" w:rsidP="00BC77C3">
            <w:pPr>
              <w:jc w:val="center"/>
              <w:rPr>
                <w:rFonts w:asciiTheme="minorHAnsi" w:hAnsiTheme="minorHAnsi"/>
                <w:sz w:val="20"/>
                <w:szCs w:val="20"/>
              </w:rPr>
            </w:pPr>
            <w:r w:rsidRPr="003A1466">
              <w:rPr>
                <w:rFonts w:asciiTheme="minorHAnsi" w:hAnsiTheme="minorHAnsi"/>
                <w:sz w:val="20"/>
                <w:szCs w:val="20"/>
              </w:rPr>
              <w:t>9.4</w:t>
            </w:r>
          </w:p>
        </w:tc>
        <w:tc>
          <w:tcPr>
            <w:tcW w:w="1276" w:type="dxa"/>
          </w:tcPr>
          <w:p w:rsidR="003A1466" w:rsidRPr="003A1466" w:rsidRDefault="003A1466" w:rsidP="00BC77C3">
            <w:pPr>
              <w:jc w:val="center"/>
              <w:rPr>
                <w:rFonts w:asciiTheme="minorHAnsi" w:hAnsiTheme="minorHAnsi"/>
                <w:b/>
                <w:sz w:val="20"/>
                <w:szCs w:val="20"/>
              </w:rPr>
            </w:pPr>
            <w:r w:rsidRPr="003A1466">
              <w:rPr>
                <w:rFonts w:asciiTheme="minorHAnsi" w:hAnsiTheme="minorHAnsi"/>
                <w:b/>
                <w:sz w:val="20"/>
                <w:szCs w:val="20"/>
              </w:rPr>
              <w:t>17.1</w:t>
            </w:r>
          </w:p>
        </w:tc>
      </w:tr>
      <w:tr w:rsidR="003A1466" w:rsidRPr="003A1466" w:rsidTr="003A1466">
        <w:tc>
          <w:tcPr>
            <w:tcW w:w="2376" w:type="dxa"/>
          </w:tcPr>
          <w:p w:rsidR="003A1466" w:rsidRPr="003A1466" w:rsidRDefault="003A1466" w:rsidP="00BC77C3">
            <w:pPr>
              <w:rPr>
                <w:rFonts w:asciiTheme="minorHAnsi" w:hAnsiTheme="minorHAnsi"/>
                <w:sz w:val="20"/>
                <w:szCs w:val="20"/>
              </w:rPr>
            </w:pPr>
            <w:r w:rsidRPr="003A1466">
              <w:rPr>
                <w:rFonts w:asciiTheme="minorHAnsi" w:hAnsiTheme="minorHAnsi"/>
                <w:sz w:val="20"/>
                <w:szCs w:val="20"/>
              </w:rPr>
              <w:t>Fat, oil</w:t>
            </w:r>
          </w:p>
        </w:tc>
        <w:tc>
          <w:tcPr>
            <w:tcW w:w="2126" w:type="dxa"/>
          </w:tcPr>
          <w:p w:rsidR="003A1466" w:rsidRPr="003A1466" w:rsidRDefault="003A1466" w:rsidP="00BC77C3">
            <w:pPr>
              <w:jc w:val="center"/>
              <w:rPr>
                <w:rFonts w:asciiTheme="minorHAnsi" w:hAnsiTheme="minorHAnsi"/>
                <w:sz w:val="20"/>
                <w:szCs w:val="20"/>
              </w:rPr>
            </w:pPr>
            <w:r w:rsidRPr="003A1466">
              <w:rPr>
                <w:rFonts w:asciiTheme="minorHAnsi" w:hAnsiTheme="minorHAnsi"/>
                <w:sz w:val="20"/>
                <w:szCs w:val="20"/>
              </w:rPr>
              <w:t>13</w:t>
            </w:r>
          </w:p>
        </w:tc>
        <w:tc>
          <w:tcPr>
            <w:tcW w:w="1984" w:type="dxa"/>
          </w:tcPr>
          <w:p w:rsidR="003A1466" w:rsidRPr="003A1466" w:rsidRDefault="003A1466" w:rsidP="00BC77C3">
            <w:pPr>
              <w:jc w:val="center"/>
              <w:rPr>
                <w:rFonts w:asciiTheme="minorHAnsi" w:hAnsiTheme="minorHAnsi"/>
                <w:sz w:val="20"/>
                <w:szCs w:val="20"/>
              </w:rPr>
            </w:pPr>
            <w:r w:rsidRPr="003A1466">
              <w:rPr>
                <w:rFonts w:asciiTheme="minorHAnsi" w:hAnsiTheme="minorHAnsi"/>
                <w:sz w:val="20"/>
                <w:szCs w:val="20"/>
              </w:rPr>
              <w:t>6.9</w:t>
            </w:r>
          </w:p>
        </w:tc>
        <w:tc>
          <w:tcPr>
            <w:tcW w:w="1276" w:type="dxa"/>
          </w:tcPr>
          <w:p w:rsidR="003A1466" w:rsidRPr="003A1466" w:rsidRDefault="003A1466" w:rsidP="00BC77C3">
            <w:pPr>
              <w:jc w:val="center"/>
              <w:rPr>
                <w:rFonts w:asciiTheme="minorHAnsi" w:hAnsiTheme="minorHAnsi"/>
                <w:b/>
                <w:sz w:val="20"/>
                <w:szCs w:val="20"/>
              </w:rPr>
            </w:pPr>
            <w:r w:rsidRPr="003A1466">
              <w:rPr>
                <w:rFonts w:asciiTheme="minorHAnsi" w:hAnsiTheme="minorHAnsi"/>
                <w:b/>
                <w:sz w:val="20"/>
                <w:szCs w:val="20"/>
              </w:rPr>
              <w:t>53.1</w:t>
            </w:r>
          </w:p>
        </w:tc>
      </w:tr>
      <w:tr w:rsidR="003A1466" w:rsidRPr="003A1466" w:rsidTr="003A1466">
        <w:tc>
          <w:tcPr>
            <w:tcW w:w="2376" w:type="dxa"/>
            <w:tcBorders>
              <w:bottom w:val="single" w:sz="4" w:space="0" w:color="auto"/>
            </w:tcBorders>
          </w:tcPr>
          <w:p w:rsidR="003A1466" w:rsidRPr="003A1466" w:rsidRDefault="003A1466" w:rsidP="00BC77C3">
            <w:pPr>
              <w:rPr>
                <w:rFonts w:asciiTheme="minorHAnsi" w:hAnsiTheme="minorHAnsi"/>
                <w:sz w:val="20"/>
                <w:szCs w:val="20"/>
              </w:rPr>
            </w:pPr>
            <w:r w:rsidRPr="003A1466">
              <w:rPr>
                <w:rFonts w:asciiTheme="minorHAnsi" w:hAnsiTheme="minorHAnsi"/>
                <w:sz w:val="20"/>
                <w:szCs w:val="20"/>
              </w:rPr>
              <w:t>Sugar (incl. sugar cane)</w:t>
            </w:r>
          </w:p>
        </w:tc>
        <w:tc>
          <w:tcPr>
            <w:tcW w:w="2126" w:type="dxa"/>
            <w:tcBorders>
              <w:bottom w:val="single" w:sz="4" w:space="0" w:color="auto"/>
            </w:tcBorders>
          </w:tcPr>
          <w:p w:rsidR="003A1466" w:rsidRPr="003A1466" w:rsidRDefault="003A1466" w:rsidP="00BC77C3">
            <w:pPr>
              <w:jc w:val="center"/>
              <w:rPr>
                <w:rFonts w:asciiTheme="minorHAnsi" w:hAnsiTheme="minorHAnsi"/>
                <w:sz w:val="20"/>
                <w:szCs w:val="20"/>
              </w:rPr>
            </w:pPr>
            <w:r w:rsidRPr="003A1466">
              <w:rPr>
                <w:rFonts w:asciiTheme="minorHAnsi" w:hAnsiTheme="minorHAnsi"/>
                <w:sz w:val="20"/>
                <w:szCs w:val="20"/>
              </w:rPr>
              <w:t>13</w:t>
            </w:r>
          </w:p>
        </w:tc>
        <w:tc>
          <w:tcPr>
            <w:tcW w:w="1984" w:type="dxa"/>
            <w:tcBorders>
              <w:bottom w:val="single" w:sz="4" w:space="0" w:color="auto"/>
            </w:tcBorders>
          </w:tcPr>
          <w:p w:rsidR="003A1466" w:rsidRPr="003A1466" w:rsidRDefault="003A1466" w:rsidP="00BC77C3">
            <w:pPr>
              <w:jc w:val="center"/>
              <w:rPr>
                <w:rFonts w:asciiTheme="minorHAnsi" w:hAnsiTheme="minorHAnsi"/>
                <w:sz w:val="20"/>
                <w:szCs w:val="20"/>
              </w:rPr>
            </w:pPr>
            <w:r w:rsidRPr="003A1466">
              <w:rPr>
                <w:rFonts w:asciiTheme="minorHAnsi" w:hAnsiTheme="minorHAnsi"/>
                <w:sz w:val="20"/>
                <w:szCs w:val="20"/>
              </w:rPr>
              <w:t>16.5</w:t>
            </w:r>
          </w:p>
        </w:tc>
        <w:tc>
          <w:tcPr>
            <w:tcW w:w="1276" w:type="dxa"/>
            <w:tcBorders>
              <w:bottom w:val="single" w:sz="4" w:space="0" w:color="auto"/>
            </w:tcBorders>
          </w:tcPr>
          <w:p w:rsidR="003A1466" w:rsidRPr="003A1466" w:rsidRDefault="003A1466" w:rsidP="00BC77C3">
            <w:pPr>
              <w:jc w:val="center"/>
              <w:rPr>
                <w:rFonts w:asciiTheme="minorHAnsi" w:hAnsiTheme="minorHAnsi"/>
                <w:b/>
                <w:sz w:val="20"/>
                <w:szCs w:val="20"/>
              </w:rPr>
            </w:pPr>
            <w:r w:rsidRPr="003A1466">
              <w:rPr>
                <w:rFonts w:asciiTheme="minorHAnsi" w:hAnsiTheme="minorHAnsi"/>
                <w:b/>
                <w:sz w:val="20"/>
                <w:szCs w:val="20"/>
              </w:rPr>
              <w:t>126.9</w:t>
            </w:r>
          </w:p>
        </w:tc>
      </w:tr>
    </w:tbl>
    <w:p w:rsidR="003631B9" w:rsidRPr="00E9040B" w:rsidRDefault="003A1466" w:rsidP="003A1466">
      <w:pPr>
        <w:spacing w:line="240" w:lineRule="auto"/>
        <w:jc w:val="both"/>
        <w:rPr>
          <w:rFonts w:asciiTheme="minorHAnsi" w:hAnsiTheme="minorHAnsi" w:cs="Sabon-Roman"/>
          <w:i/>
          <w:sz w:val="18"/>
          <w:szCs w:val="18"/>
          <w:lang w:val="en-GB"/>
        </w:rPr>
      </w:pPr>
      <w:proofErr w:type="spellStart"/>
      <w:r w:rsidRPr="00E9040B">
        <w:rPr>
          <w:rFonts w:asciiTheme="minorHAnsi" w:hAnsiTheme="minorHAnsi"/>
          <w:i/>
          <w:sz w:val="18"/>
          <w:szCs w:val="18"/>
          <w:vertAlign w:val="superscript"/>
          <w:lang w:val="en-GB"/>
        </w:rPr>
        <w:t>a</w:t>
      </w:r>
      <w:r w:rsidR="00E9040B" w:rsidRPr="00E9040B">
        <w:rPr>
          <w:rFonts w:asciiTheme="minorHAnsi" w:hAnsiTheme="minorHAnsi"/>
          <w:i/>
          <w:sz w:val="18"/>
          <w:szCs w:val="18"/>
          <w:lang w:val="en-GB"/>
        </w:rPr>
        <w:t>Quantities</w:t>
      </w:r>
      <w:proofErr w:type="spellEnd"/>
      <w:r w:rsidR="00E9040B" w:rsidRPr="00E9040B">
        <w:rPr>
          <w:rFonts w:asciiTheme="minorHAnsi" w:hAnsiTheme="minorHAnsi"/>
          <w:i/>
          <w:sz w:val="18"/>
          <w:szCs w:val="18"/>
          <w:lang w:val="en-GB"/>
        </w:rPr>
        <w:t xml:space="preserve"> as r</w:t>
      </w:r>
      <w:r w:rsidRPr="00E9040B">
        <w:rPr>
          <w:rFonts w:asciiTheme="minorHAnsi" w:hAnsiTheme="minorHAnsi"/>
          <w:i/>
          <w:sz w:val="18"/>
          <w:szCs w:val="18"/>
          <w:lang w:val="en-GB"/>
        </w:rPr>
        <w:t xml:space="preserve">ecommended by the South African food-based dietary guidelines, based on </w:t>
      </w:r>
      <w:r w:rsidR="003631B9" w:rsidRPr="00E9040B">
        <w:rPr>
          <w:rFonts w:asciiTheme="minorHAnsi" w:hAnsiTheme="minorHAnsi"/>
          <w:i/>
          <w:sz w:val="18"/>
          <w:szCs w:val="18"/>
          <w:lang w:val="en-GB"/>
        </w:rPr>
        <w:t>average</w:t>
      </w:r>
      <w:r w:rsidRPr="00E9040B">
        <w:rPr>
          <w:rFonts w:asciiTheme="minorHAnsi" w:hAnsiTheme="minorHAnsi"/>
          <w:i/>
          <w:sz w:val="18"/>
          <w:szCs w:val="18"/>
          <w:lang w:val="en-GB"/>
        </w:rPr>
        <w:t xml:space="preserve"> for</w:t>
      </w:r>
      <w:r w:rsidR="003631B9" w:rsidRPr="00E9040B">
        <w:rPr>
          <w:rFonts w:asciiTheme="minorHAnsi" w:hAnsiTheme="minorHAnsi"/>
          <w:i/>
          <w:sz w:val="18"/>
          <w:szCs w:val="18"/>
          <w:lang w:val="en-GB"/>
        </w:rPr>
        <w:t xml:space="preserve"> adult men and women</w:t>
      </w:r>
      <w:r w:rsidRPr="00E9040B">
        <w:rPr>
          <w:rFonts w:asciiTheme="minorHAnsi" w:hAnsiTheme="minorHAnsi"/>
          <w:i/>
          <w:sz w:val="18"/>
          <w:szCs w:val="18"/>
          <w:lang w:val="en-GB"/>
        </w:rPr>
        <w:br/>
      </w:r>
      <w:proofErr w:type="spellStart"/>
      <w:r w:rsidRPr="00E9040B">
        <w:rPr>
          <w:rFonts w:asciiTheme="minorHAnsi" w:hAnsiTheme="minorHAnsi" w:cs="Sabon-Roman"/>
          <w:i/>
          <w:sz w:val="18"/>
          <w:szCs w:val="18"/>
          <w:vertAlign w:val="superscript"/>
          <w:lang w:val="en-GB"/>
        </w:rPr>
        <w:t>b</w:t>
      </w:r>
      <w:r w:rsidR="00E9040B" w:rsidRPr="00E9040B">
        <w:rPr>
          <w:rFonts w:asciiTheme="minorHAnsi" w:hAnsiTheme="minorHAnsi" w:cs="Sabon-Roman"/>
          <w:i/>
          <w:sz w:val="18"/>
          <w:szCs w:val="18"/>
          <w:lang w:val="en-GB"/>
        </w:rPr>
        <w:t>Quantities</w:t>
      </w:r>
      <w:proofErr w:type="spellEnd"/>
      <w:r w:rsidR="00E9040B" w:rsidRPr="00E9040B">
        <w:rPr>
          <w:rFonts w:asciiTheme="minorHAnsi" w:hAnsiTheme="minorHAnsi" w:cs="Sabon-Roman"/>
          <w:i/>
          <w:sz w:val="18"/>
          <w:szCs w:val="18"/>
          <w:lang w:val="en-GB"/>
        </w:rPr>
        <w:t xml:space="preserve"> based on </w:t>
      </w:r>
      <w:r w:rsidRPr="00E9040B">
        <w:rPr>
          <w:rFonts w:asciiTheme="minorHAnsi" w:hAnsiTheme="minorHAnsi"/>
          <w:i/>
          <w:sz w:val="18"/>
          <w:szCs w:val="18"/>
          <w:lang w:val="en-GB"/>
        </w:rPr>
        <w:t>most recent data available from 2011 from the Food Balance Sheets accounting for food imports, exports and waste</w:t>
      </w:r>
    </w:p>
    <w:p w:rsidR="00EE1312" w:rsidRPr="005D03B5" w:rsidRDefault="00EE1312" w:rsidP="00EE1312">
      <w:pPr>
        <w:keepNext/>
        <w:keepLines/>
        <w:spacing w:before="240" w:after="0" w:line="480" w:lineRule="auto"/>
        <w:jc w:val="both"/>
        <w:outlineLvl w:val="2"/>
        <w:rPr>
          <w:rFonts w:ascii="Calibri" w:eastAsia="Times New Roman" w:hAnsi="Calibri" w:cs="Times New Roman"/>
          <w:b/>
          <w:bCs/>
          <w:sz w:val="28"/>
          <w:lang w:val="en-GB"/>
        </w:rPr>
      </w:pPr>
      <w:r>
        <w:rPr>
          <w:rFonts w:ascii="Calibri" w:eastAsia="Times New Roman" w:hAnsi="Calibri" w:cs="Times New Roman"/>
          <w:b/>
          <w:bCs/>
          <w:sz w:val="28"/>
          <w:lang w:val="en-GB"/>
        </w:rPr>
        <w:t>References</w:t>
      </w:r>
    </w:p>
    <w:p w:rsidR="008F47B1" w:rsidRPr="00EE1312" w:rsidRDefault="005D03B5" w:rsidP="00EE1312">
      <w:pPr>
        <w:pStyle w:val="EndNoteBibliography"/>
        <w:spacing w:after="0"/>
        <w:ind w:left="703" w:hanging="703"/>
        <w:contextualSpacing/>
        <w:rPr>
          <w:rFonts w:asciiTheme="minorHAnsi" w:hAnsiTheme="minorHAnsi"/>
          <w:sz w:val="18"/>
          <w:szCs w:val="18"/>
        </w:rPr>
      </w:pPr>
      <w:r w:rsidRPr="00EE1312">
        <w:rPr>
          <w:rFonts w:asciiTheme="minorHAnsi" w:hAnsiTheme="minorHAnsi"/>
          <w:sz w:val="18"/>
          <w:szCs w:val="18"/>
        </w:rPr>
        <w:fldChar w:fldCharType="begin"/>
      </w:r>
      <w:r w:rsidRPr="00EE1312">
        <w:rPr>
          <w:rFonts w:asciiTheme="minorHAnsi" w:hAnsiTheme="minorHAnsi"/>
          <w:sz w:val="18"/>
          <w:szCs w:val="18"/>
        </w:rPr>
        <w:instrText xml:space="preserve"> ADDIN EN.REFLIST </w:instrText>
      </w:r>
      <w:r w:rsidRPr="00EE1312">
        <w:rPr>
          <w:rFonts w:asciiTheme="minorHAnsi" w:hAnsiTheme="minorHAnsi"/>
          <w:sz w:val="18"/>
          <w:szCs w:val="18"/>
        </w:rPr>
        <w:fldChar w:fldCharType="separate"/>
      </w:r>
      <w:r w:rsidR="008F47B1" w:rsidRPr="00EE1312">
        <w:rPr>
          <w:rFonts w:asciiTheme="minorHAnsi" w:hAnsiTheme="minorHAnsi"/>
          <w:sz w:val="18"/>
          <w:szCs w:val="18"/>
        </w:rPr>
        <w:t>1.</w:t>
      </w:r>
      <w:r w:rsidR="008F47B1" w:rsidRPr="00EE1312">
        <w:rPr>
          <w:rFonts w:asciiTheme="minorHAnsi" w:hAnsiTheme="minorHAnsi"/>
          <w:sz w:val="18"/>
          <w:szCs w:val="18"/>
        </w:rPr>
        <w:tab/>
        <w:t>FAO, INFOODS, ECOWAS/WAHO, Bioversity International. West African Food Composition Table. Rome, Italy: FAO; 2012.</w:t>
      </w:r>
    </w:p>
    <w:p w:rsidR="008F47B1" w:rsidRPr="00EE1312" w:rsidRDefault="008F47B1" w:rsidP="00EE1312">
      <w:pPr>
        <w:pStyle w:val="EndNoteBibliography"/>
        <w:spacing w:after="0"/>
        <w:ind w:left="705" w:hanging="705"/>
        <w:rPr>
          <w:rFonts w:asciiTheme="minorHAnsi" w:hAnsiTheme="minorHAnsi"/>
          <w:sz w:val="18"/>
          <w:szCs w:val="18"/>
        </w:rPr>
      </w:pPr>
      <w:r w:rsidRPr="00EE1312">
        <w:rPr>
          <w:rFonts w:asciiTheme="minorHAnsi" w:hAnsiTheme="minorHAnsi"/>
          <w:sz w:val="18"/>
          <w:szCs w:val="18"/>
        </w:rPr>
        <w:t>2.</w:t>
      </w:r>
      <w:r w:rsidRPr="00EE1312">
        <w:rPr>
          <w:rFonts w:asciiTheme="minorHAnsi" w:hAnsiTheme="minorHAnsi"/>
          <w:sz w:val="18"/>
          <w:szCs w:val="18"/>
        </w:rPr>
        <w:tab/>
        <w:t xml:space="preserve">USDA Nutrient Data Laboratory. USDA National Nutrient Database for Standard Reference, Release 28 2015. Version Current: September 2015:[Available from: </w:t>
      </w:r>
      <w:hyperlink r:id="rId5" w:history="1">
        <w:r w:rsidRPr="00EE1312">
          <w:rPr>
            <w:rStyle w:val="Hyperlink"/>
            <w:rFonts w:asciiTheme="minorHAnsi" w:hAnsiTheme="minorHAnsi"/>
            <w:sz w:val="18"/>
            <w:szCs w:val="18"/>
          </w:rPr>
          <w:t>http://www.ars.usda.gov/nea/bhnrc/ndl</w:t>
        </w:r>
      </w:hyperlink>
      <w:r w:rsidRPr="00EE1312">
        <w:rPr>
          <w:rFonts w:asciiTheme="minorHAnsi" w:hAnsiTheme="minorHAnsi"/>
          <w:sz w:val="18"/>
          <w:szCs w:val="18"/>
        </w:rPr>
        <w:t>.</w:t>
      </w:r>
    </w:p>
    <w:p w:rsidR="008F47B1" w:rsidRPr="00EE1312" w:rsidRDefault="008F47B1" w:rsidP="00EE1312">
      <w:pPr>
        <w:pStyle w:val="EndNoteBibliography"/>
        <w:spacing w:after="0"/>
        <w:ind w:left="705" w:hanging="705"/>
        <w:rPr>
          <w:rFonts w:asciiTheme="minorHAnsi" w:hAnsiTheme="minorHAnsi"/>
          <w:sz w:val="18"/>
          <w:szCs w:val="18"/>
        </w:rPr>
      </w:pPr>
      <w:r w:rsidRPr="00EE1312">
        <w:rPr>
          <w:rFonts w:asciiTheme="minorHAnsi" w:hAnsiTheme="minorHAnsi"/>
          <w:sz w:val="18"/>
          <w:szCs w:val="18"/>
        </w:rPr>
        <w:t>3.</w:t>
      </w:r>
      <w:r w:rsidRPr="00EE1312">
        <w:rPr>
          <w:rFonts w:asciiTheme="minorHAnsi" w:hAnsiTheme="minorHAnsi"/>
          <w:sz w:val="18"/>
          <w:szCs w:val="18"/>
        </w:rPr>
        <w:tab/>
        <w:t>Vásquez-Caicedo AL, Bell S, Hartmann B. Report on collection of rules on use of recipe calculation procedures including the use of yield and retention factors for imputing nutrient values for composite foods (D2.2.9). EuroFIR. 2008.</w:t>
      </w:r>
    </w:p>
    <w:p w:rsidR="008F47B1" w:rsidRPr="00EE1312" w:rsidRDefault="008F47B1" w:rsidP="00EE1312">
      <w:pPr>
        <w:pStyle w:val="EndNoteBibliography"/>
        <w:spacing w:after="0"/>
        <w:ind w:left="705" w:hanging="705"/>
        <w:rPr>
          <w:rFonts w:asciiTheme="minorHAnsi" w:hAnsiTheme="minorHAnsi"/>
          <w:sz w:val="18"/>
          <w:szCs w:val="18"/>
        </w:rPr>
      </w:pPr>
      <w:r w:rsidRPr="00EE1312">
        <w:rPr>
          <w:rFonts w:asciiTheme="minorHAnsi" w:hAnsiTheme="minorHAnsi"/>
          <w:sz w:val="18"/>
          <w:szCs w:val="18"/>
        </w:rPr>
        <w:t>4.</w:t>
      </w:r>
      <w:r w:rsidRPr="00EE1312">
        <w:rPr>
          <w:rFonts w:asciiTheme="minorHAnsi" w:hAnsiTheme="minorHAnsi"/>
          <w:sz w:val="18"/>
          <w:szCs w:val="18"/>
        </w:rPr>
        <w:tab/>
        <w:t>FAO. Food energy – methods of analysis and conversion factors. Report of a technical workshop (FAO food and nutrition paper 77). Rome: Food and Agriculture Organisation. 2003.</w:t>
      </w:r>
    </w:p>
    <w:p w:rsidR="008F47B1" w:rsidRPr="00EE1312" w:rsidRDefault="008F47B1" w:rsidP="00EE1312">
      <w:pPr>
        <w:pStyle w:val="EndNoteBibliography"/>
        <w:spacing w:after="0"/>
        <w:ind w:left="705" w:hanging="705"/>
        <w:rPr>
          <w:rFonts w:asciiTheme="minorHAnsi" w:hAnsiTheme="minorHAnsi"/>
          <w:sz w:val="18"/>
          <w:szCs w:val="18"/>
        </w:rPr>
      </w:pPr>
      <w:r w:rsidRPr="00EE1312">
        <w:rPr>
          <w:rFonts w:asciiTheme="minorHAnsi" w:hAnsiTheme="minorHAnsi"/>
          <w:sz w:val="18"/>
          <w:szCs w:val="18"/>
        </w:rPr>
        <w:t>5.</w:t>
      </w:r>
      <w:r w:rsidRPr="00EE1312">
        <w:rPr>
          <w:rFonts w:asciiTheme="minorHAnsi" w:hAnsiTheme="minorHAnsi"/>
          <w:sz w:val="18"/>
          <w:szCs w:val="18"/>
        </w:rPr>
        <w:tab/>
        <w:t>Ferguson EL, Darmon N, Fahmida U, Fitriyanti S, Harper TB, Premachandra IM. Design of optimal food-based complementary feeding recommendations and identification of key "problem nutrients" using goal programming. The Journal of nutrition. 2006;136:2399-404.</w:t>
      </w:r>
    </w:p>
    <w:p w:rsidR="00A81923" w:rsidRPr="00EE1312" w:rsidRDefault="008F47B1" w:rsidP="00EE1312">
      <w:pPr>
        <w:pStyle w:val="EndNoteBibliography"/>
        <w:ind w:left="705" w:hanging="705"/>
        <w:rPr>
          <w:rFonts w:asciiTheme="minorHAnsi" w:hAnsiTheme="minorHAnsi"/>
          <w:sz w:val="18"/>
          <w:szCs w:val="18"/>
        </w:rPr>
      </w:pPr>
      <w:r w:rsidRPr="00EE1312">
        <w:rPr>
          <w:rFonts w:asciiTheme="minorHAnsi" w:hAnsiTheme="minorHAnsi"/>
          <w:sz w:val="18"/>
          <w:szCs w:val="18"/>
        </w:rPr>
        <w:t>6.</w:t>
      </w:r>
      <w:r w:rsidRPr="00EE1312">
        <w:rPr>
          <w:rFonts w:asciiTheme="minorHAnsi" w:hAnsiTheme="minorHAnsi"/>
          <w:sz w:val="18"/>
          <w:szCs w:val="18"/>
        </w:rPr>
        <w:tab/>
        <w:t>Daelmans B, Ferguson E, Lutter CK, Singh N, Pachón H, Creed-Kanashiro H, et al. Designing appropriate complementary feeding recommendations: tools for programmatic action. Maternal &amp; child nutrition. 2013;9 Suppl 2:116-30.</w:t>
      </w:r>
      <w:r w:rsidR="005D03B5" w:rsidRPr="00EE1312">
        <w:rPr>
          <w:rFonts w:asciiTheme="minorHAnsi" w:hAnsiTheme="minorHAnsi"/>
          <w:sz w:val="18"/>
          <w:szCs w:val="18"/>
        </w:rPr>
        <w:fldChar w:fldCharType="end"/>
      </w:r>
    </w:p>
    <w:sectPr w:rsidR="00A81923" w:rsidRPr="00EE13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Vancouver&lt;/Style&gt;&lt;LeftDelim&gt;{&lt;/LeftDelim&gt;&lt;RightDelim&gt;}&lt;/RightDelim&gt;&lt;FontName&gt;Verdana&lt;/FontName&gt;&lt;FontSize&gt;8&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ss2rxdjtd9w7e20v2v20570s2sa5d09rxz&quot;&gt;Paper 2_final&lt;record-ids&gt;&lt;item&gt;30&lt;/item&gt;&lt;item&gt;38&lt;/item&gt;&lt;item&gt;39&lt;/item&gt;&lt;item&gt;45&lt;/item&gt;&lt;item&gt;121&lt;/item&gt;&lt;item&gt;148&lt;/item&gt;&lt;/record-ids&gt;&lt;/item&gt;&lt;/Libraries&gt;"/>
  </w:docVars>
  <w:rsids>
    <w:rsidRoot w:val="00B61504"/>
    <w:rsid w:val="001D779E"/>
    <w:rsid w:val="002B6D75"/>
    <w:rsid w:val="003024A5"/>
    <w:rsid w:val="003631B9"/>
    <w:rsid w:val="003A1466"/>
    <w:rsid w:val="00492105"/>
    <w:rsid w:val="004B5448"/>
    <w:rsid w:val="005D03B5"/>
    <w:rsid w:val="005F55CA"/>
    <w:rsid w:val="00631640"/>
    <w:rsid w:val="006610CF"/>
    <w:rsid w:val="007143BB"/>
    <w:rsid w:val="008964FC"/>
    <w:rsid w:val="008F47B1"/>
    <w:rsid w:val="00AD7B5A"/>
    <w:rsid w:val="00AF574B"/>
    <w:rsid w:val="00B121B5"/>
    <w:rsid w:val="00B61504"/>
    <w:rsid w:val="00B62F3A"/>
    <w:rsid w:val="00BE0498"/>
    <w:rsid w:val="00C84121"/>
    <w:rsid w:val="00CF1D88"/>
    <w:rsid w:val="00E9040B"/>
    <w:rsid w:val="00EC0308"/>
    <w:rsid w:val="00EE1312"/>
    <w:rsid w:val="00F03C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6DBD9-8767-4CE2-A47F-8E995F6B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nl-NL" w:eastAsia="en-US" w:bidi="ar-SA"/>
      </w:rPr>
    </w:rPrDefault>
    <w:pPrDefault>
      <w:pPr>
        <w:spacing w:after="160" w:line="30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61504"/>
    <w:pPr>
      <w:keepNext/>
      <w:keepLines/>
      <w:spacing w:before="440" w:after="240" w:line="480" w:lineRule="auto"/>
      <w:jc w:val="both"/>
      <w:outlineLvl w:val="1"/>
    </w:pPr>
    <w:rPr>
      <w:rFonts w:asciiTheme="minorHAnsi" w:eastAsiaTheme="majorEastAsia" w:hAnsiTheme="minorHAnsi" w:cstheme="majorBidi"/>
      <w:b/>
      <w:bCs/>
      <w:sz w:val="32"/>
      <w:szCs w:val="26"/>
      <w:lang w:val="en-GB"/>
    </w:rPr>
  </w:style>
  <w:style w:type="paragraph" w:styleId="Heading3">
    <w:name w:val="heading 3"/>
    <w:basedOn w:val="Normal"/>
    <w:next w:val="Normal"/>
    <w:link w:val="Heading3Char"/>
    <w:uiPriority w:val="9"/>
    <w:semiHidden/>
    <w:unhideWhenUsed/>
    <w:qFormat/>
    <w:rsid w:val="00BE04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1504"/>
    <w:rPr>
      <w:rFonts w:asciiTheme="minorHAnsi" w:eastAsiaTheme="majorEastAsia" w:hAnsiTheme="minorHAnsi" w:cstheme="majorBidi"/>
      <w:b/>
      <w:bCs/>
      <w:sz w:val="32"/>
      <w:szCs w:val="26"/>
      <w:lang w:val="en-GB"/>
    </w:rPr>
  </w:style>
  <w:style w:type="character" w:customStyle="1" w:styleId="Heading3Char">
    <w:name w:val="Heading 3 Char"/>
    <w:basedOn w:val="DefaultParagraphFont"/>
    <w:link w:val="Heading3"/>
    <w:uiPriority w:val="9"/>
    <w:semiHidden/>
    <w:rsid w:val="00BE0498"/>
    <w:rPr>
      <w:rFonts w:asciiTheme="majorHAnsi" w:eastAsiaTheme="majorEastAsia" w:hAnsiTheme="majorHAnsi" w:cstheme="majorBidi"/>
      <w:color w:val="1F4D78" w:themeColor="accent1" w:themeShade="7F"/>
      <w:sz w:val="24"/>
      <w:szCs w:val="24"/>
    </w:rPr>
  </w:style>
  <w:style w:type="paragraph" w:styleId="CommentText">
    <w:name w:val="annotation text"/>
    <w:basedOn w:val="Normal"/>
    <w:link w:val="CommentTextChar"/>
    <w:uiPriority w:val="99"/>
    <w:semiHidden/>
    <w:unhideWhenUsed/>
    <w:rsid w:val="005D03B5"/>
    <w:pPr>
      <w:spacing w:line="240" w:lineRule="auto"/>
    </w:pPr>
    <w:rPr>
      <w:sz w:val="20"/>
      <w:szCs w:val="20"/>
    </w:rPr>
  </w:style>
  <w:style w:type="character" w:customStyle="1" w:styleId="CommentTextChar">
    <w:name w:val="Comment Text Char"/>
    <w:basedOn w:val="DefaultParagraphFont"/>
    <w:link w:val="CommentText"/>
    <w:uiPriority w:val="99"/>
    <w:semiHidden/>
    <w:rsid w:val="005D03B5"/>
    <w:rPr>
      <w:sz w:val="20"/>
      <w:szCs w:val="20"/>
    </w:rPr>
  </w:style>
  <w:style w:type="character" w:styleId="CommentReference">
    <w:name w:val="annotation reference"/>
    <w:uiPriority w:val="99"/>
    <w:unhideWhenUsed/>
    <w:rsid w:val="005D03B5"/>
    <w:rPr>
      <w:sz w:val="16"/>
      <w:szCs w:val="16"/>
    </w:rPr>
  </w:style>
  <w:style w:type="paragraph" w:styleId="BalloonText">
    <w:name w:val="Balloon Text"/>
    <w:basedOn w:val="Normal"/>
    <w:link w:val="BalloonTextChar"/>
    <w:uiPriority w:val="99"/>
    <w:semiHidden/>
    <w:unhideWhenUsed/>
    <w:rsid w:val="005D03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3B5"/>
    <w:rPr>
      <w:rFonts w:ascii="Segoe UI" w:hAnsi="Segoe UI" w:cs="Segoe UI"/>
      <w:sz w:val="18"/>
      <w:szCs w:val="18"/>
    </w:rPr>
  </w:style>
  <w:style w:type="paragraph" w:customStyle="1" w:styleId="EndNoteBibliographyTitle">
    <w:name w:val="EndNote Bibliography Title"/>
    <w:basedOn w:val="Normal"/>
    <w:link w:val="EndNoteBibliographyTitleChar"/>
    <w:rsid w:val="005D03B5"/>
    <w:pPr>
      <w:spacing w:after="0"/>
      <w:jc w:val="center"/>
    </w:pPr>
    <w:rPr>
      <w:noProof/>
      <w:sz w:val="16"/>
      <w:lang w:val="en-US"/>
    </w:rPr>
  </w:style>
  <w:style w:type="character" w:customStyle="1" w:styleId="EndNoteBibliographyTitleChar">
    <w:name w:val="EndNote Bibliography Title Char"/>
    <w:basedOn w:val="DefaultParagraphFont"/>
    <w:link w:val="EndNoteBibliographyTitle"/>
    <w:rsid w:val="005D03B5"/>
    <w:rPr>
      <w:noProof/>
      <w:sz w:val="16"/>
      <w:lang w:val="en-US"/>
    </w:rPr>
  </w:style>
  <w:style w:type="paragraph" w:customStyle="1" w:styleId="EndNoteBibliography">
    <w:name w:val="EndNote Bibliography"/>
    <w:basedOn w:val="Normal"/>
    <w:link w:val="EndNoteBibliographyChar"/>
    <w:rsid w:val="005D03B5"/>
    <w:pPr>
      <w:spacing w:line="240" w:lineRule="auto"/>
    </w:pPr>
    <w:rPr>
      <w:noProof/>
      <w:sz w:val="16"/>
      <w:lang w:val="en-US"/>
    </w:rPr>
  </w:style>
  <w:style w:type="character" w:customStyle="1" w:styleId="EndNoteBibliographyChar">
    <w:name w:val="EndNote Bibliography Char"/>
    <w:basedOn w:val="DefaultParagraphFont"/>
    <w:link w:val="EndNoteBibliography"/>
    <w:rsid w:val="005D03B5"/>
    <w:rPr>
      <w:noProof/>
      <w:sz w:val="16"/>
      <w:lang w:val="en-US"/>
    </w:rPr>
  </w:style>
  <w:style w:type="character" w:styleId="Hyperlink">
    <w:name w:val="Hyperlink"/>
    <w:basedOn w:val="DefaultParagraphFont"/>
    <w:uiPriority w:val="99"/>
    <w:unhideWhenUsed/>
    <w:rsid w:val="005D03B5"/>
    <w:rPr>
      <w:color w:val="0563C1" w:themeColor="hyperlink"/>
      <w:u w:val="single"/>
    </w:rPr>
  </w:style>
  <w:style w:type="table" w:styleId="TableGrid">
    <w:name w:val="Table Grid"/>
    <w:basedOn w:val="TableNormal"/>
    <w:uiPriority w:val="59"/>
    <w:rsid w:val="00AF574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
    <w:basedOn w:val="Normal"/>
    <w:link w:val="ListParagraphChar"/>
    <w:uiPriority w:val="34"/>
    <w:qFormat/>
    <w:rsid w:val="00AF574B"/>
    <w:pPr>
      <w:spacing w:after="200" w:line="480" w:lineRule="auto"/>
      <w:ind w:left="720"/>
      <w:contextualSpacing/>
      <w:jc w:val="both"/>
    </w:pPr>
    <w:rPr>
      <w:rFonts w:asciiTheme="minorHAnsi" w:hAnsiTheme="minorHAnsi"/>
      <w:sz w:val="20"/>
      <w:lang w:val="en-GB"/>
    </w:rPr>
  </w:style>
  <w:style w:type="character" w:customStyle="1" w:styleId="ListParagraphChar">
    <w:name w:val="List Paragraph Char"/>
    <w:aliases w:val="Bullet List Char,FooterText Char,List Paragraph1 Char"/>
    <w:link w:val="ListParagraph"/>
    <w:uiPriority w:val="34"/>
    <w:rsid w:val="00AF574B"/>
    <w:rPr>
      <w:rFonts w:asciiTheme="minorHAnsi" w:hAnsiTheme="minorHAnsi"/>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rs.usda.gov/nea/bhnrc/nd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600C8-9377-42F3-A0B5-B80F8F13F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B1CDCFE6.dotm</Template>
  <TotalTime>1</TotalTime>
  <Pages>3</Pages>
  <Words>1824</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Wageningen University and Research</Company>
  <LinksUpToDate>false</LinksUpToDate>
  <CharactersWithSpaces>11839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Jager, Ilse de</dc:creator>
  <cp:keywords/>
  <dc:description/>
  <cp:lastModifiedBy>Jager, Ilse de</cp:lastModifiedBy>
  <cp:revision>2</cp:revision>
  <dcterms:created xsi:type="dcterms:W3CDTF">2018-09-05T17:50:00Z</dcterms:created>
  <dcterms:modified xsi:type="dcterms:W3CDTF">2018-09-05T17:50:00Z</dcterms:modified>
</cp:coreProperties>
</file>