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ECEF9" w14:textId="77777777" w:rsidR="00F7571B" w:rsidRPr="00F7571B" w:rsidRDefault="00F7571B" w:rsidP="00B07A1C">
      <w:pPr>
        <w:spacing w:line="480" w:lineRule="auto"/>
        <w:jc w:val="both"/>
        <w:rPr>
          <w:b/>
          <w:lang w:val="en-GB"/>
        </w:rPr>
      </w:pPr>
      <w:r w:rsidRPr="00F7571B">
        <w:rPr>
          <w:b/>
          <w:lang w:val="en-GB"/>
        </w:rPr>
        <w:t>S1 Text</w:t>
      </w:r>
      <w:r>
        <w:rPr>
          <w:b/>
          <w:lang w:val="en-GB"/>
        </w:rPr>
        <w:t>. Description of CPGs for hepatopancreatobiliary pathologies</w:t>
      </w:r>
    </w:p>
    <w:p w14:paraId="7C471978" w14:textId="77777777" w:rsidR="00F7571B" w:rsidRDefault="00F7571B" w:rsidP="00B07A1C">
      <w:pPr>
        <w:spacing w:line="480" w:lineRule="auto"/>
        <w:jc w:val="both"/>
        <w:rPr>
          <w:lang w:val="en-GB"/>
        </w:rPr>
      </w:pPr>
    </w:p>
    <w:p w14:paraId="4EA909E7" w14:textId="77777777" w:rsidR="00F7571B" w:rsidRPr="00F7571B" w:rsidRDefault="00F7571B" w:rsidP="00B07A1C">
      <w:pPr>
        <w:spacing w:line="480" w:lineRule="auto"/>
        <w:jc w:val="both"/>
        <w:rPr>
          <w:b/>
          <w:lang w:val="en-GB"/>
        </w:rPr>
      </w:pPr>
      <w:r w:rsidRPr="00F7571B">
        <w:rPr>
          <w:b/>
          <w:lang w:val="en-GB"/>
        </w:rPr>
        <w:t>Acute cholangitis</w:t>
      </w:r>
    </w:p>
    <w:p w14:paraId="45EDBFC1" w14:textId="75B4C7E1" w:rsidR="00F7571B" w:rsidRDefault="00F7571B" w:rsidP="00B07A1C">
      <w:pPr>
        <w:spacing w:line="480" w:lineRule="auto"/>
        <w:ind w:firstLine="720"/>
        <w:jc w:val="both"/>
        <w:rPr>
          <w:lang w:val="en-GB"/>
        </w:rPr>
      </w:pPr>
      <w:r>
        <w:rPr>
          <w:lang w:val="en-GB"/>
        </w:rPr>
        <w:t>The Russian Society of Surgeons created CPGs for treating acute cholangitis in 2016 [10].</w:t>
      </w:r>
      <w:r w:rsidR="00F73A61">
        <w:rPr>
          <w:lang w:val="en-GB"/>
        </w:rPr>
        <w:t xml:space="preserve"> </w:t>
      </w:r>
      <w:r w:rsidR="00F708F7">
        <w:rPr>
          <w:lang w:val="en-GB"/>
        </w:rPr>
        <w:t>It is</w:t>
      </w:r>
      <w:r w:rsidR="00CC3734">
        <w:rPr>
          <w:lang w:val="en-GB"/>
        </w:rPr>
        <w:t xml:space="preserve"> </w:t>
      </w:r>
      <w:r w:rsidR="009E3D73">
        <w:rPr>
          <w:lang w:val="en-GB"/>
        </w:rPr>
        <w:t>24 pages long</w:t>
      </w:r>
      <w:r w:rsidR="00455DF5">
        <w:rPr>
          <w:lang w:val="en-GB"/>
        </w:rPr>
        <w:t xml:space="preserve"> </w:t>
      </w:r>
      <w:r w:rsidR="00F708F7">
        <w:rPr>
          <w:lang w:val="en-GB"/>
        </w:rPr>
        <w:t>(</w:t>
      </w:r>
      <w:r w:rsidR="00CC3734">
        <w:rPr>
          <w:lang w:val="en-GB"/>
        </w:rPr>
        <w:t>1.5-line spacing</w:t>
      </w:r>
      <w:r w:rsidR="00F708F7">
        <w:rPr>
          <w:lang w:val="en-GB"/>
        </w:rPr>
        <w:t>)</w:t>
      </w:r>
      <w:r w:rsidR="009E3D73">
        <w:rPr>
          <w:lang w:val="en-GB"/>
        </w:rPr>
        <w:t xml:space="preserve">, </w:t>
      </w:r>
      <w:r w:rsidR="00F708F7">
        <w:rPr>
          <w:lang w:val="en-GB"/>
        </w:rPr>
        <w:t xml:space="preserve">which </w:t>
      </w:r>
      <w:r w:rsidR="009E3D73">
        <w:rPr>
          <w:lang w:val="en-GB"/>
        </w:rPr>
        <w:t>includ</w:t>
      </w:r>
      <w:r w:rsidR="00F708F7">
        <w:rPr>
          <w:lang w:val="en-GB"/>
        </w:rPr>
        <w:t>es</w:t>
      </w:r>
      <w:r w:rsidR="009E3D73">
        <w:rPr>
          <w:lang w:val="en-GB"/>
        </w:rPr>
        <w:t xml:space="preserve"> 83 references. From those references, 10 are in Russian and 73 are in English. The refer</w:t>
      </w:r>
      <w:r w:rsidR="009E3D73" w:rsidRPr="002C2DC5">
        <w:rPr>
          <w:lang w:val="en-GB"/>
        </w:rPr>
        <w:t>ences are consistently cited in the body of the text. The words “recommended” (</w:t>
      </w:r>
      <w:r w:rsidR="009E3D73" w:rsidRPr="002C2DC5">
        <w:rPr>
          <w:color w:val="000000"/>
        </w:rPr>
        <w:t>рекомендуется</w:t>
      </w:r>
      <w:r w:rsidR="009E3D73" w:rsidRPr="002C2DC5">
        <w:rPr>
          <w:color w:val="000000"/>
          <w:lang w:val="en-US"/>
        </w:rPr>
        <w:t>)</w:t>
      </w:r>
      <w:r w:rsidR="009E3D73">
        <w:rPr>
          <w:lang w:val="en-GB"/>
        </w:rPr>
        <w:t xml:space="preserve"> and “not recommended” </w:t>
      </w:r>
      <w:r w:rsidR="009E3D73" w:rsidRPr="002C2DC5">
        <w:rPr>
          <w:lang w:val="en-GB"/>
        </w:rPr>
        <w:t>(</w:t>
      </w:r>
      <w:r w:rsidR="009E3D73" w:rsidRPr="002C2DC5">
        <w:t>не</w:t>
      </w:r>
      <w:r w:rsidR="009E3D73" w:rsidRPr="002C2DC5">
        <w:rPr>
          <w:lang w:val="en-US"/>
        </w:rPr>
        <w:t xml:space="preserve"> </w:t>
      </w:r>
      <w:r w:rsidR="009E3D73" w:rsidRPr="002C2DC5">
        <w:rPr>
          <w:color w:val="000000"/>
        </w:rPr>
        <w:t>рекомендуется</w:t>
      </w:r>
      <w:r w:rsidR="009E3D73">
        <w:rPr>
          <w:color w:val="000000"/>
          <w:lang w:val="en-US"/>
        </w:rPr>
        <w:t xml:space="preserve">) are </w:t>
      </w:r>
      <w:r w:rsidR="00D43333">
        <w:rPr>
          <w:color w:val="000000"/>
          <w:lang w:val="en-US"/>
        </w:rPr>
        <w:t xml:space="preserve">conveniently </w:t>
      </w:r>
      <w:r w:rsidR="009E3D73">
        <w:rPr>
          <w:color w:val="000000"/>
          <w:lang w:val="en-US"/>
        </w:rPr>
        <w:t>highlighted throughout the text.</w:t>
      </w:r>
      <w:r w:rsidR="009E3D73" w:rsidRPr="002C2DC5">
        <w:rPr>
          <w:lang w:val="en-GB"/>
        </w:rPr>
        <w:t xml:space="preserve"> </w:t>
      </w:r>
      <w:r w:rsidR="00270779">
        <w:rPr>
          <w:lang w:val="en-GB"/>
        </w:rPr>
        <w:t>It does not have a title page and the authors are not listed. It just states that this is a document by the Russian Society of Surgeons</w:t>
      </w:r>
      <w:r w:rsidR="009E3D73">
        <w:rPr>
          <w:lang w:val="en-GB"/>
        </w:rPr>
        <w:t xml:space="preserve"> and presents an ICD-10 code for acute cholangitis</w:t>
      </w:r>
      <w:r w:rsidR="00270779">
        <w:rPr>
          <w:lang w:val="en-GB"/>
        </w:rPr>
        <w:t xml:space="preserve">. </w:t>
      </w:r>
      <w:r w:rsidR="00D848B1">
        <w:rPr>
          <w:lang w:val="en-GB"/>
        </w:rPr>
        <w:t>The CPG begins with a brief explanation of what cholangitis is</w:t>
      </w:r>
      <w:r w:rsidR="00064866">
        <w:rPr>
          <w:lang w:val="en-GB"/>
        </w:rPr>
        <w:t xml:space="preserve">, how it is normally treated, and what the latest developments in treatment are. </w:t>
      </w:r>
    </w:p>
    <w:p w14:paraId="4CE22AFA" w14:textId="0A9778A0" w:rsidR="002C2DC5" w:rsidRPr="00270779" w:rsidRDefault="002C2DC5" w:rsidP="00B07A1C">
      <w:pPr>
        <w:spacing w:line="480" w:lineRule="auto"/>
        <w:ind w:firstLine="720"/>
        <w:jc w:val="both"/>
        <w:rPr>
          <w:lang w:val="en-GB"/>
        </w:rPr>
      </w:pPr>
      <w:r>
        <w:rPr>
          <w:lang w:val="en-GB"/>
        </w:rPr>
        <w:t>The rest of the CPG is divided into</w:t>
      </w:r>
      <w:r w:rsidR="00837034">
        <w:rPr>
          <w:lang w:val="en-GB"/>
        </w:rPr>
        <w:t xml:space="preserve"> 8</w:t>
      </w:r>
      <w:r>
        <w:rPr>
          <w:lang w:val="en-GB"/>
        </w:rPr>
        <w:t xml:space="preserve"> sections and the recommendations are made within those sections. Th</w:t>
      </w:r>
      <w:r w:rsidR="00837034">
        <w:rPr>
          <w:lang w:val="en-GB"/>
        </w:rPr>
        <w:t>e</w:t>
      </w:r>
      <w:r>
        <w:rPr>
          <w:lang w:val="en-GB"/>
        </w:rPr>
        <w:t xml:space="preserve"> sections are: </w:t>
      </w:r>
      <w:r w:rsidRPr="00F73A61">
        <w:rPr>
          <w:i/>
          <w:lang w:val="en-GB"/>
        </w:rPr>
        <w:t>diagnostic criteria</w:t>
      </w:r>
      <w:r>
        <w:rPr>
          <w:lang w:val="en-GB"/>
        </w:rPr>
        <w:t xml:space="preserve"> (which includes a table with the three grades of acute cholangitis)</w:t>
      </w:r>
      <w:r w:rsidR="001A7BEC">
        <w:rPr>
          <w:lang w:val="en-GB"/>
        </w:rPr>
        <w:t>;</w:t>
      </w:r>
      <w:r>
        <w:rPr>
          <w:lang w:val="en-GB"/>
        </w:rPr>
        <w:t xml:space="preserve"> </w:t>
      </w:r>
      <w:r w:rsidRPr="00F73A61">
        <w:rPr>
          <w:i/>
          <w:lang w:val="en-GB"/>
        </w:rPr>
        <w:t>examples of formulating a detailed diagnosis</w:t>
      </w:r>
      <w:r w:rsidR="001A7BEC">
        <w:rPr>
          <w:lang w:val="en-GB"/>
        </w:rPr>
        <w:t>;</w:t>
      </w:r>
      <w:r>
        <w:rPr>
          <w:lang w:val="en-GB"/>
        </w:rPr>
        <w:t xml:space="preserve"> </w:t>
      </w:r>
      <w:r w:rsidRPr="00F73A61">
        <w:rPr>
          <w:i/>
          <w:lang w:val="en-GB"/>
        </w:rPr>
        <w:t xml:space="preserve">the main </w:t>
      </w:r>
      <w:r w:rsidR="00F73A61">
        <w:rPr>
          <w:i/>
          <w:lang w:val="en-GB"/>
        </w:rPr>
        <w:t>methods</w:t>
      </w:r>
      <w:r w:rsidRPr="00F73A61">
        <w:rPr>
          <w:i/>
          <w:lang w:val="en-GB"/>
        </w:rPr>
        <w:t xml:space="preserve"> of treatment</w:t>
      </w:r>
      <w:r w:rsidR="00F73A61">
        <w:rPr>
          <w:lang w:val="en-GB"/>
        </w:rPr>
        <w:t xml:space="preserve"> (which includes a descriptive table with details for each grade of cholangitis and a treatment checklist developed by a Russian scientist)</w:t>
      </w:r>
      <w:r w:rsidR="001A7BEC">
        <w:rPr>
          <w:lang w:val="en-GB"/>
        </w:rPr>
        <w:t>;</w:t>
      </w:r>
      <w:r>
        <w:rPr>
          <w:lang w:val="en-GB"/>
        </w:rPr>
        <w:t xml:space="preserve"> </w:t>
      </w:r>
      <w:r w:rsidR="00F73A61" w:rsidRPr="00F73A61">
        <w:rPr>
          <w:i/>
          <w:lang w:val="en-GB"/>
        </w:rPr>
        <w:t>indications and methods of drainage o</w:t>
      </w:r>
      <w:r w:rsidR="00F73A61">
        <w:rPr>
          <w:i/>
          <w:lang w:val="en-GB"/>
        </w:rPr>
        <w:t>f bile ducts</w:t>
      </w:r>
      <w:r w:rsidR="001A7BEC">
        <w:rPr>
          <w:lang w:val="en-GB"/>
        </w:rPr>
        <w:t>;</w:t>
      </w:r>
      <w:r w:rsidR="00F73A61">
        <w:rPr>
          <w:lang w:val="en-GB"/>
        </w:rPr>
        <w:t xml:space="preserve"> </w:t>
      </w:r>
      <w:r w:rsidR="00F73A61" w:rsidRPr="00F73A61">
        <w:rPr>
          <w:i/>
          <w:lang w:val="en-GB"/>
        </w:rPr>
        <w:t>surgical bile drainage</w:t>
      </w:r>
      <w:r w:rsidR="001A7BEC">
        <w:rPr>
          <w:lang w:val="en-GB"/>
        </w:rPr>
        <w:t>;</w:t>
      </w:r>
      <w:r w:rsidR="00F73A61" w:rsidRPr="00F73A61">
        <w:rPr>
          <w:i/>
          <w:lang w:val="en-GB"/>
        </w:rPr>
        <w:t xml:space="preserve"> </w:t>
      </w:r>
      <w:r w:rsidR="00CC3734" w:rsidRPr="00F73A61">
        <w:rPr>
          <w:i/>
          <w:lang w:val="en-GB"/>
        </w:rPr>
        <w:t>anaesthesiology</w:t>
      </w:r>
      <w:r w:rsidR="00F73A61" w:rsidRPr="00F73A61">
        <w:rPr>
          <w:i/>
          <w:lang w:val="en-GB"/>
        </w:rPr>
        <w:t xml:space="preserve"> support of surgery</w:t>
      </w:r>
      <w:r w:rsidR="001A7BEC">
        <w:rPr>
          <w:lang w:val="en-GB"/>
        </w:rPr>
        <w:t>;</w:t>
      </w:r>
      <w:r w:rsidR="00F73A61" w:rsidRPr="00F73A61">
        <w:rPr>
          <w:i/>
          <w:lang w:val="en-GB"/>
        </w:rPr>
        <w:t xml:space="preserve"> postoperative period</w:t>
      </w:r>
      <w:r w:rsidR="001A7BEC">
        <w:rPr>
          <w:lang w:val="en-GB"/>
        </w:rPr>
        <w:t>;</w:t>
      </w:r>
      <w:r w:rsidR="00F73A61" w:rsidRPr="00F73A61">
        <w:rPr>
          <w:i/>
          <w:lang w:val="en-GB"/>
        </w:rPr>
        <w:t xml:space="preserve"> </w:t>
      </w:r>
      <w:r w:rsidR="00F73A61" w:rsidRPr="00F73A61">
        <w:rPr>
          <w:lang w:val="en-GB"/>
        </w:rPr>
        <w:t>and</w:t>
      </w:r>
      <w:r w:rsidR="00F73A61">
        <w:rPr>
          <w:i/>
          <w:lang w:val="en-GB"/>
        </w:rPr>
        <w:t xml:space="preserve"> antibacterial</w:t>
      </w:r>
      <w:r w:rsidR="00F73A61" w:rsidRPr="00F73A61">
        <w:rPr>
          <w:i/>
          <w:lang w:val="en-GB"/>
        </w:rPr>
        <w:t xml:space="preserve"> therapy</w:t>
      </w:r>
      <w:r w:rsidR="00F73A61">
        <w:rPr>
          <w:lang w:val="en-GB"/>
        </w:rPr>
        <w:t xml:space="preserve">. </w:t>
      </w:r>
      <w:r w:rsidR="00270779">
        <w:rPr>
          <w:lang w:val="en-GB"/>
        </w:rPr>
        <w:t>The evidence levels A</w:t>
      </w:r>
      <w:r w:rsidR="00CC3734">
        <w:rPr>
          <w:lang w:val="en-GB"/>
        </w:rPr>
        <w:t xml:space="preserve"> to </w:t>
      </w:r>
      <w:r w:rsidR="00270779">
        <w:rPr>
          <w:lang w:val="en-GB"/>
        </w:rPr>
        <w:t>D are consistently used and bolded</w:t>
      </w:r>
      <w:r w:rsidR="00837034">
        <w:rPr>
          <w:lang w:val="en-GB"/>
        </w:rPr>
        <w:t xml:space="preserve"> throughout the text</w:t>
      </w:r>
      <w:r w:rsidR="00270779">
        <w:rPr>
          <w:lang w:val="en-GB"/>
        </w:rPr>
        <w:t xml:space="preserve">, but there is no reference as to what those levels symbolize. </w:t>
      </w:r>
    </w:p>
    <w:p w14:paraId="1B9786D3" w14:textId="77777777" w:rsidR="00F7571B" w:rsidRDefault="00F7571B" w:rsidP="00B07A1C">
      <w:pPr>
        <w:spacing w:line="480" w:lineRule="auto"/>
        <w:jc w:val="both"/>
        <w:rPr>
          <w:lang w:val="en-GB"/>
        </w:rPr>
      </w:pPr>
      <w:r>
        <w:rPr>
          <w:lang w:val="en-GB"/>
        </w:rPr>
        <w:tab/>
      </w:r>
    </w:p>
    <w:p w14:paraId="1F1C0381" w14:textId="77777777" w:rsidR="00F7571B" w:rsidRPr="00D848B1" w:rsidRDefault="00F7571B" w:rsidP="00B07A1C">
      <w:pPr>
        <w:spacing w:line="480" w:lineRule="auto"/>
        <w:jc w:val="both"/>
        <w:rPr>
          <w:b/>
          <w:lang w:val="en-GB"/>
        </w:rPr>
      </w:pPr>
      <w:r w:rsidRPr="00D848B1">
        <w:rPr>
          <w:b/>
          <w:lang w:val="en-GB"/>
        </w:rPr>
        <w:t xml:space="preserve">Acute cholecystitis </w:t>
      </w:r>
      <w:r w:rsidR="00270779">
        <w:rPr>
          <w:b/>
          <w:lang w:val="en-GB"/>
        </w:rPr>
        <w:t>1</w:t>
      </w:r>
    </w:p>
    <w:p w14:paraId="10BF1DD8" w14:textId="07E55C94" w:rsidR="00270779" w:rsidRDefault="00270779" w:rsidP="00B07A1C">
      <w:pPr>
        <w:spacing w:line="480" w:lineRule="auto"/>
        <w:ind w:firstLine="720"/>
        <w:jc w:val="both"/>
        <w:rPr>
          <w:lang w:val="en-US"/>
        </w:rPr>
      </w:pPr>
      <w:r>
        <w:rPr>
          <w:lang w:val="en-GB"/>
        </w:rPr>
        <w:t>The Russian Society of Surgeons created a national CPG for treating acute cholecystitis in 2015 [14].</w:t>
      </w:r>
      <w:r w:rsidR="009E3D73">
        <w:rPr>
          <w:lang w:val="en-GB"/>
        </w:rPr>
        <w:t xml:space="preserve"> </w:t>
      </w:r>
      <w:r w:rsidR="00837034">
        <w:rPr>
          <w:lang w:val="en-GB"/>
        </w:rPr>
        <w:t>It is 20 pages long</w:t>
      </w:r>
      <w:r w:rsidR="00455DF5">
        <w:rPr>
          <w:lang w:val="en-GB"/>
        </w:rPr>
        <w:t xml:space="preserve"> (</w:t>
      </w:r>
      <w:r w:rsidR="00CC3734">
        <w:rPr>
          <w:lang w:val="en-GB"/>
        </w:rPr>
        <w:t>1.15-line</w:t>
      </w:r>
      <w:r w:rsidR="00455DF5">
        <w:rPr>
          <w:lang w:val="en-GB"/>
        </w:rPr>
        <w:t xml:space="preserve"> spacing)</w:t>
      </w:r>
      <w:r w:rsidR="00837034">
        <w:rPr>
          <w:lang w:val="en-GB"/>
        </w:rPr>
        <w:t xml:space="preserve">, which includes the title page and 130 references. </w:t>
      </w:r>
      <w:r w:rsidR="00837034">
        <w:rPr>
          <w:lang w:val="en-GB"/>
        </w:rPr>
        <w:lastRenderedPageBreak/>
        <w:t>From those references, 15 are in Russian and 115 are in English. There are no in-text citation</w:t>
      </w:r>
      <w:r w:rsidR="00CC3734">
        <w:rPr>
          <w:lang w:val="en-GB"/>
        </w:rPr>
        <w:t>s</w:t>
      </w:r>
      <w:r w:rsidR="00837034">
        <w:rPr>
          <w:lang w:val="en-GB"/>
        </w:rPr>
        <w:t xml:space="preserve"> or any mention of the references.</w:t>
      </w:r>
      <w:r>
        <w:rPr>
          <w:lang w:val="en-GB"/>
        </w:rPr>
        <w:t xml:space="preserve"> </w:t>
      </w:r>
      <w:r w:rsidR="00837034">
        <w:rPr>
          <w:lang w:val="en-GB"/>
        </w:rPr>
        <w:t>The CPG</w:t>
      </w:r>
      <w:r>
        <w:rPr>
          <w:lang w:val="en-GB"/>
        </w:rPr>
        <w:t xml:space="preserve"> begins with a title page, which proclaims this CPG as national and states that it was developed at the X</w:t>
      </w:r>
      <w:r w:rsidR="009E3D73">
        <w:rPr>
          <w:lang w:val="en-GB"/>
        </w:rPr>
        <w:t>II meeting of Russian surgeons</w:t>
      </w:r>
      <w:r>
        <w:rPr>
          <w:lang w:val="en-GB"/>
        </w:rPr>
        <w:t xml:space="preserve"> in Rostov-</w:t>
      </w:r>
      <w:proofErr w:type="gramStart"/>
      <w:r>
        <w:rPr>
          <w:lang w:val="en-GB"/>
        </w:rPr>
        <w:t>on</w:t>
      </w:r>
      <w:proofErr w:type="gramEnd"/>
      <w:r>
        <w:rPr>
          <w:lang w:val="en-GB"/>
        </w:rPr>
        <w:t xml:space="preserve">-Don. </w:t>
      </w:r>
      <w:r w:rsidR="009E3D73">
        <w:rPr>
          <w:lang w:val="en-GB"/>
        </w:rPr>
        <w:t>The next page begins with the list of authors, their affiliated cit</w:t>
      </w:r>
      <w:r w:rsidR="00837034">
        <w:rPr>
          <w:lang w:val="en-GB"/>
        </w:rPr>
        <w:t>ies and academic level</w:t>
      </w:r>
      <w:r w:rsidR="009E3D73">
        <w:rPr>
          <w:lang w:val="en-GB"/>
        </w:rPr>
        <w:t xml:space="preserve"> (professor, associate professor, or PhD). There are 7 authors. Next, the</w:t>
      </w:r>
      <w:r w:rsidR="00837034">
        <w:rPr>
          <w:lang w:val="en-GB"/>
        </w:rPr>
        <w:t>re is</w:t>
      </w:r>
      <w:r w:rsidR="006303BE">
        <w:rPr>
          <w:lang w:val="en-GB"/>
        </w:rPr>
        <w:t xml:space="preserve"> a</w:t>
      </w:r>
      <w:r w:rsidR="009E3D73">
        <w:rPr>
          <w:lang w:val="en-GB"/>
        </w:rPr>
        <w:t xml:space="preserve"> table with the levels of evidence according to the Oxford Centre for Evidence-based Medicine.</w:t>
      </w:r>
      <w:r w:rsidR="00837034">
        <w:rPr>
          <w:lang w:val="en-GB"/>
        </w:rPr>
        <w:t xml:space="preserve"> References to that table and the levels of evidence are made consistently throughout the text.</w:t>
      </w:r>
      <w:r w:rsidR="009E3D73">
        <w:rPr>
          <w:lang w:val="en-GB"/>
        </w:rPr>
        <w:t xml:space="preserve"> After that there is a one sentence description of acute </w:t>
      </w:r>
      <w:r w:rsidR="00CC3734">
        <w:rPr>
          <w:lang w:val="en-US"/>
        </w:rPr>
        <w:t>cholecystitis</w:t>
      </w:r>
      <w:r w:rsidR="00CC3734">
        <w:rPr>
          <w:lang w:val="en-GB"/>
        </w:rPr>
        <w:t xml:space="preserve"> </w:t>
      </w:r>
      <w:r w:rsidR="009E3D73">
        <w:rPr>
          <w:lang w:val="en-GB"/>
        </w:rPr>
        <w:t xml:space="preserve">and </w:t>
      </w:r>
      <w:r w:rsidR="009E3D73" w:rsidRPr="009E3D73">
        <w:rPr>
          <w:lang w:val="en-US"/>
        </w:rPr>
        <w:t xml:space="preserve">5 </w:t>
      </w:r>
      <w:r w:rsidR="009E3D73">
        <w:rPr>
          <w:lang w:val="en-US"/>
        </w:rPr>
        <w:t xml:space="preserve">ICD-10 codes related to cholecystitis. </w:t>
      </w:r>
    </w:p>
    <w:p w14:paraId="0EE8A0DE" w14:textId="2C14F9FB" w:rsidR="00837034" w:rsidRPr="00837034" w:rsidRDefault="00837034" w:rsidP="00B07A1C">
      <w:pPr>
        <w:spacing w:line="480" w:lineRule="auto"/>
        <w:ind w:firstLine="720"/>
        <w:jc w:val="both"/>
        <w:rPr>
          <w:lang w:val="en-US"/>
        </w:rPr>
      </w:pPr>
      <w:r>
        <w:rPr>
          <w:lang w:val="en-US"/>
        </w:rPr>
        <w:t xml:space="preserve">The rest of the CPG is divided into </w:t>
      </w:r>
      <w:r w:rsidR="00D446BB">
        <w:rPr>
          <w:lang w:val="en-US"/>
        </w:rPr>
        <w:t>8</w:t>
      </w:r>
      <w:r>
        <w:rPr>
          <w:lang w:val="en-US"/>
        </w:rPr>
        <w:t xml:space="preserve"> sections</w:t>
      </w:r>
      <w:r w:rsidRPr="00837034">
        <w:rPr>
          <w:lang w:val="en-GB"/>
        </w:rPr>
        <w:t xml:space="preserve"> </w:t>
      </w:r>
      <w:r>
        <w:rPr>
          <w:lang w:val="en-GB"/>
        </w:rPr>
        <w:t xml:space="preserve">and the recommendations are made within those sections. The sections are: </w:t>
      </w:r>
      <w:r w:rsidRPr="00D446BB">
        <w:rPr>
          <w:i/>
          <w:lang w:val="en-GB"/>
        </w:rPr>
        <w:t>epidemiology</w:t>
      </w:r>
      <w:r w:rsidR="001A7BEC">
        <w:rPr>
          <w:lang w:val="en-GB"/>
        </w:rPr>
        <w:t>;</w:t>
      </w:r>
      <w:r>
        <w:rPr>
          <w:lang w:val="en-GB"/>
        </w:rPr>
        <w:t xml:space="preserve"> </w:t>
      </w:r>
      <w:r w:rsidR="00CC3734" w:rsidRPr="00D446BB">
        <w:rPr>
          <w:i/>
          <w:lang w:val="en-GB"/>
        </w:rPr>
        <w:t>aetiology</w:t>
      </w:r>
      <w:r w:rsidRPr="00D446BB">
        <w:rPr>
          <w:i/>
          <w:lang w:val="en-GB"/>
        </w:rPr>
        <w:t xml:space="preserve"> and </w:t>
      </w:r>
      <w:proofErr w:type="spellStart"/>
      <w:r w:rsidRPr="00D446BB">
        <w:rPr>
          <w:i/>
          <w:lang w:val="en-GB"/>
        </w:rPr>
        <w:t>patho</w:t>
      </w:r>
      <w:proofErr w:type="spellEnd"/>
      <w:r w:rsidRPr="00D446BB">
        <w:rPr>
          <w:i/>
          <w:lang w:val="en-US"/>
        </w:rPr>
        <w:t>genesis</w:t>
      </w:r>
      <w:r w:rsidR="001A7BEC">
        <w:rPr>
          <w:lang w:val="en-US"/>
        </w:rPr>
        <w:t>;</w:t>
      </w:r>
      <w:r>
        <w:rPr>
          <w:lang w:val="en-US"/>
        </w:rPr>
        <w:t xml:space="preserve"> </w:t>
      </w:r>
      <w:r w:rsidRPr="00D446BB">
        <w:rPr>
          <w:i/>
          <w:lang w:val="en-US"/>
        </w:rPr>
        <w:t>classification</w:t>
      </w:r>
      <w:r>
        <w:rPr>
          <w:lang w:val="en-US"/>
        </w:rPr>
        <w:t xml:space="preserve"> (which includes a table on differential types of acute cholecystitis)</w:t>
      </w:r>
      <w:r w:rsidR="001A7BEC">
        <w:rPr>
          <w:lang w:val="en-US"/>
        </w:rPr>
        <w:t>;</w:t>
      </w:r>
      <w:r>
        <w:rPr>
          <w:lang w:val="en-US"/>
        </w:rPr>
        <w:t xml:space="preserve"> </w:t>
      </w:r>
      <w:r w:rsidRPr="00D446BB">
        <w:rPr>
          <w:i/>
          <w:lang w:val="en-US"/>
        </w:rPr>
        <w:t>diagnosis</w:t>
      </w:r>
      <w:r>
        <w:rPr>
          <w:lang w:val="en-US"/>
        </w:rPr>
        <w:t xml:space="preserve"> (which include</w:t>
      </w:r>
      <w:r w:rsidR="00922C52">
        <w:rPr>
          <w:lang w:val="en-US"/>
        </w:rPr>
        <w:t>s local</w:t>
      </w:r>
      <w:r>
        <w:rPr>
          <w:lang w:val="en-US"/>
        </w:rPr>
        <w:t xml:space="preserve"> </w:t>
      </w:r>
      <w:r w:rsidR="00922C52">
        <w:rPr>
          <w:lang w:val="en-US"/>
        </w:rPr>
        <w:t xml:space="preserve">and </w:t>
      </w:r>
      <w:r>
        <w:rPr>
          <w:lang w:val="en-US"/>
        </w:rPr>
        <w:t>systemic</w:t>
      </w:r>
      <w:r w:rsidR="00922C52">
        <w:rPr>
          <w:lang w:val="en-US"/>
        </w:rPr>
        <w:t xml:space="preserve"> signs of gallbladder inflammation, visual and differential methods of diagnosis, and 3 grades of severity of acute cholecystitis</w:t>
      </w:r>
      <w:r w:rsidR="001A7BEC">
        <w:rPr>
          <w:lang w:val="en-US"/>
        </w:rPr>
        <w:t xml:space="preserve">); </w:t>
      </w:r>
      <w:r w:rsidR="001A7BEC" w:rsidRPr="00D446BB">
        <w:rPr>
          <w:i/>
          <w:lang w:val="en-US"/>
        </w:rPr>
        <w:t>treatment</w:t>
      </w:r>
      <w:r w:rsidR="001A7BEC">
        <w:rPr>
          <w:lang w:val="en-US"/>
        </w:rPr>
        <w:t xml:space="preserve"> (which includes the aim of treatment, hospitalization, conservative and surgical treatment, timeframe of surgical treatment, surgery options and surgical treatment with accompanying diseases and complications, complications with obstructive jaundice, and treatment strategy); </w:t>
      </w:r>
      <w:r w:rsidR="001A7BEC" w:rsidRPr="00D446BB">
        <w:rPr>
          <w:i/>
          <w:lang w:val="en-US"/>
        </w:rPr>
        <w:t>antibacterial prophylaxis and drainage of sub-hepatic</w:t>
      </w:r>
      <w:r w:rsidR="00D446BB" w:rsidRPr="00D446BB">
        <w:rPr>
          <w:i/>
          <w:lang w:val="en-US"/>
        </w:rPr>
        <w:t xml:space="preserve"> space</w:t>
      </w:r>
      <w:r w:rsidR="00D446BB" w:rsidRPr="00D446BB">
        <w:rPr>
          <w:lang w:val="en-US"/>
        </w:rPr>
        <w:t>;</w:t>
      </w:r>
      <w:r w:rsidR="00D446BB" w:rsidRPr="00D446BB">
        <w:rPr>
          <w:i/>
          <w:lang w:val="en-US"/>
        </w:rPr>
        <w:t xml:space="preserve"> complications and their prevention</w:t>
      </w:r>
      <w:r w:rsidR="00D446BB" w:rsidRPr="00D446BB">
        <w:rPr>
          <w:lang w:val="en-US"/>
        </w:rPr>
        <w:t>;</w:t>
      </w:r>
      <w:r w:rsidR="00D446BB" w:rsidRPr="00D446BB">
        <w:rPr>
          <w:i/>
          <w:lang w:val="en-US"/>
        </w:rPr>
        <w:t xml:space="preserve"> </w:t>
      </w:r>
      <w:r w:rsidR="00D446BB" w:rsidRPr="00D446BB">
        <w:rPr>
          <w:lang w:val="en-US"/>
        </w:rPr>
        <w:t>and</w:t>
      </w:r>
      <w:r w:rsidR="00D446BB" w:rsidRPr="00D446BB">
        <w:rPr>
          <w:i/>
          <w:lang w:val="en-US"/>
        </w:rPr>
        <w:t xml:space="preserve"> prognosis</w:t>
      </w:r>
      <w:r w:rsidR="00D446BB">
        <w:rPr>
          <w:lang w:val="en-US"/>
        </w:rPr>
        <w:t>.</w:t>
      </w:r>
    </w:p>
    <w:p w14:paraId="0D701D5F" w14:textId="77777777" w:rsidR="00F7571B" w:rsidRDefault="00F7571B" w:rsidP="00B07A1C">
      <w:pPr>
        <w:spacing w:line="480" w:lineRule="auto"/>
        <w:jc w:val="both"/>
        <w:rPr>
          <w:lang w:val="en-GB"/>
        </w:rPr>
      </w:pPr>
    </w:p>
    <w:p w14:paraId="21238C3F" w14:textId="77777777" w:rsidR="00F7571B" w:rsidRPr="00D848B1" w:rsidRDefault="00F7571B" w:rsidP="00B07A1C">
      <w:pPr>
        <w:spacing w:line="480" w:lineRule="auto"/>
        <w:jc w:val="both"/>
        <w:rPr>
          <w:b/>
          <w:lang w:val="en-GB"/>
        </w:rPr>
      </w:pPr>
      <w:r w:rsidRPr="00D848B1">
        <w:rPr>
          <w:b/>
          <w:lang w:val="en-GB"/>
        </w:rPr>
        <w:t xml:space="preserve">Acute cholecystitis </w:t>
      </w:r>
      <w:r w:rsidR="00270779">
        <w:rPr>
          <w:b/>
          <w:lang w:val="en-GB"/>
        </w:rPr>
        <w:t>2</w:t>
      </w:r>
    </w:p>
    <w:p w14:paraId="6BC81258" w14:textId="06C12AA6" w:rsidR="00270779" w:rsidRDefault="00270779" w:rsidP="00B07A1C">
      <w:pPr>
        <w:spacing w:line="480" w:lineRule="auto"/>
        <w:ind w:firstLine="720"/>
        <w:jc w:val="both"/>
        <w:rPr>
          <w:lang w:val="en-US"/>
        </w:rPr>
      </w:pPr>
      <w:r>
        <w:rPr>
          <w:lang w:val="en-GB"/>
        </w:rPr>
        <w:t xml:space="preserve">The Russian Society of Emergency Medicine published CPGs for treating acute cholecystitis in 2014 [13]. </w:t>
      </w:r>
      <w:r w:rsidR="00D446BB">
        <w:rPr>
          <w:lang w:val="en-GB"/>
        </w:rPr>
        <w:t>It is 18 pages long</w:t>
      </w:r>
      <w:r w:rsidR="00455DF5">
        <w:rPr>
          <w:lang w:val="en-GB"/>
        </w:rPr>
        <w:t xml:space="preserve"> (</w:t>
      </w:r>
      <w:r w:rsidR="00CC3734">
        <w:rPr>
          <w:lang w:val="en-GB"/>
        </w:rPr>
        <w:t>1.0-line</w:t>
      </w:r>
      <w:r w:rsidR="00455DF5">
        <w:rPr>
          <w:lang w:val="en-GB"/>
        </w:rPr>
        <w:t xml:space="preserve"> spacing)</w:t>
      </w:r>
      <w:r w:rsidR="00D446BB">
        <w:rPr>
          <w:lang w:val="en-GB"/>
        </w:rPr>
        <w:t>, which includes the title page, 34 references, and an appendix with two tables. From those references, 19 are in Russian and 15 are in English. There are no in-text citation</w:t>
      </w:r>
      <w:r w:rsidR="00915210">
        <w:rPr>
          <w:lang w:val="en-GB"/>
        </w:rPr>
        <w:t>s</w:t>
      </w:r>
      <w:r w:rsidR="00D446BB">
        <w:rPr>
          <w:lang w:val="en-GB"/>
        </w:rPr>
        <w:t xml:space="preserve"> or any mention of the references. The CPG begins with a </w:t>
      </w:r>
      <w:r w:rsidR="00D446BB">
        <w:rPr>
          <w:lang w:val="en-GB"/>
        </w:rPr>
        <w:lastRenderedPageBreak/>
        <w:t xml:space="preserve">title page, which states that this CPG is designed specifically for </w:t>
      </w:r>
      <w:r w:rsidR="003A1ABE">
        <w:rPr>
          <w:lang w:val="en-GB"/>
        </w:rPr>
        <w:t>emergency treatment of acute cholecystitis. The Russian Society of Emergency Medicine approved this CPG at their 2014 meeting</w:t>
      </w:r>
      <w:r w:rsidR="00D446BB">
        <w:rPr>
          <w:lang w:val="en-GB"/>
        </w:rPr>
        <w:t xml:space="preserve">. The next page begins with the list of authors, their affiliated </w:t>
      </w:r>
      <w:r w:rsidR="003A1ABE">
        <w:rPr>
          <w:lang w:val="en-GB"/>
        </w:rPr>
        <w:t>institutions and hospitals,</w:t>
      </w:r>
      <w:r w:rsidR="00D446BB">
        <w:rPr>
          <w:lang w:val="en-GB"/>
        </w:rPr>
        <w:t xml:space="preserve"> academic level (professor, or PhD)</w:t>
      </w:r>
      <w:r w:rsidR="003A1ABE">
        <w:rPr>
          <w:lang w:val="en-GB"/>
        </w:rPr>
        <w:t>, and medical specialty (emergency surgery, endoscopy, oncology)</w:t>
      </w:r>
      <w:r w:rsidR="00D446BB">
        <w:rPr>
          <w:lang w:val="en-GB"/>
        </w:rPr>
        <w:t xml:space="preserve">. There are 7 authors. Next, there is </w:t>
      </w:r>
      <w:r w:rsidR="003A1ABE">
        <w:rPr>
          <w:lang w:val="en-GB"/>
        </w:rPr>
        <w:t>a brief description of acute cholecystitis, specifically acute calculous cholecystitis, some epidemiology statistics, and the goals of the CPG. Afterwards,</w:t>
      </w:r>
      <w:r w:rsidR="00D446BB">
        <w:rPr>
          <w:lang w:val="en-GB"/>
        </w:rPr>
        <w:t xml:space="preserve"> </w:t>
      </w:r>
      <w:r w:rsidR="003A1ABE">
        <w:rPr>
          <w:lang w:val="en-GB"/>
        </w:rPr>
        <w:t>8</w:t>
      </w:r>
      <w:r w:rsidR="00D446BB" w:rsidRPr="009E3D73">
        <w:rPr>
          <w:lang w:val="en-US"/>
        </w:rPr>
        <w:t xml:space="preserve"> </w:t>
      </w:r>
      <w:r w:rsidR="00D446BB">
        <w:rPr>
          <w:lang w:val="en-US"/>
        </w:rPr>
        <w:t>ICD-10 codes related to cholecystitis</w:t>
      </w:r>
      <w:r w:rsidR="003A1ABE">
        <w:rPr>
          <w:lang w:val="en-US"/>
        </w:rPr>
        <w:t xml:space="preserve"> are mentioned</w:t>
      </w:r>
      <w:r w:rsidR="00455DF5">
        <w:rPr>
          <w:lang w:val="en-US"/>
        </w:rPr>
        <w:t xml:space="preserve"> and a similar, but expanded classification for acute cholecystitis is provided, as in the previous CPG. The rest of the CPG is divided into two major section</w:t>
      </w:r>
      <w:r w:rsidR="00915210">
        <w:rPr>
          <w:lang w:val="en-US"/>
        </w:rPr>
        <w:t>s</w:t>
      </w:r>
      <w:r w:rsidR="00455DF5">
        <w:rPr>
          <w:lang w:val="en-US"/>
        </w:rPr>
        <w:t xml:space="preserve"> – </w:t>
      </w:r>
      <w:r w:rsidR="00455DF5" w:rsidRPr="00455DF5">
        <w:rPr>
          <w:i/>
          <w:lang w:val="en-US"/>
        </w:rPr>
        <w:t xml:space="preserve">emergency medical care for acute cholecystitis at the prehospital stage </w:t>
      </w:r>
      <w:r w:rsidR="00455DF5" w:rsidRPr="00455DF5">
        <w:rPr>
          <w:lang w:val="en-US"/>
        </w:rPr>
        <w:t>and</w:t>
      </w:r>
      <w:r w:rsidR="00455DF5" w:rsidRPr="00455DF5">
        <w:rPr>
          <w:i/>
          <w:lang w:val="en-US"/>
        </w:rPr>
        <w:t xml:space="preserve"> emergency medical care for acute cholecystitis at the hospital stage in the inpatient ward</w:t>
      </w:r>
      <w:r w:rsidR="00455DF5">
        <w:rPr>
          <w:lang w:val="en-US"/>
        </w:rPr>
        <w:t xml:space="preserve">. Both of those sections have multiple subsections. </w:t>
      </w:r>
      <w:r w:rsidR="009E45A4">
        <w:rPr>
          <w:lang w:val="en-US"/>
        </w:rPr>
        <w:t>All sections and subsections are conveniently numbered and bolded.</w:t>
      </w:r>
    </w:p>
    <w:p w14:paraId="7574A26A" w14:textId="77777777" w:rsidR="00455DF5" w:rsidRDefault="009E45A4" w:rsidP="00B07A1C">
      <w:pPr>
        <w:spacing w:line="480" w:lineRule="auto"/>
        <w:ind w:firstLine="720"/>
        <w:jc w:val="both"/>
        <w:rPr>
          <w:lang w:val="en-US"/>
        </w:rPr>
      </w:pPr>
      <w:r>
        <w:rPr>
          <w:lang w:val="en-US"/>
        </w:rPr>
        <w:t xml:space="preserve">The first section, </w:t>
      </w:r>
      <w:r w:rsidR="006F1310">
        <w:rPr>
          <w:i/>
          <w:lang w:val="en-US"/>
        </w:rPr>
        <w:t>E</w:t>
      </w:r>
      <w:r w:rsidR="00455DF5" w:rsidRPr="00455DF5">
        <w:rPr>
          <w:i/>
          <w:lang w:val="en-US"/>
        </w:rPr>
        <w:t>mergency medical care for acute cholecystitis at the prehospital stage</w:t>
      </w:r>
      <w:r w:rsidR="00455DF5">
        <w:rPr>
          <w:lang w:val="en-US"/>
        </w:rPr>
        <w:t xml:space="preserve"> consists of 4 subsections. They are: </w:t>
      </w:r>
      <w:r w:rsidR="00455DF5" w:rsidRPr="009E45A4">
        <w:rPr>
          <w:i/>
          <w:lang w:val="en-US"/>
        </w:rPr>
        <w:t>relevant medical history taking</w:t>
      </w:r>
      <w:r w:rsidR="00455DF5">
        <w:rPr>
          <w:lang w:val="en-US"/>
        </w:rPr>
        <w:t xml:space="preserve">; </w:t>
      </w:r>
      <w:r w:rsidR="00455DF5" w:rsidRPr="009E45A4">
        <w:rPr>
          <w:i/>
          <w:lang w:val="en-US"/>
        </w:rPr>
        <w:t>physical exam</w:t>
      </w:r>
      <w:r>
        <w:rPr>
          <w:lang w:val="en-US"/>
        </w:rPr>
        <w:t xml:space="preserve"> (which includes general symptoms for acute cholecystitis and symptoms for cholecystitis with perforation, cholangitis, and hepatitis complications); </w:t>
      </w:r>
      <w:r w:rsidRPr="009E45A4">
        <w:rPr>
          <w:i/>
          <w:lang w:val="en-US"/>
        </w:rPr>
        <w:t>differentiating acute cholecystitis from other pathologies</w:t>
      </w:r>
      <w:r w:rsidRPr="009E45A4">
        <w:rPr>
          <w:lang w:val="en-US"/>
        </w:rPr>
        <w:t xml:space="preserve">; and </w:t>
      </w:r>
      <w:r w:rsidRPr="009E45A4">
        <w:rPr>
          <w:i/>
          <w:lang w:val="en-US"/>
        </w:rPr>
        <w:t>pre-hospital treatment</w:t>
      </w:r>
      <w:r>
        <w:rPr>
          <w:lang w:val="en-US"/>
        </w:rPr>
        <w:t>.</w:t>
      </w:r>
    </w:p>
    <w:p w14:paraId="1687C4CE" w14:textId="77777777" w:rsidR="009E45A4" w:rsidRDefault="009E45A4" w:rsidP="00B07A1C">
      <w:pPr>
        <w:spacing w:line="480" w:lineRule="auto"/>
        <w:ind w:firstLine="720"/>
        <w:jc w:val="both"/>
        <w:rPr>
          <w:lang w:val="en-US"/>
        </w:rPr>
      </w:pPr>
      <w:r>
        <w:rPr>
          <w:lang w:val="en-GB"/>
        </w:rPr>
        <w:t xml:space="preserve">The second section, </w:t>
      </w:r>
      <w:r w:rsidR="006F1310">
        <w:rPr>
          <w:i/>
          <w:lang w:val="en-US"/>
        </w:rPr>
        <w:t>E</w:t>
      </w:r>
      <w:r w:rsidRPr="00455DF5">
        <w:rPr>
          <w:i/>
          <w:lang w:val="en-US"/>
        </w:rPr>
        <w:t>mergency medical care for acute cholecystitis at the hospital stage in the inpatient ward</w:t>
      </w:r>
      <w:r>
        <w:rPr>
          <w:i/>
          <w:lang w:val="en-US"/>
        </w:rPr>
        <w:t xml:space="preserve"> </w:t>
      </w:r>
      <w:r>
        <w:rPr>
          <w:lang w:val="en-US"/>
        </w:rPr>
        <w:t>consists of 6 subsections.</w:t>
      </w:r>
      <w:r w:rsidR="00905B35">
        <w:rPr>
          <w:lang w:val="en-US"/>
        </w:rPr>
        <w:t xml:space="preserve"> Each of the subsections has multiple sub-subsections. The first subsection is</w:t>
      </w:r>
      <w:r>
        <w:rPr>
          <w:lang w:val="en-US"/>
        </w:rPr>
        <w:t xml:space="preserve"> </w:t>
      </w:r>
      <w:r w:rsidR="006F1310" w:rsidRPr="006F1310">
        <w:rPr>
          <w:i/>
          <w:u w:val="single"/>
          <w:lang w:val="en-US"/>
        </w:rPr>
        <w:t>A</w:t>
      </w:r>
      <w:r w:rsidR="00905B35" w:rsidRPr="006F1310">
        <w:rPr>
          <w:i/>
          <w:u w:val="single"/>
          <w:lang w:val="en-US"/>
        </w:rPr>
        <w:t>cute uncomplicated calculous cholecystitis</w:t>
      </w:r>
      <w:r w:rsidR="00905B35" w:rsidRPr="00905B35">
        <w:rPr>
          <w:lang w:val="en-US"/>
        </w:rPr>
        <w:t>.</w:t>
      </w:r>
      <w:r w:rsidR="00905B35">
        <w:rPr>
          <w:lang w:val="en-US"/>
        </w:rPr>
        <w:t xml:space="preserve"> </w:t>
      </w:r>
      <w:r w:rsidR="006F1310">
        <w:rPr>
          <w:lang w:val="en-US"/>
        </w:rPr>
        <w:t>It has 9 sub-subsections. They are</w:t>
      </w:r>
      <w:r w:rsidR="00905B35">
        <w:rPr>
          <w:lang w:val="en-US"/>
        </w:rPr>
        <w:t xml:space="preserve">: </w:t>
      </w:r>
      <w:r w:rsidR="00905B35" w:rsidRPr="006F1310">
        <w:rPr>
          <w:i/>
          <w:lang w:val="en-US"/>
        </w:rPr>
        <w:t>general symptoms</w:t>
      </w:r>
      <w:r w:rsidR="00905B35">
        <w:rPr>
          <w:lang w:val="en-US"/>
        </w:rPr>
        <w:t xml:space="preserve">; </w:t>
      </w:r>
      <w:r w:rsidR="00905B35" w:rsidRPr="006F1310">
        <w:rPr>
          <w:i/>
          <w:lang w:val="en-US"/>
        </w:rPr>
        <w:t>physical exam</w:t>
      </w:r>
      <w:r w:rsidR="00905B35">
        <w:rPr>
          <w:lang w:val="en-US"/>
        </w:rPr>
        <w:t xml:space="preserve">; </w:t>
      </w:r>
      <w:r w:rsidR="00905B35" w:rsidRPr="006F1310">
        <w:rPr>
          <w:i/>
          <w:lang w:val="en-US"/>
        </w:rPr>
        <w:t>ultrasound</w:t>
      </w:r>
      <w:r w:rsidR="00905B35">
        <w:rPr>
          <w:lang w:val="en-US"/>
        </w:rPr>
        <w:t xml:space="preserve">; </w:t>
      </w:r>
      <w:r w:rsidR="00905B35" w:rsidRPr="006F1310">
        <w:rPr>
          <w:i/>
          <w:lang w:val="en-US"/>
        </w:rPr>
        <w:t>differential diagnosis</w:t>
      </w:r>
      <w:r w:rsidR="00905B35">
        <w:rPr>
          <w:lang w:val="en-US"/>
        </w:rPr>
        <w:t xml:space="preserve">; </w:t>
      </w:r>
      <w:r w:rsidR="00905B35" w:rsidRPr="006F1310">
        <w:rPr>
          <w:i/>
          <w:lang w:val="en-US"/>
        </w:rPr>
        <w:t>clinical examinations</w:t>
      </w:r>
      <w:r w:rsidR="00905B35">
        <w:rPr>
          <w:lang w:val="en-US"/>
        </w:rPr>
        <w:t xml:space="preserve"> (which includes required laboratory, instrumental, and additional examinations in case of comorbidities); </w:t>
      </w:r>
      <w:r w:rsidR="00905B35" w:rsidRPr="006F1310">
        <w:rPr>
          <w:i/>
          <w:lang w:val="en-US"/>
        </w:rPr>
        <w:t>diagnosis criteria</w:t>
      </w:r>
      <w:r w:rsidR="00905B35">
        <w:rPr>
          <w:lang w:val="en-US"/>
        </w:rPr>
        <w:t xml:space="preserve"> (which includes a table with different </w:t>
      </w:r>
      <w:r w:rsidR="00905B35">
        <w:rPr>
          <w:lang w:val="en-US"/>
        </w:rPr>
        <w:lastRenderedPageBreak/>
        <w:t xml:space="preserve">criteria for catarrhal </w:t>
      </w:r>
      <w:r w:rsidR="006F1310">
        <w:rPr>
          <w:lang w:val="en-US"/>
        </w:rPr>
        <w:t xml:space="preserve">and destructive cholecystitis); </w:t>
      </w:r>
      <w:r w:rsidR="006F1310" w:rsidRPr="006F1310">
        <w:rPr>
          <w:i/>
          <w:lang w:val="en-US"/>
        </w:rPr>
        <w:t>treatment strategy</w:t>
      </w:r>
      <w:r w:rsidR="006F1310">
        <w:rPr>
          <w:lang w:val="en-US"/>
        </w:rPr>
        <w:t xml:space="preserve">; </w:t>
      </w:r>
      <w:r w:rsidR="006F1310" w:rsidRPr="006F1310">
        <w:rPr>
          <w:i/>
          <w:lang w:val="en-US"/>
        </w:rPr>
        <w:t>conservative therapy</w:t>
      </w:r>
      <w:r w:rsidR="006F1310">
        <w:rPr>
          <w:lang w:val="en-US"/>
        </w:rPr>
        <w:t xml:space="preserve">; and </w:t>
      </w:r>
      <w:r w:rsidR="006F1310" w:rsidRPr="006F1310">
        <w:rPr>
          <w:i/>
          <w:lang w:val="en-US"/>
        </w:rPr>
        <w:t>indications for surgery</w:t>
      </w:r>
      <w:r w:rsidR="006F1310">
        <w:rPr>
          <w:lang w:val="en-US"/>
        </w:rPr>
        <w:t xml:space="preserve">. The second subsection is called </w:t>
      </w:r>
      <w:r w:rsidR="006F1310">
        <w:rPr>
          <w:i/>
          <w:u w:val="single"/>
          <w:lang w:val="en-US"/>
        </w:rPr>
        <w:t>A</w:t>
      </w:r>
      <w:r w:rsidR="006F1310" w:rsidRPr="006F1310">
        <w:rPr>
          <w:i/>
          <w:u w:val="single"/>
          <w:lang w:val="en-US"/>
        </w:rPr>
        <w:t xml:space="preserve">cute calculous cholecystitis complicated with </w:t>
      </w:r>
      <w:proofErr w:type="spellStart"/>
      <w:r w:rsidR="006F1310" w:rsidRPr="006F1310">
        <w:rPr>
          <w:i/>
          <w:u w:val="single"/>
          <w:lang w:val="en-US"/>
        </w:rPr>
        <w:t>choledocholithiasis</w:t>
      </w:r>
      <w:proofErr w:type="spellEnd"/>
      <w:r w:rsidR="006F1310">
        <w:rPr>
          <w:i/>
          <w:u w:val="single"/>
          <w:lang w:val="en-US"/>
        </w:rPr>
        <w:t xml:space="preserve"> with or</w:t>
      </w:r>
      <w:r w:rsidR="006F1310" w:rsidRPr="006F1310">
        <w:rPr>
          <w:i/>
          <w:u w:val="single"/>
          <w:lang w:val="en-US"/>
        </w:rPr>
        <w:t xml:space="preserve"> without obstructive jaundice</w:t>
      </w:r>
      <w:r w:rsidR="006F1310" w:rsidRPr="006F1310">
        <w:rPr>
          <w:u w:val="single"/>
          <w:lang w:val="en-US"/>
        </w:rPr>
        <w:t>.</w:t>
      </w:r>
      <w:r w:rsidR="006F1310" w:rsidRPr="006F1310">
        <w:rPr>
          <w:lang w:val="en-US"/>
        </w:rPr>
        <w:t xml:space="preserve"> It has 6 sub-subsections. </w:t>
      </w:r>
      <w:r w:rsidR="006F1310">
        <w:rPr>
          <w:lang w:val="en-US"/>
        </w:rPr>
        <w:t xml:space="preserve">They are: </w:t>
      </w:r>
      <w:r w:rsidR="006F1310" w:rsidRPr="00311220">
        <w:rPr>
          <w:i/>
          <w:lang w:val="en-US"/>
        </w:rPr>
        <w:t xml:space="preserve">diagnosis of acute calculous cholecystitis complicated with </w:t>
      </w:r>
      <w:proofErr w:type="spellStart"/>
      <w:r w:rsidR="006F1310" w:rsidRPr="00311220">
        <w:rPr>
          <w:i/>
          <w:lang w:val="en-US"/>
        </w:rPr>
        <w:t>choledocholithiasis</w:t>
      </w:r>
      <w:proofErr w:type="spellEnd"/>
      <w:r w:rsidR="006F1310">
        <w:rPr>
          <w:lang w:val="en-US"/>
        </w:rPr>
        <w:t xml:space="preserve">; </w:t>
      </w:r>
      <w:r w:rsidR="006F1310" w:rsidRPr="00311220">
        <w:rPr>
          <w:i/>
          <w:lang w:val="en-US"/>
        </w:rPr>
        <w:t>required laboratory examinations</w:t>
      </w:r>
      <w:r w:rsidR="006F1310">
        <w:rPr>
          <w:lang w:val="en-US"/>
        </w:rPr>
        <w:t xml:space="preserve">; </w:t>
      </w:r>
      <w:r w:rsidR="006F1310" w:rsidRPr="00311220">
        <w:rPr>
          <w:i/>
          <w:lang w:val="en-US"/>
        </w:rPr>
        <w:t>required instrumental methods of examination</w:t>
      </w:r>
      <w:r w:rsidR="006F1310">
        <w:rPr>
          <w:lang w:val="en-US"/>
        </w:rPr>
        <w:t xml:space="preserve">; </w:t>
      </w:r>
      <w:r w:rsidR="00311220" w:rsidRPr="00311220">
        <w:rPr>
          <w:i/>
          <w:lang w:val="en-US"/>
        </w:rPr>
        <w:t>treatment strategy</w:t>
      </w:r>
      <w:r w:rsidR="00311220">
        <w:rPr>
          <w:lang w:val="en-US"/>
        </w:rPr>
        <w:t xml:space="preserve">; </w:t>
      </w:r>
      <w:r w:rsidR="00311220" w:rsidRPr="00311220">
        <w:rPr>
          <w:i/>
          <w:lang w:val="en-US"/>
        </w:rPr>
        <w:t>conservative therapy</w:t>
      </w:r>
      <w:r w:rsidR="00311220">
        <w:rPr>
          <w:lang w:val="en-US"/>
        </w:rPr>
        <w:t xml:space="preserve">; and </w:t>
      </w:r>
      <w:r w:rsidR="00311220" w:rsidRPr="00311220">
        <w:rPr>
          <w:i/>
          <w:lang w:val="en-US"/>
        </w:rPr>
        <w:t>indications for surgery</w:t>
      </w:r>
      <w:r w:rsidR="00311220">
        <w:rPr>
          <w:lang w:val="en-US"/>
        </w:rPr>
        <w:t xml:space="preserve">. The third subsection is </w:t>
      </w:r>
      <w:r w:rsidR="004D4262">
        <w:rPr>
          <w:i/>
          <w:u w:val="single"/>
          <w:lang w:val="en-US"/>
        </w:rPr>
        <w:t>A</w:t>
      </w:r>
      <w:r w:rsidR="00311220" w:rsidRPr="00311220">
        <w:rPr>
          <w:i/>
          <w:u w:val="single"/>
          <w:lang w:val="en-US"/>
        </w:rPr>
        <w:t>cute cholecystitis complicated with peritonitis</w:t>
      </w:r>
      <w:r w:rsidR="00311220">
        <w:rPr>
          <w:lang w:val="en-US"/>
        </w:rPr>
        <w:t xml:space="preserve">. It has 3 sub-subsections. They are: </w:t>
      </w:r>
      <w:r w:rsidR="00311220" w:rsidRPr="004D4262">
        <w:rPr>
          <w:i/>
          <w:lang w:val="en-US"/>
        </w:rPr>
        <w:t>preoperative examination</w:t>
      </w:r>
      <w:r w:rsidR="00311220">
        <w:rPr>
          <w:lang w:val="en-US"/>
        </w:rPr>
        <w:t xml:space="preserve"> (which includes a descriptive table with diagnosis, monitoring, required manipulations, therapy</w:t>
      </w:r>
      <w:r w:rsidR="004D4262">
        <w:rPr>
          <w:lang w:val="en-US"/>
        </w:rPr>
        <w:t xml:space="preserve"> options, and infusion therapy)</w:t>
      </w:r>
      <w:r w:rsidR="00311220">
        <w:rPr>
          <w:lang w:val="en-US"/>
        </w:rPr>
        <w:t>;</w:t>
      </w:r>
      <w:r w:rsidR="004D4262">
        <w:rPr>
          <w:lang w:val="en-US"/>
        </w:rPr>
        <w:t xml:space="preserve"> </w:t>
      </w:r>
      <w:r w:rsidR="004D4262" w:rsidRPr="004D4262">
        <w:rPr>
          <w:i/>
          <w:lang w:val="en-US"/>
        </w:rPr>
        <w:t>therapy strategy for acute cholecystitis complicated with peritonitis</w:t>
      </w:r>
      <w:r w:rsidR="004D4262">
        <w:rPr>
          <w:lang w:val="en-US"/>
        </w:rPr>
        <w:t xml:space="preserve">; and </w:t>
      </w:r>
      <w:r w:rsidR="004D4262" w:rsidRPr="004D4262">
        <w:rPr>
          <w:i/>
          <w:lang w:val="en-US"/>
        </w:rPr>
        <w:t>indications for surgery</w:t>
      </w:r>
      <w:r w:rsidR="004D4262">
        <w:rPr>
          <w:lang w:val="en-US"/>
        </w:rPr>
        <w:t xml:space="preserve"> (which includes complications with limited and diffused peritonitis). The fourth subsection is </w:t>
      </w:r>
      <w:r w:rsidR="004D4262">
        <w:rPr>
          <w:i/>
          <w:u w:val="single"/>
          <w:lang w:val="en-US"/>
        </w:rPr>
        <w:t>A</w:t>
      </w:r>
      <w:r w:rsidR="004D4262" w:rsidRPr="00311220">
        <w:rPr>
          <w:i/>
          <w:u w:val="single"/>
          <w:lang w:val="en-US"/>
        </w:rPr>
        <w:t>cute cholecysti</w:t>
      </w:r>
      <w:r w:rsidR="004D4262">
        <w:rPr>
          <w:i/>
          <w:u w:val="single"/>
          <w:lang w:val="en-US"/>
        </w:rPr>
        <w:t>tis complicated with formation of dense infiltrate</w:t>
      </w:r>
      <w:r w:rsidR="004D4262" w:rsidRPr="004D4262">
        <w:rPr>
          <w:lang w:val="en-US"/>
        </w:rPr>
        <w:t>. It has 6 subsections.</w:t>
      </w:r>
      <w:r w:rsidR="004D4262">
        <w:rPr>
          <w:lang w:val="en-US"/>
        </w:rPr>
        <w:t xml:space="preserve"> They are: </w:t>
      </w:r>
      <w:r w:rsidR="004D4262" w:rsidRPr="000C0B0C">
        <w:rPr>
          <w:i/>
          <w:lang w:val="en-US"/>
        </w:rPr>
        <w:t xml:space="preserve">main symptoms of dense </w:t>
      </w:r>
      <w:proofErr w:type="spellStart"/>
      <w:r w:rsidR="004D4262" w:rsidRPr="000C0B0C">
        <w:rPr>
          <w:i/>
          <w:lang w:val="en-US"/>
        </w:rPr>
        <w:t>perivesical</w:t>
      </w:r>
      <w:proofErr w:type="spellEnd"/>
      <w:r w:rsidR="004D4262" w:rsidRPr="000C0B0C">
        <w:rPr>
          <w:i/>
          <w:lang w:val="en-US"/>
        </w:rPr>
        <w:t xml:space="preserve"> infiltrate</w:t>
      </w:r>
      <w:r w:rsidR="004D4262">
        <w:rPr>
          <w:lang w:val="en-US"/>
        </w:rPr>
        <w:t xml:space="preserve">; </w:t>
      </w:r>
      <w:r w:rsidR="004D4262" w:rsidRPr="000C0B0C">
        <w:rPr>
          <w:i/>
          <w:lang w:val="en-US"/>
        </w:rPr>
        <w:t>examination</w:t>
      </w:r>
      <w:r w:rsidR="004D4262">
        <w:rPr>
          <w:lang w:val="en-US"/>
        </w:rPr>
        <w:t xml:space="preserve">; </w:t>
      </w:r>
      <w:r w:rsidR="004D4262" w:rsidRPr="000C0B0C">
        <w:rPr>
          <w:i/>
          <w:lang w:val="en-US"/>
        </w:rPr>
        <w:t>differential diagnosis</w:t>
      </w:r>
      <w:r w:rsidR="004D4262">
        <w:rPr>
          <w:lang w:val="en-US"/>
        </w:rPr>
        <w:t xml:space="preserve">; </w:t>
      </w:r>
      <w:r w:rsidR="000C0B0C" w:rsidRPr="000C0B0C">
        <w:rPr>
          <w:i/>
          <w:lang w:val="en-US"/>
        </w:rPr>
        <w:t>patient management strategy</w:t>
      </w:r>
      <w:r w:rsidR="004D4262">
        <w:rPr>
          <w:lang w:val="en-US"/>
        </w:rPr>
        <w:t xml:space="preserve"> (which includes a descriptive table with </w:t>
      </w:r>
      <w:r w:rsidR="000C0B0C">
        <w:rPr>
          <w:lang w:val="en-US"/>
        </w:rPr>
        <w:t xml:space="preserve">options for infiltrate with and without abscessing); </w:t>
      </w:r>
      <w:r w:rsidR="000C0B0C" w:rsidRPr="000C0B0C">
        <w:rPr>
          <w:i/>
          <w:lang w:val="en-US"/>
        </w:rPr>
        <w:t>treatment strategy</w:t>
      </w:r>
      <w:r w:rsidR="000C0B0C">
        <w:rPr>
          <w:lang w:val="en-US"/>
        </w:rPr>
        <w:t>;</w:t>
      </w:r>
      <w:r w:rsidR="005F16AF">
        <w:rPr>
          <w:lang w:val="en-US"/>
        </w:rPr>
        <w:t xml:space="preserve"> and</w:t>
      </w:r>
      <w:r w:rsidR="000C0B0C">
        <w:rPr>
          <w:lang w:val="en-US"/>
        </w:rPr>
        <w:t xml:space="preserve"> </w:t>
      </w:r>
      <w:r w:rsidR="000C0B0C" w:rsidRPr="000C0B0C">
        <w:rPr>
          <w:i/>
          <w:lang w:val="en-US"/>
        </w:rPr>
        <w:t>indications for surgery and surgical method</w:t>
      </w:r>
      <w:r w:rsidR="000C0B0C">
        <w:rPr>
          <w:lang w:val="en-US"/>
        </w:rPr>
        <w:t xml:space="preserve">. The fifth subsection is Acute cholecystitis with acute cholangitis. It has 3 sub-subsections. They are: </w:t>
      </w:r>
      <w:r w:rsidR="000C0B0C" w:rsidRPr="000C0B0C">
        <w:rPr>
          <w:i/>
          <w:lang w:val="en-US"/>
        </w:rPr>
        <w:t>main symptoms</w:t>
      </w:r>
      <w:r w:rsidR="000C0B0C" w:rsidRPr="000C0B0C">
        <w:rPr>
          <w:lang w:val="en-US"/>
        </w:rPr>
        <w:t>,</w:t>
      </w:r>
      <w:r w:rsidR="000C0B0C" w:rsidRPr="000C0B0C">
        <w:rPr>
          <w:i/>
          <w:lang w:val="en-US"/>
        </w:rPr>
        <w:t xml:space="preserve"> examination</w:t>
      </w:r>
      <w:r w:rsidR="000C0B0C" w:rsidRPr="000C0B0C">
        <w:rPr>
          <w:lang w:val="en-US"/>
        </w:rPr>
        <w:t>, and</w:t>
      </w:r>
      <w:r w:rsidR="000C0B0C" w:rsidRPr="000C0B0C">
        <w:rPr>
          <w:i/>
          <w:lang w:val="en-US"/>
        </w:rPr>
        <w:t xml:space="preserve"> treatment strategy</w:t>
      </w:r>
      <w:r w:rsidR="000C0B0C">
        <w:rPr>
          <w:lang w:val="en-US"/>
        </w:rPr>
        <w:t xml:space="preserve">. The sixth and last subsection </w:t>
      </w:r>
      <w:r w:rsidR="005F16AF" w:rsidRPr="005F16AF">
        <w:rPr>
          <w:i/>
          <w:u w:val="single"/>
          <w:lang w:val="en-US"/>
        </w:rPr>
        <w:t>Acute cholecystitis complicated with biliary pancreatitis</w:t>
      </w:r>
      <w:r w:rsidR="005F16AF">
        <w:rPr>
          <w:lang w:val="en-US"/>
        </w:rPr>
        <w:t xml:space="preserve"> has 3 sub-subsections. They are: </w:t>
      </w:r>
      <w:r w:rsidR="005F16AF" w:rsidRPr="005F16AF">
        <w:rPr>
          <w:i/>
          <w:lang w:val="en-US"/>
        </w:rPr>
        <w:t>main symptoms</w:t>
      </w:r>
      <w:r w:rsidR="005F16AF">
        <w:rPr>
          <w:lang w:val="en-US"/>
        </w:rPr>
        <w:t xml:space="preserve">; </w:t>
      </w:r>
      <w:r w:rsidR="005F16AF" w:rsidRPr="005F16AF">
        <w:rPr>
          <w:i/>
          <w:lang w:val="en-US"/>
        </w:rPr>
        <w:t>diagnosis of severe pancreatitis</w:t>
      </w:r>
      <w:r w:rsidR="005F16AF">
        <w:rPr>
          <w:lang w:val="en-US"/>
        </w:rPr>
        <w:t xml:space="preserve">; and </w:t>
      </w:r>
      <w:r w:rsidR="005F16AF" w:rsidRPr="005F16AF">
        <w:rPr>
          <w:i/>
          <w:lang w:val="en-US"/>
        </w:rPr>
        <w:t>treatment strategy</w:t>
      </w:r>
      <w:r w:rsidR="005F16AF">
        <w:rPr>
          <w:lang w:val="en-US"/>
        </w:rPr>
        <w:t xml:space="preserve"> (which includes conservative therapy and patient management strategy). </w:t>
      </w:r>
    </w:p>
    <w:p w14:paraId="7195D5E5" w14:textId="77777777" w:rsidR="005F16AF" w:rsidRPr="009E45A4" w:rsidRDefault="005F16AF" w:rsidP="00B07A1C">
      <w:pPr>
        <w:spacing w:line="480" w:lineRule="auto"/>
        <w:ind w:firstLine="720"/>
        <w:jc w:val="both"/>
        <w:rPr>
          <w:lang w:val="en-GB"/>
        </w:rPr>
      </w:pPr>
      <w:r>
        <w:rPr>
          <w:lang w:val="en-US"/>
        </w:rPr>
        <w:t xml:space="preserve">At the end of the CPG is a section titled </w:t>
      </w:r>
      <w:r w:rsidRPr="005F16AF">
        <w:rPr>
          <w:i/>
          <w:lang w:val="en-US"/>
        </w:rPr>
        <w:t>What must not be done</w:t>
      </w:r>
      <w:r>
        <w:rPr>
          <w:lang w:val="en-US"/>
        </w:rPr>
        <w:t xml:space="preserve">. It includes things that must not be done at both pre-hospital and hospital stages. This part is the first one that incorporates words such as “not recommended”. After the references there is an appendix. It consists of 2 tables, one with levels of evidence (1++ through 4) and one with strength of recommendation levels (A </w:t>
      </w:r>
      <w:r>
        <w:rPr>
          <w:lang w:val="en-US"/>
        </w:rPr>
        <w:lastRenderedPageBreak/>
        <w:t xml:space="preserve">through D). The source of either table is not cited. The values in those tables are used consistently throughout the CPG. </w:t>
      </w:r>
    </w:p>
    <w:p w14:paraId="1C3BA1D6" w14:textId="77777777" w:rsidR="00F7571B" w:rsidRDefault="00F7571B" w:rsidP="00B07A1C">
      <w:pPr>
        <w:spacing w:line="480" w:lineRule="auto"/>
        <w:jc w:val="both"/>
        <w:rPr>
          <w:lang w:val="en-GB"/>
        </w:rPr>
      </w:pPr>
    </w:p>
    <w:p w14:paraId="36BC5B18" w14:textId="77777777" w:rsidR="00F7571B" w:rsidRPr="00D848B1" w:rsidRDefault="00F7571B" w:rsidP="00B07A1C">
      <w:pPr>
        <w:spacing w:line="480" w:lineRule="auto"/>
        <w:jc w:val="both"/>
        <w:rPr>
          <w:b/>
          <w:lang w:val="en-GB"/>
        </w:rPr>
      </w:pPr>
      <w:r w:rsidRPr="00D848B1">
        <w:rPr>
          <w:b/>
          <w:lang w:val="en-GB"/>
        </w:rPr>
        <w:t>Cholelithiasis</w:t>
      </w:r>
    </w:p>
    <w:p w14:paraId="72FF8514" w14:textId="29EF8B86" w:rsidR="005F16AF" w:rsidRDefault="00F7571B" w:rsidP="00B07A1C">
      <w:pPr>
        <w:spacing w:line="480" w:lineRule="auto"/>
        <w:ind w:firstLine="720"/>
        <w:jc w:val="both"/>
        <w:rPr>
          <w:lang w:val="en-GB"/>
        </w:rPr>
      </w:pPr>
      <w:r>
        <w:rPr>
          <w:lang w:val="en-GB"/>
        </w:rPr>
        <w:t xml:space="preserve"> The Russian Gastrointestinal Association c</w:t>
      </w:r>
      <w:r w:rsidR="005F16AF">
        <w:rPr>
          <w:lang w:val="en-GB"/>
        </w:rPr>
        <w:t>reated a set of CPGs on choleli</w:t>
      </w:r>
      <w:r>
        <w:rPr>
          <w:lang w:val="en-GB"/>
        </w:rPr>
        <w:t>thi</w:t>
      </w:r>
      <w:r w:rsidR="005F16AF">
        <w:rPr>
          <w:lang w:val="en-GB"/>
        </w:rPr>
        <w:t>a</w:t>
      </w:r>
      <w:r>
        <w:rPr>
          <w:lang w:val="en-GB"/>
        </w:rPr>
        <w:t>sis in 2015 [16].</w:t>
      </w:r>
      <w:r w:rsidR="005F16AF">
        <w:rPr>
          <w:lang w:val="en-GB"/>
        </w:rPr>
        <w:t xml:space="preserve"> It is </w:t>
      </w:r>
      <w:r w:rsidR="00AC3FDE">
        <w:rPr>
          <w:lang w:val="en-GB"/>
        </w:rPr>
        <w:t>37</w:t>
      </w:r>
      <w:r w:rsidR="005F16AF">
        <w:rPr>
          <w:lang w:val="en-GB"/>
        </w:rPr>
        <w:t xml:space="preserve"> pages long (</w:t>
      </w:r>
      <w:r w:rsidR="006128DC">
        <w:rPr>
          <w:lang w:val="en-GB"/>
        </w:rPr>
        <w:t>2-line</w:t>
      </w:r>
      <w:r w:rsidR="005F16AF">
        <w:rPr>
          <w:lang w:val="en-GB"/>
        </w:rPr>
        <w:t xml:space="preserve"> spacing), which</w:t>
      </w:r>
      <w:r w:rsidR="00AC3FDE">
        <w:rPr>
          <w:lang w:val="en-GB"/>
        </w:rPr>
        <w:t xml:space="preserve"> includes the title page and 22</w:t>
      </w:r>
      <w:r w:rsidR="005F16AF">
        <w:rPr>
          <w:lang w:val="en-GB"/>
        </w:rPr>
        <w:t xml:space="preserve"> references. From those references, </w:t>
      </w:r>
      <w:r w:rsidR="00AC3FDE">
        <w:rPr>
          <w:lang w:val="en-GB"/>
        </w:rPr>
        <w:t>5</w:t>
      </w:r>
      <w:r w:rsidR="005F16AF">
        <w:rPr>
          <w:lang w:val="en-GB"/>
        </w:rPr>
        <w:t xml:space="preserve"> are in Russian and </w:t>
      </w:r>
      <w:r w:rsidR="00AC3FDE">
        <w:rPr>
          <w:lang w:val="en-GB"/>
        </w:rPr>
        <w:t>17</w:t>
      </w:r>
      <w:r w:rsidR="005F16AF">
        <w:rPr>
          <w:lang w:val="en-GB"/>
        </w:rPr>
        <w:t xml:space="preserve"> are in English</w:t>
      </w:r>
      <w:r w:rsidR="00AC3FDE">
        <w:rPr>
          <w:lang w:val="en-GB"/>
        </w:rPr>
        <w:t>. The in-text citation</w:t>
      </w:r>
      <w:r w:rsidR="006128DC">
        <w:rPr>
          <w:lang w:val="en-GB"/>
        </w:rPr>
        <w:t>s</w:t>
      </w:r>
      <w:r w:rsidR="00566EE4">
        <w:rPr>
          <w:lang w:val="en-GB"/>
        </w:rPr>
        <w:t xml:space="preserve"> are only present in the section on the history of research on cholelithiasis and</w:t>
      </w:r>
      <w:r w:rsidR="00AC3FDE">
        <w:rPr>
          <w:lang w:val="en-GB"/>
        </w:rPr>
        <w:t xml:space="preserve"> </w:t>
      </w:r>
      <w:r w:rsidR="00566EE4">
        <w:rPr>
          <w:lang w:val="en-GB"/>
        </w:rPr>
        <w:t>on one</w:t>
      </w:r>
      <w:r w:rsidR="00AC3FDE">
        <w:rPr>
          <w:lang w:val="en-GB"/>
        </w:rPr>
        <w:t xml:space="preserve"> figure</w:t>
      </w:r>
      <w:r w:rsidR="005F16AF">
        <w:rPr>
          <w:lang w:val="en-GB"/>
        </w:rPr>
        <w:t>.</w:t>
      </w:r>
      <w:r w:rsidR="00566EE4">
        <w:rPr>
          <w:lang w:val="en-GB"/>
        </w:rPr>
        <w:t xml:space="preserve"> This is the first CPG we studied that includes multiple descriptive and colourful figures. The text size and spacing between paragraphs is inconsistent, so it is hard to tell which sections are the main ones.</w:t>
      </w:r>
      <w:r w:rsidR="005F16AF">
        <w:rPr>
          <w:lang w:val="en-GB"/>
        </w:rPr>
        <w:t xml:space="preserve"> The CPG begins with a title page, which </w:t>
      </w:r>
      <w:r w:rsidR="00AC3FDE">
        <w:rPr>
          <w:lang w:val="en-GB"/>
        </w:rPr>
        <w:t xml:space="preserve">states that the CPG was developed by the gastroenterology specialists of the Russian Ministry of Healthcare together with the Russian Gastrointestinal Association. </w:t>
      </w:r>
      <w:r w:rsidR="005F16AF">
        <w:rPr>
          <w:lang w:val="en-GB"/>
        </w:rPr>
        <w:t>The next page begins with the list of authors and</w:t>
      </w:r>
      <w:r w:rsidR="00AC3FDE">
        <w:rPr>
          <w:lang w:val="en-GB"/>
        </w:rPr>
        <w:t xml:space="preserve"> their</w:t>
      </w:r>
      <w:r w:rsidR="005F16AF">
        <w:rPr>
          <w:lang w:val="en-GB"/>
        </w:rPr>
        <w:t xml:space="preserve"> academic level (</w:t>
      </w:r>
      <w:r w:rsidR="00AC3FDE">
        <w:rPr>
          <w:lang w:val="en-GB"/>
        </w:rPr>
        <w:t xml:space="preserve">academician, </w:t>
      </w:r>
      <w:r w:rsidR="005F16AF">
        <w:rPr>
          <w:lang w:val="en-GB"/>
        </w:rPr>
        <w:t>professor,</w:t>
      </w:r>
      <w:r w:rsidR="00AC3FDE">
        <w:rPr>
          <w:lang w:val="en-GB"/>
        </w:rPr>
        <w:t xml:space="preserve"> or</w:t>
      </w:r>
      <w:r w:rsidR="005F16AF">
        <w:rPr>
          <w:lang w:val="en-GB"/>
        </w:rPr>
        <w:t xml:space="preserve"> associate professor). There are </w:t>
      </w:r>
      <w:r w:rsidR="00AC3FDE">
        <w:rPr>
          <w:lang w:val="en-GB"/>
        </w:rPr>
        <w:t>4</w:t>
      </w:r>
      <w:r w:rsidR="005F16AF">
        <w:rPr>
          <w:lang w:val="en-GB"/>
        </w:rPr>
        <w:t xml:space="preserve"> authors. Next, there is</w:t>
      </w:r>
      <w:r w:rsidR="00AC3FDE">
        <w:rPr>
          <w:lang w:val="en-GB"/>
        </w:rPr>
        <w:t xml:space="preserve"> a list of abbreviations used in text and their meaning.</w:t>
      </w:r>
      <w:r w:rsidR="005F16AF">
        <w:rPr>
          <w:lang w:val="en-GB"/>
        </w:rPr>
        <w:t xml:space="preserve"> </w:t>
      </w:r>
    </w:p>
    <w:p w14:paraId="4FA1368B" w14:textId="52A5F570" w:rsidR="00AC3FDE" w:rsidRDefault="00AC3FDE" w:rsidP="00B07A1C">
      <w:pPr>
        <w:spacing w:line="480" w:lineRule="auto"/>
        <w:ind w:firstLine="720"/>
        <w:jc w:val="both"/>
        <w:rPr>
          <w:lang w:val="en-US"/>
        </w:rPr>
      </w:pPr>
      <w:r>
        <w:rPr>
          <w:lang w:val="en-GB"/>
        </w:rPr>
        <w:t xml:space="preserve">The CPG begins with a section titled </w:t>
      </w:r>
      <w:r w:rsidR="006303BE" w:rsidRPr="006303BE">
        <w:rPr>
          <w:i/>
          <w:lang w:val="en-GB"/>
        </w:rPr>
        <w:t>M</w:t>
      </w:r>
      <w:r w:rsidRPr="006303BE">
        <w:rPr>
          <w:i/>
          <w:lang w:val="en-GB"/>
        </w:rPr>
        <w:t>ethodology</w:t>
      </w:r>
      <w:r>
        <w:rPr>
          <w:lang w:val="en-GB"/>
        </w:rPr>
        <w:t>. It consists of methods used for</w:t>
      </w:r>
      <w:r w:rsidR="006303BE">
        <w:rPr>
          <w:lang w:val="en-GB"/>
        </w:rPr>
        <w:t xml:space="preserve"> collecting and selecting data, methods used for assessing the quality and strength of evidence, methods used for formulating the guidelines, and method of validation of guidelines (this is the </w:t>
      </w:r>
      <w:r w:rsidR="006128DC">
        <w:rPr>
          <w:lang w:val="en-GB"/>
        </w:rPr>
        <w:t>only</w:t>
      </w:r>
      <w:r w:rsidR="006303BE">
        <w:rPr>
          <w:lang w:val="en-GB"/>
        </w:rPr>
        <w:t xml:space="preserve"> CPG that includes external expert assessment). Next, there is a translated into Russian table with the levels of evidence according to the Oxford Centre for Evidence-based Medicine that has a range of evidence between 1a and 4. There is also a rating table for assessing the strength of recommendations which ranges from A to D and mentions the 1++ to 2+ scale in the description.</w:t>
      </w:r>
      <w:r w:rsidR="002112C1">
        <w:rPr>
          <w:lang w:val="en-GB"/>
        </w:rPr>
        <w:t xml:space="preserve"> </w:t>
      </w:r>
      <w:r w:rsidR="002112C1">
        <w:rPr>
          <w:lang w:val="en-GB"/>
        </w:rPr>
        <w:lastRenderedPageBreak/>
        <w:t xml:space="preserve">The text of the CPG does not refer back to either of those tables or mention any one of the possible values from the tables. </w:t>
      </w:r>
      <w:r w:rsidR="006303BE">
        <w:rPr>
          <w:lang w:val="en-GB"/>
        </w:rPr>
        <w:t xml:space="preserve"> </w:t>
      </w:r>
    </w:p>
    <w:p w14:paraId="76B64A16" w14:textId="0DDD122A" w:rsidR="00F7571B" w:rsidRDefault="006303BE" w:rsidP="00B07A1C">
      <w:pPr>
        <w:spacing w:line="480" w:lineRule="auto"/>
        <w:jc w:val="both"/>
        <w:rPr>
          <w:lang w:val="en-US"/>
        </w:rPr>
      </w:pPr>
      <w:r>
        <w:rPr>
          <w:lang w:val="en-US"/>
        </w:rPr>
        <w:tab/>
      </w:r>
      <w:r w:rsidR="00566EE4">
        <w:rPr>
          <w:lang w:val="en-US"/>
        </w:rPr>
        <w:t>The first half of the CPG has information on epidemiology of cholelithiasis in Russia and other countries, history of research of this pathology, and conditions needed for gallstones to appear (which includes multiple descriptive tables and figures). Next, there is a section titled Clinical p</w:t>
      </w:r>
      <w:r w:rsidR="00EC45DA">
        <w:rPr>
          <w:lang w:val="en-US"/>
        </w:rPr>
        <w:t>resentation</w:t>
      </w:r>
      <w:r w:rsidR="00566EE4">
        <w:rPr>
          <w:lang w:val="en-US"/>
        </w:rPr>
        <w:t xml:space="preserve">, which describes different </w:t>
      </w:r>
      <w:r w:rsidR="00876F1A">
        <w:rPr>
          <w:lang w:val="en-US"/>
        </w:rPr>
        <w:t xml:space="preserve">options of how cholelithiasis can progress and some of the most common treatments. Next is the differential diagnosis with multiple descriptive tables as well as general diagnosis with many diagnostic options. Next is the longest section on </w:t>
      </w:r>
      <w:r w:rsidR="00876F1A" w:rsidRPr="00876F1A">
        <w:rPr>
          <w:i/>
          <w:lang w:val="en-US"/>
        </w:rPr>
        <w:t>treatment strategy</w:t>
      </w:r>
      <w:r w:rsidR="00876F1A">
        <w:rPr>
          <w:lang w:val="en-US"/>
        </w:rPr>
        <w:t xml:space="preserve">, which includes: </w:t>
      </w:r>
      <w:r w:rsidR="00876F1A" w:rsidRPr="00876F1A">
        <w:rPr>
          <w:i/>
          <w:lang w:val="en-US"/>
        </w:rPr>
        <w:t>lifestyle and nutrition</w:t>
      </w:r>
      <w:r w:rsidR="00876F1A">
        <w:rPr>
          <w:lang w:val="en-US"/>
        </w:rPr>
        <w:t xml:space="preserve">; </w:t>
      </w:r>
      <w:r w:rsidR="00876F1A" w:rsidRPr="00876F1A">
        <w:rPr>
          <w:i/>
          <w:lang w:val="en-US"/>
        </w:rPr>
        <w:t>surgical treatment</w:t>
      </w:r>
      <w:r w:rsidR="00876F1A">
        <w:rPr>
          <w:lang w:val="en-US"/>
        </w:rPr>
        <w:t xml:space="preserve">; </w:t>
      </w:r>
      <w:r w:rsidR="00876F1A" w:rsidRPr="00876F1A">
        <w:rPr>
          <w:i/>
          <w:lang w:val="en-US"/>
        </w:rPr>
        <w:t xml:space="preserve">the concept of </w:t>
      </w:r>
      <w:r w:rsidR="00EC45DA" w:rsidRPr="00876F1A">
        <w:rPr>
          <w:i/>
          <w:lang w:val="en-US"/>
        </w:rPr>
        <w:t>post</w:t>
      </w:r>
      <w:r w:rsidR="00EC45DA">
        <w:rPr>
          <w:i/>
          <w:lang w:val="en-US"/>
        </w:rPr>
        <w:t>-</w:t>
      </w:r>
      <w:r w:rsidR="00EC45DA" w:rsidRPr="00876F1A">
        <w:rPr>
          <w:i/>
          <w:lang w:val="en-US"/>
        </w:rPr>
        <w:t>cholecystectomy</w:t>
      </w:r>
      <w:r w:rsidR="00876F1A" w:rsidRPr="00876F1A">
        <w:rPr>
          <w:i/>
          <w:lang w:val="en-US"/>
        </w:rPr>
        <w:t xml:space="preserve"> syndrome</w:t>
      </w:r>
      <w:r w:rsidR="00876F1A">
        <w:rPr>
          <w:lang w:val="en-US"/>
        </w:rPr>
        <w:t xml:space="preserve">; </w:t>
      </w:r>
      <w:r w:rsidR="00876F1A" w:rsidRPr="002112C1">
        <w:rPr>
          <w:i/>
          <w:lang w:val="en-US"/>
        </w:rPr>
        <w:t>minimally invasive interventions</w:t>
      </w:r>
      <w:r w:rsidR="00876F1A">
        <w:rPr>
          <w:lang w:val="en-US"/>
        </w:rPr>
        <w:t xml:space="preserve">; and </w:t>
      </w:r>
      <w:r w:rsidR="00876F1A" w:rsidRPr="002112C1">
        <w:rPr>
          <w:i/>
          <w:lang w:val="en-US"/>
        </w:rPr>
        <w:t>conservative treatment</w:t>
      </w:r>
      <w:r w:rsidR="00876F1A">
        <w:rPr>
          <w:lang w:val="en-US"/>
        </w:rPr>
        <w:t>.</w:t>
      </w:r>
      <w:r w:rsidR="002112C1">
        <w:rPr>
          <w:lang w:val="en-US"/>
        </w:rPr>
        <w:t xml:space="preserve"> Last is the </w:t>
      </w:r>
      <w:r w:rsidR="002112C1" w:rsidRPr="002112C1">
        <w:rPr>
          <w:i/>
          <w:lang w:val="en-US"/>
        </w:rPr>
        <w:t>prognosis</w:t>
      </w:r>
      <w:r w:rsidR="002112C1">
        <w:rPr>
          <w:lang w:val="en-US"/>
        </w:rPr>
        <w:t xml:space="preserve"> section with a descriptive figure. </w:t>
      </w:r>
    </w:p>
    <w:p w14:paraId="4A4514CB" w14:textId="77777777" w:rsidR="00F7571B" w:rsidRDefault="00F7571B" w:rsidP="00B07A1C">
      <w:pPr>
        <w:spacing w:line="480" w:lineRule="auto"/>
        <w:jc w:val="both"/>
        <w:rPr>
          <w:lang w:val="en-GB"/>
        </w:rPr>
      </w:pPr>
    </w:p>
    <w:p w14:paraId="573B91AD" w14:textId="77777777" w:rsidR="00F7571B" w:rsidRPr="00D848B1" w:rsidRDefault="00F7571B" w:rsidP="00B07A1C">
      <w:pPr>
        <w:spacing w:line="480" w:lineRule="auto"/>
        <w:jc w:val="both"/>
        <w:rPr>
          <w:b/>
          <w:lang w:val="en-GB"/>
        </w:rPr>
      </w:pPr>
      <w:r w:rsidRPr="00D848B1">
        <w:rPr>
          <w:b/>
          <w:lang w:val="en-GB"/>
        </w:rPr>
        <w:t xml:space="preserve">Acute pancreatitis </w:t>
      </w:r>
    </w:p>
    <w:p w14:paraId="23508333" w14:textId="4A145BCC" w:rsidR="002112C1" w:rsidRDefault="00F7571B" w:rsidP="00B07A1C">
      <w:pPr>
        <w:spacing w:line="480" w:lineRule="auto"/>
        <w:ind w:firstLine="720"/>
        <w:jc w:val="both"/>
        <w:rPr>
          <w:lang w:val="en-US"/>
        </w:rPr>
      </w:pPr>
      <w:r>
        <w:rPr>
          <w:lang w:val="en-GB"/>
        </w:rPr>
        <w:t xml:space="preserve">The Russian Society of Surgeons, the Association of Hepatopancreatic Surgeons of CIS Countries, and the Russian Society of Emergency Medicine created a collective set of CPGs for treating acute pancreatitis in 2014 [19]. </w:t>
      </w:r>
      <w:r w:rsidR="002112C1">
        <w:rPr>
          <w:lang w:val="en-GB"/>
        </w:rPr>
        <w:t>It is 32 pages long (</w:t>
      </w:r>
      <w:r w:rsidR="00EC45DA">
        <w:rPr>
          <w:lang w:val="en-GB"/>
        </w:rPr>
        <w:t>1.15-line</w:t>
      </w:r>
      <w:r w:rsidR="002112C1">
        <w:rPr>
          <w:lang w:val="en-GB"/>
        </w:rPr>
        <w:t xml:space="preserve"> spacing), which includes the title page and 18 references. From those references, 14 are in Russian and 4 are in English (but the refe</w:t>
      </w:r>
      <w:r w:rsidR="00EC45DA">
        <w:rPr>
          <w:lang w:val="en-GB"/>
        </w:rPr>
        <w:t>re</w:t>
      </w:r>
      <w:r w:rsidR="002112C1">
        <w:rPr>
          <w:lang w:val="en-GB"/>
        </w:rPr>
        <w:t xml:space="preserve">nce title is translated </w:t>
      </w:r>
      <w:r w:rsidR="00EC45DA">
        <w:rPr>
          <w:lang w:val="en-GB"/>
        </w:rPr>
        <w:t>in</w:t>
      </w:r>
      <w:r w:rsidR="002112C1">
        <w:rPr>
          <w:lang w:val="en-GB"/>
        </w:rPr>
        <w:t>to Russian). There are no in-text citation</w:t>
      </w:r>
      <w:r w:rsidR="00EC45DA">
        <w:rPr>
          <w:lang w:val="en-GB"/>
        </w:rPr>
        <w:t>s</w:t>
      </w:r>
      <w:r w:rsidR="002112C1">
        <w:rPr>
          <w:lang w:val="en-GB"/>
        </w:rPr>
        <w:t xml:space="preserve"> or any mention of the references. The CPG begins with a title page, which </w:t>
      </w:r>
      <w:r w:rsidR="00D43333">
        <w:rPr>
          <w:lang w:val="en-GB"/>
        </w:rPr>
        <w:t xml:space="preserve">lists the 3 organizations that participated in the creation of the guidelines, but the authors are not listed anywhere in the document. The spacing between paragraphs and the font size of titles is irregular, so it is difficult to distinguish sections and their subsections from one another. </w:t>
      </w:r>
    </w:p>
    <w:p w14:paraId="62C5FDD6" w14:textId="1472F2B5" w:rsidR="00503C37" w:rsidRDefault="00D43333" w:rsidP="00B07A1C">
      <w:pPr>
        <w:spacing w:line="480" w:lineRule="auto"/>
        <w:ind w:firstLine="720"/>
        <w:jc w:val="both"/>
        <w:rPr>
          <w:lang w:val="en-US"/>
        </w:rPr>
      </w:pPr>
      <w:r>
        <w:rPr>
          <w:lang w:val="en-US"/>
        </w:rPr>
        <w:lastRenderedPageBreak/>
        <w:t xml:space="preserve">The body of the document begins with an </w:t>
      </w:r>
      <w:r w:rsidRPr="00D43333">
        <w:rPr>
          <w:i/>
          <w:lang w:val="en-US"/>
        </w:rPr>
        <w:t>introduction</w:t>
      </w:r>
      <w:r>
        <w:rPr>
          <w:lang w:val="en-US"/>
        </w:rPr>
        <w:t xml:space="preserve"> section, which states what CPGs are, how they are used, and why they are important. Next is the </w:t>
      </w:r>
      <w:r w:rsidRPr="00D43333">
        <w:rPr>
          <w:i/>
          <w:lang w:val="en-US"/>
        </w:rPr>
        <w:t>definition and classification</w:t>
      </w:r>
      <w:r>
        <w:rPr>
          <w:lang w:val="en-US"/>
        </w:rPr>
        <w:t xml:space="preserve"> of the </w:t>
      </w:r>
      <w:r w:rsidR="00EC45DA">
        <w:rPr>
          <w:lang w:val="en-US"/>
        </w:rPr>
        <w:t>pathology</w:t>
      </w:r>
      <w:r>
        <w:rPr>
          <w:lang w:val="en-US"/>
        </w:rPr>
        <w:t xml:space="preserve">. The classification includes 3 types of acute pancreatitis based on the severity. Next are </w:t>
      </w:r>
      <w:r w:rsidR="00DD560D">
        <w:rPr>
          <w:lang w:val="en-US"/>
        </w:rPr>
        <w:t>etiological</w:t>
      </w:r>
      <w:r>
        <w:rPr>
          <w:lang w:val="en-US"/>
        </w:rPr>
        <w:t xml:space="preserve"> forms of acute pancreatitis, pathogenesis, definition of t</w:t>
      </w:r>
      <w:r w:rsidR="00F940CF">
        <w:rPr>
          <w:lang w:val="en-US"/>
        </w:rPr>
        <w:t xml:space="preserve">he onset of acute pancreatitis, phases of acute pancreatitis, terminology, and primary and emergency medical care for acute pancreatitis. </w:t>
      </w:r>
      <w:r w:rsidR="00913606">
        <w:rPr>
          <w:lang w:val="en-US"/>
        </w:rPr>
        <w:t xml:space="preserve">After that the document is divided into 2 main sections: </w:t>
      </w:r>
      <w:r w:rsidR="00913606" w:rsidRPr="00913606">
        <w:rPr>
          <w:i/>
          <w:lang w:val="en-US"/>
        </w:rPr>
        <w:t>early</w:t>
      </w:r>
      <w:r w:rsidR="00913606">
        <w:rPr>
          <w:lang w:val="en-US"/>
        </w:rPr>
        <w:t xml:space="preserve"> and </w:t>
      </w:r>
      <w:r w:rsidR="00913606" w:rsidRPr="00913606">
        <w:rPr>
          <w:i/>
          <w:lang w:val="en-US"/>
        </w:rPr>
        <w:t>late</w:t>
      </w:r>
      <w:r w:rsidR="00913606">
        <w:rPr>
          <w:lang w:val="en-US"/>
        </w:rPr>
        <w:t xml:space="preserve"> </w:t>
      </w:r>
      <w:r w:rsidR="00913606" w:rsidRPr="00913606">
        <w:rPr>
          <w:i/>
          <w:lang w:val="en-US"/>
        </w:rPr>
        <w:t>phases</w:t>
      </w:r>
      <w:r w:rsidR="00913606">
        <w:rPr>
          <w:lang w:val="en-US"/>
        </w:rPr>
        <w:t xml:space="preserve"> of the disease.</w:t>
      </w:r>
    </w:p>
    <w:p w14:paraId="60A7F16D" w14:textId="3E2C28A3" w:rsidR="00913606" w:rsidRDefault="00913606" w:rsidP="00B07A1C">
      <w:pPr>
        <w:spacing w:line="480" w:lineRule="auto"/>
        <w:ind w:firstLine="720"/>
        <w:jc w:val="both"/>
        <w:rPr>
          <w:lang w:val="en-US"/>
        </w:rPr>
      </w:pPr>
      <w:r>
        <w:rPr>
          <w:lang w:val="en-US"/>
        </w:rPr>
        <w:t>First</w:t>
      </w:r>
      <w:r w:rsidR="00F940CF">
        <w:rPr>
          <w:lang w:val="en-US"/>
        </w:rPr>
        <w:t xml:space="preserve"> is the</w:t>
      </w:r>
      <w:r w:rsidR="00C53F77">
        <w:rPr>
          <w:lang w:val="en-US"/>
        </w:rPr>
        <w:t xml:space="preserve"> section called</w:t>
      </w:r>
      <w:r w:rsidR="00F940CF">
        <w:rPr>
          <w:lang w:val="en-US"/>
        </w:rPr>
        <w:t xml:space="preserve"> </w:t>
      </w:r>
      <w:r w:rsidR="00C53F77" w:rsidRPr="00C53F77">
        <w:rPr>
          <w:i/>
          <w:lang w:val="en-US"/>
        </w:rPr>
        <w:t>early phase of acute pancreatitis</w:t>
      </w:r>
      <w:r w:rsidR="00C53F77">
        <w:rPr>
          <w:lang w:val="en-US"/>
        </w:rPr>
        <w:t>. Throughout t</w:t>
      </w:r>
      <w:r>
        <w:rPr>
          <w:lang w:val="en-US"/>
        </w:rPr>
        <w:t>his section there are red bold</w:t>
      </w:r>
      <w:r w:rsidR="00C53F77">
        <w:rPr>
          <w:lang w:val="en-US"/>
        </w:rPr>
        <w:t xml:space="preserve"> and italicized </w:t>
      </w:r>
      <w:r w:rsidR="00503C37">
        <w:rPr>
          <w:lang w:val="en-US"/>
        </w:rPr>
        <w:t>ph</w:t>
      </w:r>
      <w:r w:rsidR="00234A2F">
        <w:rPr>
          <w:lang w:val="en-US"/>
        </w:rPr>
        <w:t>r</w:t>
      </w:r>
      <w:r w:rsidR="00503C37">
        <w:rPr>
          <w:lang w:val="en-US"/>
        </w:rPr>
        <w:t xml:space="preserve">ases stating “strength of recommendation” and a value between A and D. There is no reference to where the rating comes from, but a table with the grading system for the strength of recommendations is included at the very end of the CPG. There is no reference in regard to where the table comes from. </w:t>
      </w:r>
      <w:r>
        <w:rPr>
          <w:lang w:val="en-US"/>
        </w:rPr>
        <w:t xml:space="preserve">In the beginning </w:t>
      </w:r>
      <w:r w:rsidR="000B617E">
        <w:rPr>
          <w:lang w:val="en-US"/>
        </w:rPr>
        <w:t xml:space="preserve">of </w:t>
      </w:r>
      <w:r w:rsidR="00503C37" w:rsidRPr="00C53F77">
        <w:rPr>
          <w:i/>
          <w:lang w:val="en-US"/>
        </w:rPr>
        <w:t>early phase of acute pancreatitis</w:t>
      </w:r>
      <w:r w:rsidR="00C53F77">
        <w:rPr>
          <w:lang w:val="en-US"/>
        </w:rPr>
        <w:t xml:space="preserve"> </w:t>
      </w:r>
      <w:r w:rsidR="000B617E">
        <w:rPr>
          <w:lang w:val="en-US"/>
        </w:rPr>
        <w:t>there are</w:t>
      </w:r>
      <w:r w:rsidR="00C53F77">
        <w:rPr>
          <w:lang w:val="en-US"/>
        </w:rPr>
        <w:t xml:space="preserve"> 6 parts</w:t>
      </w:r>
      <w:r w:rsidR="000B617E">
        <w:rPr>
          <w:lang w:val="en-US"/>
        </w:rPr>
        <w:t xml:space="preserve"> that deal with different levels of the pathology and diagnosis methods</w:t>
      </w:r>
      <w:r w:rsidR="00C53F77">
        <w:rPr>
          <w:lang w:val="en-US"/>
        </w:rPr>
        <w:t xml:space="preserve">. They are: </w:t>
      </w:r>
      <w:r w:rsidR="00C53F77" w:rsidRPr="00913606">
        <w:rPr>
          <w:i/>
          <w:lang w:val="en-US"/>
        </w:rPr>
        <w:t>primary diagnostic p</w:t>
      </w:r>
      <w:r w:rsidR="00503C37" w:rsidRPr="00913606">
        <w:rPr>
          <w:i/>
          <w:lang w:val="en-US"/>
        </w:rPr>
        <w:t>rotocol and treatment strategies; protocol of treatment of acute pancreatitis of</w:t>
      </w:r>
      <w:r w:rsidRPr="00913606">
        <w:rPr>
          <w:i/>
          <w:lang w:val="en-US"/>
        </w:rPr>
        <w:t xml:space="preserve"> low severity; protocol of intensive treatment of acute pancreatitis of medium severity; protocol of intensive treatment of acute pancreatitis of high severity; protocol of laparoscopic surgery; </w:t>
      </w:r>
      <w:r w:rsidRPr="00913606">
        <w:rPr>
          <w:lang w:val="en-US"/>
        </w:rPr>
        <w:t>and</w:t>
      </w:r>
      <w:r w:rsidRPr="00913606">
        <w:rPr>
          <w:i/>
          <w:lang w:val="en-US"/>
        </w:rPr>
        <w:t xml:space="preserve"> computer tomography</w:t>
      </w:r>
      <w:r>
        <w:rPr>
          <w:lang w:val="en-US"/>
        </w:rPr>
        <w:t xml:space="preserve">. The next </w:t>
      </w:r>
      <w:r w:rsidR="000B617E">
        <w:rPr>
          <w:lang w:val="en-US"/>
        </w:rPr>
        <w:t>sub</w:t>
      </w:r>
      <w:r>
        <w:rPr>
          <w:lang w:val="en-US"/>
        </w:rPr>
        <w:t xml:space="preserve">section is called </w:t>
      </w:r>
      <w:r w:rsidRPr="00913606">
        <w:rPr>
          <w:i/>
          <w:lang w:val="en-US"/>
        </w:rPr>
        <w:t>protocols of diagnosis and treatment of acute pancreatitis in the early phase of the disease</w:t>
      </w:r>
      <w:r>
        <w:rPr>
          <w:lang w:val="en-US"/>
        </w:rPr>
        <w:t xml:space="preserve">. It consists of 2 parts: </w:t>
      </w:r>
      <w:r w:rsidRPr="00913606">
        <w:rPr>
          <w:i/>
          <w:lang w:val="en-US"/>
        </w:rPr>
        <w:t xml:space="preserve">protocol of diagnosis and monitoring of </w:t>
      </w:r>
      <w:proofErr w:type="spellStart"/>
      <w:r w:rsidRPr="00913606">
        <w:rPr>
          <w:i/>
          <w:lang w:val="en-US"/>
        </w:rPr>
        <w:t>peripancreatic</w:t>
      </w:r>
      <w:proofErr w:type="spellEnd"/>
      <w:r w:rsidRPr="00913606">
        <w:rPr>
          <w:i/>
          <w:lang w:val="en-US"/>
        </w:rPr>
        <w:t xml:space="preserve"> infiltrate </w:t>
      </w:r>
      <w:r w:rsidRPr="00913606">
        <w:rPr>
          <w:lang w:val="en-US"/>
        </w:rPr>
        <w:t>and</w:t>
      </w:r>
      <w:r w:rsidRPr="00913606">
        <w:rPr>
          <w:i/>
          <w:lang w:val="en-US"/>
        </w:rPr>
        <w:t xml:space="preserve"> protocol of treatment strategy to </w:t>
      </w:r>
      <w:proofErr w:type="spellStart"/>
      <w:r w:rsidRPr="00913606">
        <w:rPr>
          <w:i/>
          <w:lang w:val="en-US"/>
        </w:rPr>
        <w:t>peripancreatic</w:t>
      </w:r>
      <w:proofErr w:type="spellEnd"/>
      <w:r w:rsidRPr="00913606">
        <w:rPr>
          <w:i/>
          <w:lang w:val="en-US"/>
        </w:rPr>
        <w:t xml:space="preserve"> infiltrate</w:t>
      </w:r>
      <w:r>
        <w:rPr>
          <w:lang w:val="en-US"/>
        </w:rPr>
        <w:t xml:space="preserve">. </w:t>
      </w:r>
    </w:p>
    <w:p w14:paraId="25E5D803" w14:textId="77777777" w:rsidR="00F7571B" w:rsidRDefault="000B617E" w:rsidP="00B07A1C">
      <w:pPr>
        <w:spacing w:line="480" w:lineRule="auto"/>
        <w:ind w:firstLine="720"/>
        <w:jc w:val="both"/>
        <w:rPr>
          <w:lang w:val="en-US"/>
        </w:rPr>
      </w:pPr>
      <w:r>
        <w:rPr>
          <w:lang w:val="en-US"/>
        </w:rPr>
        <w:t xml:space="preserve">Next is the section called </w:t>
      </w:r>
      <w:r w:rsidRPr="000B617E">
        <w:rPr>
          <w:i/>
          <w:lang w:val="en-US"/>
        </w:rPr>
        <w:t>late phase of acute pancreatitis</w:t>
      </w:r>
      <w:r w:rsidRPr="000B617E">
        <w:rPr>
          <w:lang w:val="en-US"/>
        </w:rPr>
        <w:t>.</w:t>
      </w:r>
      <w:r>
        <w:rPr>
          <w:lang w:val="en-US"/>
        </w:rPr>
        <w:t xml:space="preserve"> It consists of 2 parts: </w:t>
      </w:r>
      <w:r w:rsidRPr="000B617E">
        <w:rPr>
          <w:i/>
          <w:lang w:val="en-US"/>
        </w:rPr>
        <w:t>protocols of diagnosis and treatment of acute pancreatitis in the aseptic sequestration phase</w:t>
      </w:r>
      <w:r>
        <w:rPr>
          <w:lang w:val="en-US"/>
        </w:rPr>
        <w:t xml:space="preserve"> (which includes </w:t>
      </w:r>
      <w:r w:rsidRPr="000B617E">
        <w:rPr>
          <w:i/>
          <w:lang w:val="en-US"/>
        </w:rPr>
        <w:t>protocol of diagnosis and monitoring of pancreatic pseudocysts</w:t>
      </w:r>
      <w:r>
        <w:rPr>
          <w:lang w:val="en-US"/>
        </w:rPr>
        <w:t xml:space="preserve"> and </w:t>
      </w:r>
      <w:r w:rsidRPr="000B617E">
        <w:rPr>
          <w:i/>
          <w:lang w:val="en-US"/>
        </w:rPr>
        <w:t xml:space="preserve">protocol of treatment of </w:t>
      </w:r>
      <w:r w:rsidRPr="000B617E">
        <w:rPr>
          <w:i/>
          <w:lang w:val="en-US"/>
        </w:rPr>
        <w:lastRenderedPageBreak/>
        <w:t>pseudocysts of the pancreas</w:t>
      </w:r>
      <w:r>
        <w:rPr>
          <w:lang w:val="en-US"/>
        </w:rPr>
        <w:t xml:space="preserve">) and </w:t>
      </w:r>
      <w:r w:rsidRPr="000B617E">
        <w:rPr>
          <w:i/>
          <w:lang w:val="en-US"/>
        </w:rPr>
        <w:t>protocols of diagnosis and treatmen</w:t>
      </w:r>
      <w:r>
        <w:rPr>
          <w:i/>
          <w:lang w:val="en-US"/>
        </w:rPr>
        <w:t xml:space="preserve">t of acute pancreatitis in the </w:t>
      </w:r>
      <w:r w:rsidRPr="000B617E">
        <w:rPr>
          <w:i/>
          <w:lang w:val="en-US"/>
        </w:rPr>
        <w:t>septic sequestration phase</w:t>
      </w:r>
      <w:r>
        <w:rPr>
          <w:i/>
          <w:lang w:val="en-US"/>
        </w:rPr>
        <w:t xml:space="preserve"> </w:t>
      </w:r>
      <w:r w:rsidRPr="000B617E">
        <w:rPr>
          <w:lang w:val="en-US"/>
        </w:rPr>
        <w:t>(which includes</w:t>
      </w:r>
      <w:r>
        <w:rPr>
          <w:i/>
          <w:lang w:val="en-US"/>
        </w:rPr>
        <w:t xml:space="preserve"> </w:t>
      </w:r>
      <w:r w:rsidR="00503C37" w:rsidRPr="000B617E">
        <w:rPr>
          <w:i/>
          <w:lang w:val="en-US"/>
        </w:rPr>
        <w:t xml:space="preserve">protocol of </w:t>
      </w:r>
      <w:r w:rsidRPr="000B617E">
        <w:rPr>
          <w:i/>
          <w:lang w:val="en-US"/>
        </w:rPr>
        <w:t>diagnosis</w:t>
      </w:r>
      <w:r w:rsidR="00503C37" w:rsidRPr="000B617E">
        <w:rPr>
          <w:i/>
          <w:lang w:val="en-US"/>
        </w:rPr>
        <w:t xml:space="preserve"> of purulent compl</w:t>
      </w:r>
      <w:r w:rsidRPr="000B617E">
        <w:rPr>
          <w:i/>
          <w:lang w:val="en-US"/>
        </w:rPr>
        <w:t>ications of acute pancreatitis</w:t>
      </w:r>
      <w:r w:rsidRPr="000B617E">
        <w:rPr>
          <w:lang w:val="en-US"/>
        </w:rPr>
        <w:t xml:space="preserve"> and</w:t>
      </w:r>
      <w:r w:rsidRPr="000B617E">
        <w:rPr>
          <w:i/>
          <w:lang w:val="en-US"/>
        </w:rPr>
        <w:t xml:space="preserve">  protocol of treatment of purulent complications of acute pancreatitis</w:t>
      </w:r>
      <w:r w:rsidR="00DF40F6" w:rsidRPr="00DF40F6">
        <w:rPr>
          <w:lang w:val="en-US"/>
        </w:rPr>
        <w:t>)</w:t>
      </w:r>
      <w:r w:rsidR="00DF40F6">
        <w:rPr>
          <w:lang w:val="en-US"/>
        </w:rPr>
        <w:t>.</w:t>
      </w:r>
    </w:p>
    <w:p w14:paraId="7D9CB6C4" w14:textId="77777777" w:rsidR="00DF40F6" w:rsidRPr="000B617E" w:rsidRDefault="00DF40F6" w:rsidP="00B07A1C">
      <w:pPr>
        <w:spacing w:line="480" w:lineRule="auto"/>
        <w:ind w:firstLine="720"/>
        <w:jc w:val="both"/>
        <w:rPr>
          <w:i/>
          <w:lang w:val="en-US"/>
        </w:rPr>
      </w:pPr>
      <w:r>
        <w:rPr>
          <w:lang w:val="en-US"/>
        </w:rPr>
        <w:t xml:space="preserve">The last section in the CPG is called Methodology, which includes the previously mentioned tables on levels of evidence (1++ to 4) and strength of recommendation (A through D). Under the tables, it is stated that the strength of recommendations and the level of evidence is included when the recommendations are given in the body of the text. </w:t>
      </w:r>
    </w:p>
    <w:p w14:paraId="001C6894" w14:textId="77777777" w:rsidR="00F7571B" w:rsidRDefault="00F7571B" w:rsidP="00B07A1C">
      <w:pPr>
        <w:spacing w:line="480" w:lineRule="auto"/>
        <w:jc w:val="both"/>
        <w:rPr>
          <w:lang w:val="en-GB"/>
        </w:rPr>
      </w:pPr>
      <w:r>
        <w:rPr>
          <w:lang w:val="en-GB"/>
        </w:rPr>
        <w:tab/>
      </w:r>
    </w:p>
    <w:p w14:paraId="5CE4B47B" w14:textId="77777777" w:rsidR="00F7571B" w:rsidRPr="00D848B1" w:rsidRDefault="00F7571B" w:rsidP="00B07A1C">
      <w:pPr>
        <w:spacing w:line="480" w:lineRule="auto"/>
        <w:jc w:val="both"/>
        <w:rPr>
          <w:b/>
          <w:lang w:val="en-GB"/>
        </w:rPr>
      </w:pPr>
      <w:r w:rsidRPr="00D848B1">
        <w:rPr>
          <w:b/>
          <w:lang w:val="en-GB"/>
        </w:rPr>
        <w:t xml:space="preserve">Chronic pancreatitis </w:t>
      </w:r>
    </w:p>
    <w:p w14:paraId="4CECADCC" w14:textId="7E382A96" w:rsidR="00F978A9" w:rsidRDefault="00F7571B" w:rsidP="00B07A1C">
      <w:pPr>
        <w:spacing w:line="480" w:lineRule="auto"/>
        <w:ind w:firstLine="720"/>
        <w:jc w:val="both"/>
        <w:rPr>
          <w:lang w:val="en-GB"/>
        </w:rPr>
      </w:pPr>
      <w:r>
        <w:rPr>
          <w:lang w:val="en-GB"/>
        </w:rPr>
        <w:t xml:space="preserve">The Russian Society of Surgeons and the Association of Hepatopancreatic Surgeons of CIS Countries created a collective set of CPGs for treating chronic pancreatitis in 2014 [21]. </w:t>
      </w:r>
      <w:r w:rsidR="00DF40F6">
        <w:rPr>
          <w:lang w:val="en-GB"/>
        </w:rPr>
        <w:t>It is 49 pages long (</w:t>
      </w:r>
      <w:r w:rsidR="00234A2F">
        <w:rPr>
          <w:lang w:val="en-GB"/>
        </w:rPr>
        <w:t>1.5-line</w:t>
      </w:r>
      <w:r w:rsidR="00DF40F6">
        <w:rPr>
          <w:lang w:val="en-GB"/>
        </w:rPr>
        <w:t xml:space="preserve"> spacing), which includes the title page and 60 references. From those references, 14 are in Russian and 46 are in English. </w:t>
      </w:r>
      <w:r w:rsidR="003C0F57">
        <w:rPr>
          <w:lang w:val="en-GB"/>
        </w:rPr>
        <w:t xml:space="preserve">The in-text citations are consistently used throughout the text. </w:t>
      </w:r>
      <w:r w:rsidR="00DF40F6">
        <w:rPr>
          <w:lang w:val="en-GB"/>
        </w:rPr>
        <w:t xml:space="preserve">The CPG begins with a title page, which </w:t>
      </w:r>
      <w:r w:rsidR="00A56F07">
        <w:rPr>
          <w:lang w:val="en-GB"/>
        </w:rPr>
        <w:t>is followed by a list of authors, which includes a project coordinator (1 person), work coordinators (2), expert committee (19</w:t>
      </w:r>
      <w:r w:rsidR="00F13019">
        <w:rPr>
          <w:lang w:val="en-GB"/>
        </w:rPr>
        <w:t>)</w:t>
      </w:r>
      <w:r w:rsidR="00A56F07">
        <w:rPr>
          <w:lang w:val="en-GB"/>
        </w:rPr>
        <w:t>, workgroup for guideline creation</w:t>
      </w:r>
      <w:r w:rsidR="00F13019">
        <w:rPr>
          <w:lang w:val="en-GB"/>
        </w:rPr>
        <w:t xml:space="preserve"> (11) for a total of 33 authors.</w:t>
      </w:r>
      <w:r w:rsidR="00DF40F6">
        <w:rPr>
          <w:lang w:val="en-GB"/>
        </w:rPr>
        <w:t xml:space="preserve"> </w:t>
      </w:r>
      <w:r w:rsidR="00F13019">
        <w:rPr>
          <w:lang w:val="en-GB"/>
        </w:rPr>
        <w:t>T</w:t>
      </w:r>
      <w:r w:rsidR="00DF40F6">
        <w:rPr>
          <w:lang w:val="en-GB"/>
        </w:rPr>
        <w:t>heir affiliated cities and academic level (</w:t>
      </w:r>
      <w:r w:rsidR="00F13019">
        <w:rPr>
          <w:lang w:val="en-GB"/>
        </w:rPr>
        <w:t>academician, DSc or PhD</w:t>
      </w:r>
      <w:r w:rsidR="00DF40F6">
        <w:rPr>
          <w:lang w:val="en-GB"/>
        </w:rPr>
        <w:t>)</w:t>
      </w:r>
      <w:r w:rsidR="00F13019">
        <w:rPr>
          <w:lang w:val="en-GB"/>
        </w:rPr>
        <w:t xml:space="preserve"> are also listed</w:t>
      </w:r>
      <w:r w:rsidR="00DF40F6">
        <w:rPr>
          <w:lang w:val="en-GB"/>
        </w:rPr>
        <w:t xml:space="preserve">. </w:t>
      </w:r>
      <w:r w:rsidR="00F13019">
        <w:rPr>
          <w:lang w:val="en-GB"/>
        </w:rPr>
        <w:t>After that there is a table of contents.</w:t>
      </w:r>
      <w:r w:rsidR="004F11F2">
        <w:rPr>
          <w:lang w:val="en-GB"/>
        </w:rPr>
        <w:t xml:space="preserve"> Not all items from the text are mentioned in the table of contents.</w:t>
      </w:r>
      <w:r w:rsidR="00F13019">
        <w:rPr>
          <w:lang w:val="en-GB"/>
        </w:rPr>
        <w:t xml:space="preserve"> Next, there is a list of abbrev</w:t>
      </w:r>
      <w:r w:rsidR="00396D65">
        <w:rPr>
          <w:lang w:val="en-GB"/>
        </w:rPr>
        <w:t>iations used throughout the CPG</w:t>
      </w:r>
      <w:r w:rsidR="00F13019">
        <w:rPr>
          <w:lang w:val="en-GB"/>
        </w:rPr>
        <w:t xml:space="preserve"> and a section on the goals of the CPG and its intended use. </w:t>
      </w:r>
      <w:r w:rsidR="00DF40F6">
        <w:rPr>
          <w:lang w:val="en-GB"/>
        </w:rPr>
        <w:t>Next, there is a t</w:t>
      </w:r>
      <w:r w:rsidR="00F13019">
        <w:rPr>
          <w:lang w:val="en-GB"/>
        </w:rPr>
        <w:t>able with the strength of recommendations</w:t>
      </w:r>
      <w:r w:rsidR="00DF40F6">
        <w:rPr>
          <w:lang w:val="en-GB"/>
        </w:rPr>
        <w:t xml:space="preserve"> </w:t>
      </w:r>
      <w:r w:rsidR="00F13019">
        <w:rPr>
          <w:lang w:val="en-GB"/>
        </w:rPr>
        <w:t xml:space="preserve">(classes I-IV) and a table with the levels of evidence (A-D). It is stated that these tables are internationally recognized but there is no reference as to where they are taken from. </w:t>
      </w:r>
      <w:r w:rsidR="00DF40F6">
        <w:rPr>
          <w:lang w:val="en-GB"/>
        </w:rPr>
        <w:t>References to th</w:t>
      </w:r>
      <w:r w:rsidR="00F13019">
        <w:rPr>
          <w:lang w:val="en-GB"/>
        </w:rPr>
        <w:t>ose</w:t>
      </w:r>
      <w:r w:rsidR="00DF40F6">
        <w:rPr>
          <w:lang w:val="en-GB"/>
        </w:rPr>
        <w:t xml:space="preserve"> table</w:t>
      </w:r>
      <w:r w:rsidR="00F13019">
        <w:rPr>
          <w:lang w:val="en-GB"/>
        </w:rPr>
        <w:t xml:space="preserve">s, </w:t>
      </w:r>
      <w:r w:rsidR="00DF40F6">
        <w:rPr>
          <w:lang w:val="en-GB"/>
        </w:rPr>
        <w:t>levels of evidence</w:t>
      </w:r>
      <w:r w:rsidR="00F13019">
        <w:rPr>
          <w:lang w:val="en-GB"/>
        </w:rPr>
        <w:t>, and strength of recommendations</w:t>
      </w:r>
      <w:r w:rsidR="00DF40F6">
        <w:rPr>
          <w:lang w:val="en-GB"/>
        </w:rPr>
        <w:t xml:space="preserve"> are </w:t>
      </w:r>
      <w:r w:rsidR="00DF40F6">
        <w:rPr>
          <w:lang w:val="en-GB"/>
        </w:rPr>
        <w:lastRenderedPageBreak/>
        <w:t>made consistently throughout the text. After that there is a</w:t>
      </w:r>
      <w:r w:rsidR="00F13019">
        <w:rPr>
          <w:lang w:val="en-GB"/>
        </w:rPr>
        <w:t>n</w:t>
      </w:r>
      <w:r w:rsidR="00DF40F6">
        <w:rPr>
          <w:lang w:val="en-GB"/>
        </w:rPr>
        <w:t xml:space="preserve"> </w:t>
      </w:r>
      <w:r w:rsidR="00F13019">
        <w:rPr>
          <w:lang w:val="en-GB"/>
        </w:rPr>
        <w:t xml:space="preserve">explanation of the search strategy for </w:t>
      </w:r>
      <w:r w:rsidR="00F978A9">
        <w:rPr>
          <w:lang w:val="en-GB"/>
        </w:rPr>
        <w:t>evidence and how the CPG will be updated.</w:t>
      </w:r>
    </w:p>
    <w:p w14:paraId="2ED44E8A" w14:textId="77777777" w:rsidR="00D848B1" w:rsidRPr="00F7571B" w:rsidRDefault="00F978A9" w:rsidP="00B07A1C">
      <w:pPr>
        <w:spacing w:line="480" w:lineRule="auto"/>
        <w:ind w:firstLine="720"/>
        <w:jc w:val="both"/>
        <w:rPr>
          <w:lang w:val="en-GB"/>
        </w:rPr>
      </w:pPr>
      <w:r>
        <w:rPr>
          <w:lang w:val="en-GB"/>
        </w:rPr>
        <w:t>The rest of the CPG is divided in 7 sections that are conveniently mentioned in the table of contents. At the end of most sections and their subsections, there is a bolded statement (usually between 1-4 paragraphs) that is titled “recommendations” (</w:t>
      </w:r>
      <w:r>
        <w:t>р</w:t>
      </w:r>
      <w:proofErr w:type="spellStart"/>
      <w:r w:rsidRPr="00F978A9">
        <w:rPr>
          <w:lang w:val="en-GB"/>
        </w:rPr>
        <w:t>екомендации</w:t>
      </w:r>
      <w:proofErr w:type="spellEnd"/>
      <w:r>
        <w:rPr>
          <w:lang w:val="en-GB"/>
        </w:rPr>
        <w:t xml:space="preserve">) with explicit guidelines and a level of evidence (A-D). The 7 main sections are: </w:t>
      </w:r>
      <w:r w:rsidRPr="00FD5461">
        <w:rPr>
          <w:i/>
          <w:lang w:val="en-GB"/>
        </w:rPr>
        <w:t>definition</w:t>
      </w:r>
      <w:r>
        <w:rPr>
          <w:lang w:val="en-GB"/>
        </w:rPr>
        <w:t xml:space="preserve">; </w:t>
      </w:r>
      <w:r w:rsidRPr="00FD5461">
        <w:rPr>
          <w:i/>
          <w:lang w:val="en-GB"/>
        </w:rPr>
        <w:t>epidemiology</w:t>
      </w:r>
      <w:r>
        <w:rPr>
          <w:lang w:val="en-GB"/>
        </w:rPr>
        <w:t xml:space="preserve">; </w:t>
      </w:r>
      <w:proofErr w:type="spellStart"/>
      <w:r w:rsidRPr="00FD5461">
        <w:rPr>
          <w:i/>
          <w:lang w:val="en-GB"/>
        </w:rPr>
        <w:t>etiology</w:t>
      </w:r>
      <w:proofErr w:type="spellEnd"/>
      <w:r w:rsidR="00FD5461">
        <w:rPr>
          <w:i/>
          <w:lang w:val="en-GB"/>
        </w:rPr>
        <w:t xml:space="preserve"> and pathogenesis</w:t>
      </w:r>
      <w:r>
        <w:rPr>
          <w:lang w:val="en-GB"/>
        </w:rPr>
        <w:t xml:space="preserve">; </w:t>
      </w:r>
      <w:r w:rsidRPr="00FD5461">
        <w:rPr>
          <w:i/>
          <w:lang w:val="en-GB"/>
        </w:rPr>
        <w:t>classification of chronic pancreatitis</w:t>
      </w:r>
      <w:r w:rsidR="00FD5461">
        <w:rPr>
          <w:i/>
          <w:lang w:val="en-GB"/>
        </w:rPr>
        <w:t xml:space="preserve"> </w:t>
      </w:r>
      <w:r w:rsidR="00FD5461" w:rsidRPr="004F11F2">
        <w:rPr>
          <w:lang w:val="en-GB"/>
        </w:rPr>
        <w:t xml:space="preserve">(which includes a descriptive table with ICB-10 codes that are related to </w:t>
      </w:r>
      <w:r w:rsidR="004F11F2">
        <w:rPr>
          <w:lang w:val="en-GB"/>
        </w:rPr>
        <w:t xml:space="preserve">pancreatic </w:t>
      </w:r>
      <w:r w:rsidR="00FD5461" w:rsidRPr="004F11F2">
        <w:rPr>
          <w:lang w:val="en-GB"/>
        </w:rPr>
        <w:t>conditions</w:t>
      </w:r>
      <w:r w:rsidR="004F11F2">
        <w:rPr>
          <w:lang w:val="en-GB"/>
        </w:rPr>
        <w:t xml:space="preserve"> and a table with the </w:t>
      </w:r>
      <w:r w:rsidR="004F11F2" w:rsidRPr="004F11F2">
        <w:rPr>
          <w:lang w:val="en-GB"/>
        </w:rPr>
        <w:t>Marseilles-Rome international classification</w:t>
      </w:r>
      <w:r w:rsidR="004F11F2">
        <w:rPr>
          <w:lang w:val="en-GB"/>
        </w:rPr>
        <w:t>)</w:t>
      </w:r>
      <w:r>
        <w:rPr>
          <w:lang w:val="en-GB"/>
        </w:rPr>
        <w:t xml:space="preserve">; </w:t>
      </w:r>
      <w:r w:rsidRPr="00FD5461">
        <w:rPr>
          <w:i/>
          <w:lang w:val="en-GB"/>
        </w:rPr>
        <w:t>diagnosis</w:t>
      </w:r>
      <w:r>
        <w:rPr>
          <w:lang w:val="en-GB"/>
        </w:rPr>
        <w:t xml:space="preserve"> (which includes</w:t>
      </w:r>
      <w:r w:rsidR="004F11F2">
        <w:rPr>
          <w:lang w:val="en-GB"/>
        </w:rPr>
        <w:t xml:space="preserve"> the natural course of chronic pancreatitis,</w:t>
      </w:r>
      <w:r w:rsidR="00B07A1C">
        <w:rPr>
          <w:lang w:val="en-GB"/>
        </w:rPr>
        <w:t xml:space="preserve"> diagnosis of chronic pancreatitis and its complications,</w:t>
      </w:r>
      <w:r>
        <w:rPr>
          <w:lang w:val="en-GB"/>
        </w:rPr>
        <w:t xml:space="preserve"> </w:t>
      </w:r>
      <w:r w:rsidRPr="00FD5461">
        <w:rPr>
          <w:i/>
          <w:lang w:val="en-GB"/>
        </w:rPr>
        <w:t>ultrasound</w:t>
      </w:r>
      <w:r>
        <w:rPr>
          <w:lang w:val="en-GB"/>
        </w:rPr>
        <w:t xml:space="preserve">, </w:t>
      </w:r>
      <w:r w:rsidRPr="00FD5461">
        <w:rPr>
          <w:i/>
          <w:lang w:val="en-GB"/>
        </w:rPr>
        <w:t>endoscopic ultrasound</w:t>
      </w:r>
      <w:r>
        <w:rPr>
          <w:lang w:val="en-GB"/>
        </w:rPr>
        <w:t xml:space="preserve">, </w:t>
      </w:r>
      <w:r w:rsidRPr="00FD5461">
        <w:rPr>
          <w:i/>
          <w:lang w:val="en-GB"/>
        </w:rPr>
        <w:t>computer tomography</w:t>
      </w:r>
      <w:r>
        <w:rPr>
          <w:lang w:val="en-GB"/>
        </w:rPr>
        <w:t xml:space="preserve">, </w:t>
      </w:r>
      <w:r w:rsidRPr="00FD5461">
        <w:rPr>
          <w:i/>
          <w:lang w:val="en-GB"/>
        </w:rPr>
        <w:t>magnetic resonance imaging</w:t>
      </w:r>
      <w:r>
        <w:rPr>
          <w:lang w:val="en-GB"/>
        </w:rPr>
        <w:t xml:space="preserve">, and </w:t>
      </w:r>
      <w:r w:rsidRPr="00FD5461">
        <w:rPr>
          <w:i/>
          <w:lang w:val="en-GB"/>
        </w:rPr>
        <w:t>esophagogastroduodenoscopy</w:t>
      </w:r>
      <w:r>
        <w:rPr>
          <w:lang w:val="en-GB"/>
        </w:rPr>
        <w:t xml:space="preserve">); </w:t>
      </w:r>
      <w:r w:rsidR="00B07A1C" w:rsidRPr="00B07A1C">
        <w:rPr>
          <w:i/>
          <w:lang w:val="en-GB"/>
        </w:rPr>
        <w:t xml:space="preserve">endoscopic and </w:t>
      </w:r>
      <w:r w:rsidRPr="00FD5461">
        <w:rPr>
          <w:i/>
          <w:lang w:val="en-GB"/>
        </w:rPr>
        <w:t>surgical treatment of patients with chronic pancreatitis</w:t>
      </w:r>
      <w:r>
        <w:rPr>
          <w:lang w:val="en-GB"/>
        </w:rPr>
        <w:t xml:space="preserve"> (which includes</w:t>
      </w:r>
      <w:r w:rsidR="00B07A1C">
        <w:rPr>
          <w:lang w:val="en-GB"/>
        </w:rPr>
        <w:t xml:space="preserve"> </w:t>
      </w:r>
      <w:r w:rsidR="00B07A1C" w:rsidRPr="00B07A1C">
        <w:rPr>
          <w:i/>
          <w:lang w:val="en-GB"/>
        </w:rPr>
        <w:t>preoperative preparation</w:t>
      </w:r>
      <w:r w:rsidR="00B07A1C">
        <w:rPr>
          <w:lang w:val="en-GB"/>
        </w:rPr>
        <w:t>,</w:t>
      </w:r>
      <w:r>
        <w:rPr>
          <w:lang w:val="en-GB"/>
        </w:rPr>
        <w:t xml:space="preserve"> </w:t>
      </w:r>
      <w:r w:rsidRPr="00FD5461">
        <w:rPr>
          <w:i/>
          <w:lang w:val="en-GB"/>
        </w:rPr>
        <w:t>drainage surgeries</w:t>
      </w:r>
      <w:r>
        <w:rPr>
          <w:lang w:val="en-GB"/>
        </w:rPr>
        <w:t xml:space="preserve">, </w:t>
      </w:r>
      <w:bookmarkStart w:id="0" w:name="_GoBack"/>
      <w:proofErr w:type="spellStart"/>
      <w:r w:rsidRPr="00FD5461">
        <w:rPr>
          <w:i/>
          <w:lang w:val="en-GB"/>
        </w:rPr>
        <w:t>resective</w:t>
      </w:r>
      <w:bookmarkEnd w:id="0"/>
      <w:proofErr w:type="spellEnd"/>
      <w:r w:rsidRPr="00FD5461">
        <w:rPr>
          <w:i/>
          <w:lang w:val="en-GB"/>
        </w:rPr>
        <w:t xml:space="preserve"> interventions</w:t>
      </w:r>
      <w:r w:rsidR="00FD5461">
        <w:rPr>
          <w:lang w:val="en-GB"/>
        </w:rPr>
        <w:t xml:space="preserve">, and </w:t>
      </w:r>
      <w:r w:rsidR="00FD5461" w:rsidRPr="00FD5461">
        <w:rPr>
          <w:i/>
          <w:lang w:val="en-GB"/>
        </w:rPr>
        <w:t>endovascular interventions for false aneurisms and combined radical treatment</w:t>
      </w:r>
      <w:r w:rsidR="00FD5461">
        <w:rPr>
          <w:lang w:val="en-GB"/>
        </w:rPr>
        <w:t xml:space="preserve">); and </w:t>
      </w:r>
      <w:r w:rsidR="00FD5461" w:rsidRPr="00FD5461">
        <w:rPr>
          <w:i/>
          <w:lang w:val="en-GB"/>
        </w:rPr>
        <w:t>postoperative complications</w:t>
      </w:r>
      <w:r w:rsidR="00FD5461">
        <w:rPr>
          <w:lang w:val="en-GB"/>
        </w:rPr>
        <w:t>.</w:t>
      </w:r>
      <w:r w:rsidR="00B07A1C">
        <w:rPr>
          <w:lang w:val="en-GB"/>
        </w:rPr>
        <w:t xml:space="preserve"> Last is the conclusion section, where the CPG is summarized. </w:t>
      </w:r>
    </w:p>
    <w:sectPr w:rsidR="00D848B1" w:rsidRPr="00F7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1B"/>
    <w:rsid w:val="00064866"/>
    <w:rsid w:val="000B617E"/>
    <w:rsid w:val="000C0B0C"/>
    <w:rsid w:val="001A7BEC"/>
    <w:rsid w:val="002112C1"/>
    <w:rsid w:val="00220521"/>
    <w:rsid w:val="00234A2F"/>
    <w:rsid w:val="00270779"/>
    <w:rsid w:val="002C2DC5"/>
    <w:rsid w:val="00311220"/>
    <w:rsid w:val="00396D65"/>
    <w:rsid w:val="003A1ABE"/>
    <w:rsid w:val="003C0F57"/>
    <w:rsid w:val="003D2EAE"/>
    <w:rsid w:val="00455DF5"/>
    <w:rsid w:val="004D4262"/>
    <w:rsid w:val="004F11F2"/>
    <w:rsid w:val="00503C37"/>
    <w:rsid w:val="00566EE4"/>
    <w:rsid w:val="005F16AF"/>
    <w:rsid w:val="006128DC"/>
    <w:rsid w:val="006303BE"/>
    <w:rsid w:val="006F1310"/>
    <w:rsid w:val="00837034"/>
    <w:rsid w:val="00876F1A"/>
    <w:rsid w:val="00905B35"/>
    <w:rsid w:val="00913606"/>
    <w:rsid w:val="00915210"/>
    <w:rsid w:val="00922C52"/>
    <w:rsid w:val="00926466"/>
    <w:rsid w:val="009E3D73"/>
    <w:rsid w:val="009E45A4"/>
    <w:rsid w:val="00A56F07"/>
    <w:rsid w:val="00AC3FDE"/>
    <w:rsid w:val="00B07A1C"/>
    <w:rsid w:val="00C53F77"/>
    <w:rsid w:val="00CC3734"/>
    <w:rsid w:val="00D43333"/>
    <w:rsid w:val="00D446BB"/>
    <w:rsid w:val="00D848B1"/>
    <w:rsid w:val="00DD560D"/>
    <w:rsid w:val="00DF40F6"/>
    <w:rsid w:val="00EB3FAD"/>
    <w:rsid w:val="00EC45DA"/>
    <w:rsid w:val="00F13019"/>
    <w:rsid w:val="00F708F7"/>
    <w:rsid w:val="00F73A61"/>
    <w:rsid w:val="00F7571B"/>
    <w:rsid w:val="00F940CF"/>
    <w:rsid w:val="00F978A9"/>
    <w:rsid w:val="00FD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08AC"/>
  <w15:chartTrackingRefBased/>
  <w15:docId w15:val="{C43B5847-7EF4-40B5-850B-BFA33111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71B"/>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7571B"/>
  </w:style>
  <w:style w:type="character" w:customStyle="1" w:styleId="a4">
    <w:name w:val="Текст примечания Знак"/>
    <w:basedOn w:val="a0"/>
    <w:link w:val="a3"/>
    <w:uiPriority w:val="99"/>
    <w:semiHidden/>
    <w:rsid w:val="00F7571B"/>
    <w:rPr>
      <w:rFonts w:ascii="Times New Roman" w:eastAsia="MS Mincho" w:hAnsi="Times New Roman" w:cs="Times New Roman"/>
      <w:sz w:val="24"/>
      <w:szCs w:val="24"/>
      <w:lang w:val="ru-RU" w:eastAsia="ru-RU"/>
    </w:rPr>
  </w:style>
  <w:style w:type="character" w:styleId="a5">
    <w:name w:val="annotation reference"/>
    <w:uiPriority w:val="99"/>
    <w:semiHidden/>
    <w:unhideWhenUsed/>
    <w:rsid w:val="00F7571B"/>
    <w:rPr>
      <w:sz w:val="18"/>
      <w:szCs w:val="18"/>
    </w:rPr>
  </w:style>
  <w:style w:type="paragraph" w:styleId="a6">
    <w:name w:val="Balloon Text"/>
    <w:basedOn w:val="a"/>
    <w:link w:val="a7"/>
    <w:uiPriority w:val="99"/>
    <w:semiHidden/>
    <w:unhideWhenUsed/>
    <w:rsid w:val="00F7571B"/>
    <w:rPr>
      <w:rFonts w:ascii="Segoe UI" w:hAnsi="Segoe UI" w:cs="Segoe UI"/>
      <w:sz w:val="18"/>
      <w:szCs w:val="18"/>
    </w:rPr>
  </w:style>
  <w:style w:type="character" w:customStyle="1" w:styleId="a7">
    <w:name w:val="Текст выноски Знак"/>
    <w:basedOn w:val="a0"/>
    <w:link w:val="a6"/>
    <w:uiPriority w:val="99"/>
    <w:semiHidden/>
    <w:rsid w:val="00F7571B"/>
    <w:rPr>
      <w:rFonts w:ascii="Segoe UI" w:eastAsia="MS Mincho"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4322">
      <w:bodyDiv w:val="1"/>
      <w:marLeft w:val="0"/>
      <w:marRight w:val="0"/>
      <w:marTop w:val="0"/>
      <w:marBottom w:val="0"/>
      <w:divBdr>
        <w:top w:val="none" w:sz="0" w:space="0" w:color="auto"/>
        <w:left w:val="none" w:sz="0" w:space="0" w:color="auto"/>
        <w:bottom w:val="none" w:sz="0" w:space="0" w:color="auto"/>
        <w:right w:val="none" w:sz="0" w:space="0" w:color="auto"/>
      </w:divBdr>
      <w:divsChild>
        <w:div w:id="337121577">
          <w:marLeft w:val="0"/>
          <w:marRight w:val="0"/>
          <w:marTop w:val="0"/>
          <w:marBottom w:val="0"/>
          <w:divBdr>
            <w:top w:val="none" w:sz="0" w:space="0" w:color="auto"/>
            <w:left w:val="none" w:sz="0" w:space="0" w:color="auto"/>
            <w:bottom w:val="none" w:sz="0" w:space="0" w:color="auto"/>
            <w:right w:val="none" w:sz="0" w:space="0" w:color="auto"/>
          </w:divBdr>
          <w:divsChild>
            <w:div w:id="391200092">
              <w:marLeft w:val="0"/>
              <w:marRight w:val="60"/>
              <w:marTop w:val="0"/>
              <w:marBottom w:val="0"/>
              <w:divBdr>
                <w:top w:val="none" w:sz="0" w:space="0" w:color="auto"/>
                <w:left w:val="none" w:sz="0" w:space="0" w:color="auto"/>
                <w:bottom w:val="none" w:sz="0" w:space="0" w:color="auto"/>
                <w:right w:val="none" w:sz="0" w:space="0" w:color="auto"/>
              </w:divBdr>
              <w:divsChild>
                <w:div w:id="1582176791">
                  <w:marLeft w:val="0"/>
                  <w:marRight w:val="0"/>
                  <w:marTop w:val="0"/>
                  <w:marBottom w:val="120"/>
                  <w:divBdr>
                    <w:top w:val="single" w:sz="6" w:space="0" w:color="A0A0A0"/>
                    <w:left w:val="single" w:sz="6" w:space="0" w:color="B9B9B9"/>
                    <w:bottom w:val="single" w:sz="6" w:space="0" w:color="B9B9B9"/>
                    <w:right w:val="single" w:sz="6" w:space="0" w:color="B9B9B9"/>
                  </w:divBdr>
                  <w:divsChild>
                    <w:div w:id="1144352748">
                      <w:marLeft w:val="0"/>
                      <w:marRight w:val="0"/>
                      <w:marTop w:val="0"/>
                      <w:marBottom w:val="0"/>
                      <w:divBdr>
                        <w:top w:val="none" w:sz="0" w:space="0" w:color="auto"/>
                        <w:left w:val="none" w:sz="0" w:space="0" w:color="auto"/>
                        <w:bottom w:val="none" w:sz="0" w:space="0" w:color="auto"/>
                        <w:right w:val="none" w:sz="0" w:space="0" w:color="auto"/>
                      </w:divBdr>
                    </w:div>
                    <w:div w:id="1713069305">
                      <w:marLeft w:val="0"/>
                      <w:marRight w:val="0"/>
                      <w:marTop w:val="0"/>
                      <w:marBottom w:val="0"/>
                      <w:divBdr>
                        <w:top w:val="none" w:sz="0" w:space="0" w:color="auto"/>
                        <w:left w:val="none" w:sz="0" w:space="0" w:color="auto"/>
                        <w:bottom w:val="none" w:sz="0" w:space="0" w:color="auto"/>
                        <w:right w:val="none" w:sz="0" w:space="0" w:color="auto"/>
                      </w:divBdr>
                    </w:div>
                  </w:divsChild>
                </w:div>
                <w:div w:id="10249894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442577830">
          <w:marLeft w:val="0"/>
          <w:marRight w:val="0"/>
          <w:marTop w:val="0"/>
          <w:marBottom w:val="0"/>
          <w:divBdr>
            <w:top w:val="none" w:sz="0" w:space="0" w:color="auto"/>
            <w:left w:val="none" w:sz="0" w:space="0" w:color="auto"/>
            <w:bottom w:val="none" w:sz="0" w:space="0" w:color="auto"/>
            <w:right w:val="none" w:sz="0" w:space="0" w:color="auto"/>
          </w:divBdr>
          <w:divsChild>
            <w:div w:id="1147866884">
              <w:marLeft w:val="60"/>
              <w:marRight w:val="0"/>
              <w:marTop w:val="0"/>
              <w:marBottom w:val="0"/>
              <w:divBdr>
                <w:top w:val="none" w:sz="0" w:space="0" w:color="auto"/>
                <w:left w:val="none" w:sz="0" w:space="0" w:color="auto"/>
                <w:bottom w:val="none" w:sz="0" w:space="0" w:color="auto"/>
                <w:right w:val="none" w:sz="0" w:space="0" w:color="auto"/>
              </w:divBdr>
              <w:divsChild>
                <w:div w:id="1171094291">
                  <w:marLeft w:val="0"/>
                  <w:marRight w:val="0"/>
                  <w:marTop w:val="0"/>
                  <w:marBottom w:val="0"/>
                  <w:divBdr>
                    <w:top w:val="none" w:sz="0" w:space="0" w:color="auto"/>
                    <w:left w:val="none" w:sz="0" w:space="0" w:color="auto"/>
                    <w:bottom w:val="none" w:sz="0" w:space="0" w:color="auto"/>
                    <w:right w:val="none" w:sz="0" w:space="0" w:color="auto"/>
                  </w:divBdr>
                  <w:divsChild>
                    <w:div w:id="1868524847">
                      <w:marLeft w:val="0"/>
                      <w:marRight w:val="0"/>
                      <w:marTop w:val="0"/>
                      <w:marBottom w:val="120"/>
                      <w:divBdr>
                        <w:top w:val="single" w:sz="6" w:space="0" w:color="F5F5F5"/>
                        <w:left w:val="single" w:sz="6" w:space="0" w:color="F5F5F5"/>
                        <w:bottom w:val="single" w:sz="6" w:space="0" w:color="F5F5F5"/>
                        <w:right w:val="single" w:sz="6" w:space="0" w:color="F5F5F5"/>
                      </w:divBdr>
                      <w:divsChild>
                        <w:div w:id="1859851939">
                          <w:marLeft w:val="0"/>
                          <w:marRight w:val="0"/>
                          <w:marTop w:val="0"/>
                          <w:marBottom w:val="0"/>
                          <w:divBdr>
                            <w:top w:val="none" w:sz="0" w:space="0" w:color="auto"/>
                            <w:left w:val="none" w:sz="0" w:space="0" w:color="auto"/>
                            <w:bottom w:val="none" w:sz="0" w:space="0" w:color="auto"/>
                            <w:right w:val="none" w:sz="0" w:space="0" w:color="auto"/>
                          </w:divBdr>
                          <w:divsChild>
                            <w:div w:id="14471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2519</Words>
  <Characters>14362</Characters>
  <Application>Microsoft Macintosh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Ziganshina</dc:creator>
  <cp:keywords/>
  <dc:description/>
  <cp:lastModifiedBy>пользователь Microsoft Office</cp:lastModifiedBy>
  <cp:revision>8</cp:revision>
  <dcterms:created xsi:type="dcterms:W3CDTF">2018-07-25T21:40:00Z</dcterms:created>
  <dcterms:modified xsi:type="dcterms:W3CDTF">2018-07-25T23:34:00Z</dcterms:modified>
</cp:coreProperties>
</file>