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89" w:rsidRPr="00245119" w:rsidRDefault="00645804" w:rsidP="00C6644E">
      <w:pPr>
        <w:jc w:val="both"/>
        <w:rPr>
          <w:rFonts w:ascii="Times New Roman"/>
          <w:noProof/>
          <w:sz w:val="24"/>
        </w:rPr>
      </w:pPr>
      <w:r>
        <w:rPr>
          <w:rFonts w:ascii="Times New Roman"/>
          <w:b/>
          <w:noProof/>
          <w:sz w:val="24"/>
        </w:rPr>
        <w:t>S2</w:t>
      </w:r>
      <w:r w:rsidR="00846D89" w:rsidRPr="00846D89">
        <w:rPr>
          <w:rFonts w:ascii="Times New Roman"/>
          <w:b/>
          <w:noProof/>
          <w:sz w:val="24"/>
        </w:rPr>
        <w:t xml:space="preserve"> Table. Pair</w:t>
      </w:r>
      <w:r w:rsidR="00245119">
        <w:rPr>
          <w:rFonts w:ascii="Times New Roman"/>
          <w:b/>
          <w:noProof/>
          <w:sz w:val="24"/>
        </w:rPr>
        <w:t>-</w:t>
      </w:r>
      <w:r w:rsidR="00846D89" w:rsidRPr="00846D89">
        <w:rPr>
          <w:rFonts w:ascii="Times New Roman"/>
          <w:b/>
          <w:noProof/>
          <w:sz w:val="24"/>
        </w:rPr>
        <w:t xml:space="preserve">wise thau (τ) correlation between climate, dynamic and structure variables. </w:t>
      </w:r>
      <w:r w:rsidR="00846D89" w:rsidRPr="00245119">
        <w:rPr>
          <w:rFonts w:ascii="Times New Roman"/>
          <w:noProof/>
          <w:sz w:val="24"/>
        </w:rPr>
        <w:t xml:space="preserve">Green colored cells highlight positive correlations &gt; 0.5. Orange cells are negative correlations </w:t>
      </w:r>
      <w:r w:rsidR="009A390A">
        <w:rPr>
          <w:rFonts w:ascii="Times New Roman"/>
          <w:noProof/>
          <w:sz w:val="24"/>
        </w:rPr>
        <w:t>&gt;</w:t>
      </w:r>
      <w:r w:rsidR="00846D89" w:rsidRPr="00245119">
        <w:rPr>
          <w:rFonts w:ascii="Times New Roman"/>
          <w:noProof/>
          <w:sz w:val="24"/>
        </w:rPr>
        <w:t xml:space="preserve"> -0.5. Gray cells are positive correlations between 0.2 and 0.5. Blue cells are negative correlations between -0.2 and -0.5.</w:t>
      </w:r>
    </w:p>
    <w:tbl>
      <w:tblPr>
        <w:tblW w:w="14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66"/>
        <w:gridCol w:w="703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06"/>
        <w:gridCol w:w="666"/>
        <w:gridCol w:w="666"/>
        <w:gridCol w:w="606"/>
        <w:gridCol w:w="510"/>
      </w:tblGrid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Latitude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Elevation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MAT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T min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MAP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Dry M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AET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PET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WA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CWD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PCA 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PCA 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Rec. Rate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Mort. Rate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Turn. Rate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AGB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AGB Loss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AGB Gains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AGB Recruit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AGWP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Mean Stem Density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Mean Wood Density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Mean Basal Area</w:t>
            </w: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Latitude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Elevation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0.098221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MAT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-0.03764</w:t>
            </w:r>
          </w:p>
        </w:tc>
        <w:tc>
          <w:tcPr>
            <w:tcW w:w="617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-0.78158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T min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-0.0222</w:t>
            </w:r>
          </w:p>
        </w:tc>
        <w:tc>
          <w:tcPr>
            <w:tcW w:w="617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-0.73646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0.916956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MAP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-0.52006</w:t>
            </w:r>
          </w:p>
        </w:tc>
        <w:tc>
          <w:tcPr>
            <w:tcW w:w="617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-0.34869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0.25216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0.236207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Dry M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0.505334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0.008209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0.110622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0.108559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-0.41667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AET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-0.47357</w:t>
            </w:r>
          </w:p>
        </w:tc>
        <w:tc>
          <w:tcPr>
            <w:tcW w:w="617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-0.38922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0.299806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0.283896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0.807538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-0.41053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PET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-0.10628</w:t>
            </w:r>
          </w:p>
        </w:tc>
        <w:tc>
          <w:tcPr>
            <w:tcW w:w="617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-0.78228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0.671575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0.603884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0.393381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-0.09706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0.502535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WA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-0.55963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0.035717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-0.14684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-0.16192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0.578515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-0.57169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0.434602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-0.03956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CWD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-0.40624</w:t>
            </w:r>
          </w:p>
        </w:tc>
        <w:tc>
          <w:tcPr>
            <w:tcW w:w="617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0.256664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-0.35514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-0.36987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0.318183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-0.51997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0.286078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-0.15741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0.549201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PCA 1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-0.55369</w:t>
            </w:r>
          </w:p>
        </w:tc>
        <w:tc>
          <w:tcPr>
            <w:tcW w:w="617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-0.36624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0.245892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0.230335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0.797232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-0.51563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0.794956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0.419305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0.428908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0.33931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PCA 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0.159621</w:t>
            </w:r>
          </w:p>
        </w:tc>
        <w:tc>
          <w:tcPr>
            <w:tcW w:w="617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-0.62843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0.720834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0.701094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0.005035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0.357118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0.047448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0.523924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-0.38577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-0.58487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0.01473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Rec. Rate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0.092998</w:t>
            </w:r>
          </w:p>
        </w:tc>
        <w:tc>
          <w:tcPr>
            <w:tcW w:w="617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-0.3036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0.333061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0.293864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0.165956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0.298447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0.115564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0.324253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-0.03894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-0.23781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0.067021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0.289334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Mort. Rate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-0.02989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-0.18903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0.233816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0.225016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0.18272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0.201998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0.118889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0.20981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0.040601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-0.15495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0.086637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0.184716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0.492245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Turn. Rate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0.041517</w:t>
            </w:r>
          </w:p>
        </w:tc>
        <w:tc>
          <w:tcPr>
            <w:tcW w:w="617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-0.23977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0.29269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0.266996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0.181043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0.283889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0.110575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0.277812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-0.01077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-0.20301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0.078463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0.255006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0.782857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0.709388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AGB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-0.25242</w:t>
            </w:r>
          </w:p>
        </w:tc>
        <w:tc>
          <w:tcPr>
            <w:tcW w:w="617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0.285598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-0.33306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-0.29722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0.028498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-0.44585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0.050715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-0.25293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0.28255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0.372038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0.091541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-0.39232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-0.46122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-0.27347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-0.41388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AGB Loss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-0.2491</w:t>
            </w:r>
          </w:p>
        </w:tc>
        <w:tc>
          <w:tcPr>
            <w:tcW w:w="617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0.203765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-0.21195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-0.17968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0.162604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-0.27479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0.125541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-0.18825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0.300779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0.29415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0.178177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-0.28933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-0.12816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0.157551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-0.00898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0.242449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AGB Gains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-0.20094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-0.07447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0.025232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0.080603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0.194454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-0.35486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0.28018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0.092051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0.082031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0.141689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0.304046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-0.03596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-0.13633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-0.05959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-0.1151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0.263673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0.133061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AGB Recruit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0.028232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-0.0761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0.121113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0.08564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0.092198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0.158323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0.025773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0.103661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0.113517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-0.07872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-0.05558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0.055578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0.523265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0.257143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0.436735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-0.26857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-0.02041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-0.29959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AGWP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-0.27069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-0.12848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0.075696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0.119225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0.271565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-0.36578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0.331726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0.160053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0.173176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0.169861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0.359624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-0.01635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-0.05469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0.031837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-0.01714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0.234286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0.198367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0.794286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-0.09388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Mean Stem Density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-0.07479</w:t>
            </w:r>
          </w:p>
        </w:tc>
        <w:tc>
          <w:tcPr>
            <w:tcW w:w="617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0.439804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-0.52525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-0.53779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-0.05201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-0.26955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-0.08737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-0.37432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0.282781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0.443659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-0.03763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-0.52515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-0.32108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-0.26062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-0.29003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0.211601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0.206699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-0.11356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-0.02859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-0.13317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Mean Wood Density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-0.08636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-0.05974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0.010093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0.011755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-0.00838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-0.20746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-0.03908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0.017415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0.040601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0.10026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0.040866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0.050674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-0.20327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-0.28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-0.24408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0.284898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0.033469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-0.16408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0.087347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0.090686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DC7849" w:rsidRPr="00AF57D5" w:rsidTr="00DC7849">
        <w:trPr>
          <w:trHeight w:val="28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b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b/>
                <w:color w:val="000000"/>
                <w:sz w:val="12"/>
                <w:szCs w:val="12"/>
              </w:rPr>
              <w:t>Mean Basal Area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-0.03986</w:t>
            </w:r>
          </w:p>
        </w:tc>
        <w:tc>
          <w:tcPr>
            <w:tcW w:w="617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0.460722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-0.52651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-0.50545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-0.08717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-0.27661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-0.09062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-0.38064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0.267635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0.343866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-0.08173</w:t>
            </w:r>
          </w:p>
        </w:tc>
        <w:tc>
          <w:tcPr>
            <w:tcW w:w="585" w:type="dxa"/>
            <w:shd w:val="clear" w:color="000000" w:fill="FFC00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-0.57213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-0.33714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-0.18204</w:t>
            </w:r>
          </w:p>
        </w:tc>
        <w:tc>
          <w:tcPr>
            <w:tcW w:w="585" w:type="dxa"/>
            <w:shd w:val="clear" w:color="000000" w:fill="BDD7EE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-0.28653</w:t>
            </w:r>
          </w:p>
        </w:tc>
        <w:tc>
          <w:tcPr>
            <w:tcW w:w="585" w:type="dxa"/>
            <w:shd w:val="clear" w:color="000000" w:fill="92D050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0.601633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0.154286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0.057959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-0.14449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0.031837</w:t>
            </w:r>
          </w:p>
        </w:tc>
        <w:tc>
          <w:tcPr>
            <w:tcW w:w="585" w:type="dxa"/>
            <w:shd w:val="clear" w:color="000000" w:fill="D9D9D9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0.348856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:rsidR="00AF57D5" w:rsidRPr="00AF57D5" w:rsidRDefault="00AF57D5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 w:rsidRPr="00AF57D5">
              <w:rPr>
                <w:rFonts w:ascii="Times New Roman"/>
                <w:color w:val="000000"/>
                <w:sz w:val="12"/>
                <w:szCs w:val="12"/>
              </w:rPr>
              <w:t>-0.02204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AF57D5" w:rsidRPr="00AF57D5" w:rsidRDefault="00DC7849" w:rsidP="00DC7849">
            <w:pPr>
              <w:spacing w:after="0" w:line="240" w:lineRule="auto"/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  <w:r>
              <w:rPr>
                <w:rFonts w:ascii="Times New Roman"/>
                <w:color w:val="000000"/>
                <w:sz w:val="12"/>
                <w:szCs w:val="12"/>
              </w:rPr>
              <w:t>---</w:t>
            </w:r>
          </w:p>
        </w:tc>
      </w:tr>
    </w:tbl>
    <w:p w:rsidR="00846D89" w:rsidRDefault="00846D89">
      <w:pPr>
        <w:rPr>
          <w:rFonts w:ascii="Times New Roman"/>
          <w:noProof/>
          <w:sz w:val="24"/>
        </w:rPr>
      </w:pPr>
    </w:p>
    <w:p w:rsidR="005B441A" w:rsidRDefault="005B441A" w:rsidP="005B441A">
      <w:pPr>
        <w:rPr>
          <w:rFonts w:ascii="Times New Roman"/>
          <w:b/>
          <w:sz w:val="24"/>
        </w:rPr>
      </w:pPr>
      <w:r w:rsidRPr="00EC4F8F">
        <w:rPr>
          <w:rFonts w:ascii="Times New Roman"/>
          <w:b/>
          <w:sz w:val="24"/>
        </w:rPr>
        <w:lastRenderedPageBreak/>
        <w:t>S</w:t>
      </w:r>
      <w:r>
        <w:rPr>
          <w:rFonts w:ascii="Times New Roman"/>
          <w:b/>
          <w:sz w:val="24"/>
        </w:rPr>
        <w:t>3</w:t>
      </w:r>
      <w:r w:rsidRPr="00EC4F8F">
        <w:rPr>
          <w:rFonts w:ascii="Times New Roman"/>
          <w:b/>
          <w:sz w:val="24"/>
        </w:rPr>
        <w:t xml:space="preserve"> Table. </w:t>
      </w:r>
      <w:r>
        <w:rPr>
          <w:rFonts w:ascii="Times New Roman"/>
          <w:b/>
          <w:sz w:val="24"/>
        </w:rPr>
        <w:t>Estimates of turnover rates, aboveground biomass and productivity</w:t>
      </w:r>
      <w:r w:rsidR="00A76189">
        <w:rPr>
          <w:rFonts w:ascii="Times New Roman"/>
          <w:b/>
          <w:sz w:val="24"/>
        </w:rPr>
        <w:t xml:space="preserve"> for all plots.</w:t>
      </w:r>
    </w:p>
    <w:tbl>
      <w:tblPr>
        <w:tblW w:w="15221" w:type="dxa"/>
        <w:jc w:val="center"/>
        <w:tblLook w:val="04A0" w:firstRow="1" w:lastRow="0" w:firstColumn="1" w:lastColumn="0" w:noHBand="0" w:noVBand="1"/>
      </w:tblPr>
      <w:tblGrid>
        <w:gridCol w:w="785"/>
        <w:gridCol w:w="911"/>
        <w:gridCol w:w="1068"/>
        <w:gridCol w:w="1068"/>
        <w:gridCol w:w="1099"/>
        <w:gridCol w:w="958"/>
        <w:gridCol w:w="959"/>
        <w:gridCol w:w="1115"/>
        <w:gridCol w:w="1523"/>
        <w:gridCol w:w="1523"/>
        <w:gridCol w:w="1523"/>
        <w:gridCol w:w="1523"/>
        <w:gridCol w:w="1166"/>
      </w:tblGrid>
      <w:tr w:rsidR="005B441A" w:rsidRPr="0085158F" w:rsidTr="008766D6">
        <w:trPr>
          <w:trHeight w:val="243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Plot Code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>Forest structure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>Forest demography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>Forest carbon</w:t>
            </w:r>
          </w:p>
        </w:tc>
      </w:tr>
      <w:tr w:rsidR="005B441A" w:rsidRPr="0085158F" w:rsidTr="008766D6">
        <w:trPr>
          <w:trHeight w:val="97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rPr>
                <w:rFonts w:ascii="Times New Roman"/>
                <w:b/>
                <w:bCs/>
                <w:sz w:val="14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4"/>
                <w:szCs w:val="18"/>
              </w:rPr>
            </w:pPr>
            <w:proofErr w:type="spellStart"/>
            <w:r w:rsidRPr="0085158F">
              <w:rPr>
                <w:rFonts w:ascii="Times New Roman"/>
                <w:b/>
                <w:bCs/>
                <w:sz w:val="14"/>
                <w:szCs w:val="18"/>
              </w:rPr>
              <w:t>Avg</w:t>
            </w:r>
            <w:proofErr w:type="spellEnd"/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 Plot 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Basal Area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(m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2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 ha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Avg. Plot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Stem density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(stems ha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Avg. Plot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Wood Density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(g cm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-3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)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 xml:space="preserve">Recruitment interval corrected 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  <w:vertAlign w:val="superscript"/>
              </w:rPr>
              <w:t>a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br/>
              <w:t>(% year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 xml:space="preserve">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 xml:space="preserve">Mortality interval corrected 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  <w:vertAlign w:val="superscript"/>
              </w:rPr>
              <w:t>a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br/>
              <w:t>(% year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 xml:space="preserve">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 xml:space="preserve">Turnover interval corrected 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  <w:vertAlign w:val="superscript"/>
              </w:rPr>
              <w:t>a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br/>
              <w:t>(% year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 xml:space="preserve">)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AGB 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(Mg C ha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) 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AGB loss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(Mg C ha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 year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AGB growth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(Mg C ha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 year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AGB recruit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(Mg C ha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 year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sz w:val="14"/>
                <w:szCs w:val="18"/>
              </w:rPr>
              <w:t>AGWP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br/>
              <w:t>(Mg C ha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 year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-1</w:t>
            </w:r>
            <w:r w:rsidRPr="0085158F">
              <w:rPr>
                <w:rFonts w:ascii="Times New Roman"/>
                <w:b/>
                <w:bCs/>
                <w:sz w:val="14"/>
                <w:szCs w:val="18"/>
              </w:rPr>
              <w:t xml:space="preserve">) </w:t>
            </w:r>
            <w:r w:rsidRPr="0085158F">
              <w:rPr>
                <w:rFonts w:ascii="Times New Roman"/>
                <w:b/>
                <w:bCs/>
                <w:sz w:val="14"/>
                <w:szCs w:val="18"/>
                <w:vertAlign w:val="superscript"/>
              </w:rPr>
              <w:t>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>Carbon Res</w:t>
            </w:r>
            <w:r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 xml:space="preserve">idence 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t>Time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</w:rPr>
              <w:br/>
              <w:t xml:space="preserve">(years) </w:t>
            </w:r>
            <w:r w:rsidRPr="0085158F">
              <w:rPr>
                <w:rFonts w:ascii="Times New Roman"/>
                <w:b/>
                <w:bCs/>
                <w:color w:val="000000"/>
                <w:sz w:val="14"/>
                <w:szCs w:val="18"/>
                <w:vertAlign w:val="superscript"/>
              </w:rPr>
              <w:t>d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ACL-01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28.496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1.191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176.848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2.847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3.698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46.54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BAC-01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26.734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2.204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2.831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2.518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113.500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0.387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37.81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BAC-02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21.214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3.431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4.136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3.784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102.640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0.902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2.922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35.13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BAC-03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35.289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2.562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206.230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1.136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2.952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69.87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BAC-04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28.262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2.243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2.745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135.579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0.189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70.95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BAC-05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19.401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3.296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3.448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77.786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0.866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25.73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BAC-06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29.977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2.562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150.246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3.538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0.345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3.883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38.69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CAI-01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22.000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3.174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3.841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3.507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117.096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3.155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2.820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36.03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CAI-02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21.594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113.483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55.41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CAI-03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15.287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3.292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3.262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80.404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0.399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37.86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CAI-04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22.874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2.979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115.821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49.88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CAI-05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21.744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2.748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114.254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44.21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CAI-06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26.021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150.581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0.807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2.239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60.71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CAT-02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18.110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3.029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81.251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2.884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28.18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CAT-03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28.964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144.203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1.099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3.039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0.159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3.198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45.09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CBN-01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27.486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136.293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58.74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CBN-02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27.970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926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1.187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1.288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113.619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54.62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CBN-03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39.309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1.239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184.798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0.188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93.76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CBN-04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33.142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179.899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73.16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CBN-05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32.376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154.846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3.072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99.88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CBN-06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32.308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1.191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185.327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3.181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1.268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0.936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84.09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CLA-03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24.342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125.518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0.879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59.96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CLA-04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24.586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128.517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0.966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0.350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53.94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CRZ-01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17.662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547.5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70.749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0.309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31.58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ECM-06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44.421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0.323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204.674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0.026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2.704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75.69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ELD-01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28.109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0.903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1.151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234.506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3.724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0.121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3.845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60.99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ELD-02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31.171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266.224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0.935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3.353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0.073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3.426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77.70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ELD-03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21.118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136.338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4.044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3.271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0.372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3.643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37.43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lastRenderedPageBreak/>
              <w:t>ELD-04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27.842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1.048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156.565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3.592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4.145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4.346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36.03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EMC-02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26.058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3.538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151.633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4.165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36.41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ESM-05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42.872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205.316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3.558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3.768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54.48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GUR-05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16.843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1.074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133.051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1.273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55.94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GUR-06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21.306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174.418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4.488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79.95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HCU-01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36.146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237.270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0.808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2.715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0.043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2.758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86.03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HSP-01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19.412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2.221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96.122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1.062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0.313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44.01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MOL-04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31.883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159.029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2.578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0.179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2.757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57.69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RIO-01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29.389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1.074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1.041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226.454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3.116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3.541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0.145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3.687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61.43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RIO-02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30.773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0.974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1.257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225.897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3.416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3.380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64.00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SAR-02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9.213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2.293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47.660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0.827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57.65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SCR-04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29.085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183.288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78.43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SCR-05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28.288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579.5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201.301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3.455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63.71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SDL-01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31.029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657.5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0.719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0.915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237.089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5.692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3.812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0.052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3.865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61.34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SDL-04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34.288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1065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204.805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2.532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3.498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3.777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54.23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SDL-05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41.634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1165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0.845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257.185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6.765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1.166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1.266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203.12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SEU-01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36.741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926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173.818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2.587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67.20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SEU-02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34.279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1135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0.591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140.132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60.61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SEU-03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41.203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1.395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224.870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0.281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2.654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84.73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SEU-04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38.923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190.334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2.998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2.431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2.836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67.11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SEU-05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37.852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866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1.671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1.761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170.767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2.770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1.586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83.24</w:t>
            </w:r>
          </w:p>
        </w:tc>
      </w:tr>
      <w:tr w:rsidR="005B441A" w:rsidRPr="0085158F" w:rsidTr="008766D6">
        <w:trPr>
          <w:trHeight w:val="22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SEU-06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37.599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746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0.650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2.231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2.016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171.071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2.331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1.495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0.420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1.915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1A" w:rsidRPr="0085158F" w:rsidRDefault="005B441A" w:rsidP="008766D6">
            <w:pPr>
              <w:spacing w:after="0" w:line="240" w:lineRule="auto"/>
              <w:jc w:val="center"/>
              <w:rPr>
                <w:rFonts w:ascii="Times New Roman"/>
                <w:color w:val="000000"/>
                <w:sz w:val="14"/>
                <w:szCs w:val="18"/>
              </w:rPr>
            </w:pPr>
            <w:r w:rsidRPr="0085158F">
              <w:rPr>
                <w:rFonts w:ascii="Times New Roman"/>
                <w:color w:val="000000"/>
                <w:sz w:val="14"/>
                <w:szCs w:val="18"/>
              </w:rPr>
              <w:t>89.32</w:t>
            </w:r>
          </w:p>
        </w:tc>
      </w:tr>
    </w:tbl>
    <w:p w:rsidR="005B441A" w:rsidRPr="002D1259" w:rsidRDefault="005B441A" w:rsidP="005B441A">
      <w:pPr>
        <w:spacing w:after="0" w:line="360" w:lineRule="auto"/>
        <w:jc w:val="both"/>
        <w:rPr>
          <w:rFonts w:ascii="Times New Roman"/>
          <w:sz w:val="20"/>
        </w:rPr>
      </w:pPr>
      <w:proofErr w:type="spellStart"/>
      <w:r w:rsidRPr="002D1259">
        <w:rPr>
          <w:rFonts w:ascii="Times New Roman"/>
          <w:sz w:val="20"/>
          <w:vertAlign w:val="superscript"/>
        </w:rPr>
        <w:t>a</w:t>
      </w:r>
      <w:proofErr w:type="spellEnd"/>
      <w:r w:rsidRPr="002D1259">
        <w:rPr>
          <w:rFonts w:ascii="Times New Roman"/>
          <w:sz w:val="20"/>
        </w:rPr>
        <w:t xml:space="preserve"> Rates are calculated and corrected for every census interval, and then weighted by census length. For details on the correction approach see methods section.</w:t>
      </w:r>
    </w:p>
    <w:p w:rsidR="005B441A" w:rsidRPr="002D1259" w:rsidRDefault="005B441A" w:rsidP="005B441A">
      <w:pPr>
        <w:spacing w:after="0" w:line="360" w:lineRule="auto"/>
        <w:jc w:val="both"/>
        <w:rPr>
          <w:rFonts w:ascii="Times New Roman"/>
          <w:sz w:val="20"/>
        </w:rPr>
      </w:pPr>
      <w:r w:rsidRPr="002D1259">
        <w:rPr>
          <w:rFonts w:ascii="Times New Roman"/>
          <w:sz w:val="20"/>
          <w:vertAlign w:val="superscript"/>
        </w:rPr>
        <w:t>b</w:t>
      </w:r>
      <w:r w:rsidRPr="002D1259">
        <w:rPr>
          <w:rFonts w:ascii="Times New Roman"/>
          <w:sz w:val="20"/>
        </w:rPr>
        <w:t xml:space="preserve"> Total aboveground biomass based on plot inventory data (trees &gt; 10 cm) + 6.2% from small trees (&lt; 10 cm D) as in </w:t>
      </w:r>
      <w:proofErr w:type="spellStart"/>
      <w:r w:rsidRPr="002D1259">
        <w:rPr>
          <w:rFonts w:ascii="Times New Roman"/>
          <w:sz w:val="20"/>
        </w:rPr>
        <w:t>Malhi</w:t>
      </w:r>
      <w:proofErr w:type="spellEnd"/>
      <w:r w:rsidRPr="002D1259">
        <w:rPr>
          <w:rFonts w:ascii="Times New Roman"/>
          <w:sz w:val="20"/>
        </w:rPr>
        <w:t xml:space="preserve"> et al. (2006).</w:t>
      </w:r>
    </w:p>
    <w:p w:rsidR="005B441A" w:rsidRPr="002D1259" w:rsidRDefault="005B441A" w:rsidP="005B441A">
      <w:pPr>
        <w:spacing w:after="0" w:line="360" w:lineRule="auto"/>
        <w:jc w:val="both"/>
        <w:rPr>
          <w:rFonts w:ascii="Times New Roman"/>
          <w:sz w:val="20"/>
        </w:rPr>
      </w:pPr>
      <w:r w:rsidRPr="002D1259">
        <w:rPr>
          <w:rFonts w:ascii="Times New Roman"/>
          <w:sz w:val="20"/>
          <w:vertAlign w:val="superscript"/>
        </w:rPr>
        <w:t>c</w:t>
      </w:r>
      <w:r w:rsidRPr="002D1259">
        <w:rPr>
          <w:rFonts w:ascii="Times New Roman"/>
          <w:sz w:val="20"/>
        </w:rPr>
        <w:t xml:space="preserve"> AGWP = AGB growth + AGB recruit</w:t>
      </w:r>
      <w:r>
        <w:rPr>
          <w:rFonts w:ascii="Times New Roman"/>
          <w:sz w:val="20"/>
        </w:rPr>
        <w:t>.</w:t>
      </w:r>
      <w:r w:rsidRPr="002D1259">
        <w:rPr>
          <w:rFonts w:ascii="Times New Roman"/>
          <w:sz w:val="20"/>
        </w:rPr>
        <w:tab/>
      </w:r>
      <w:r w:rsidRPr="002D1259">
        <w:rPr>
          <w:rFonts w:ascii="Times New Roman"/>
          <w:sz w:val="20"/>
        </w:rPr>
        <w:tab/>
      </w:r>
      <w:r w:rsidRPr="002D1259">
        <w:rPr>
          <w:rFonts w:ascii="Times New Roman"/>
          <w:sz w:val="20"/>
        </w:rPr>
        <w:tab/>
      </w:r>
      <w:r w:rsidRPr="002D1259">
        <w:rPr>
          <w:rFonts w:ascii="Times New Roman"/>
          <w:sz w:val="20"/>
        </w:rPr>
        <w:tab/>
      </w:r>
      <w:r w:rsidRPr="002D1259">
        <w:rPr>
          <w:rFonts w:ascii="Times New Roman"/>
          <w:sz w:val="20"/>
        </w:rPr>
        <w:tab/>
      </w:r>
      <w:r w:rsidRPr="002D1259">
        <w:rPr>
          <w:rFonts w:ascii="Times New Roman"/>
          <w:sz w:val="20"/>
        </w:rPr>
        <w:tab/>
      </w:r>
    </w:p>
    <w:p w:rsidR="005B441A" w:rsidRDefault="005B441A" w:rsidP="005B441A">
      <w:pPr>
        <w:spacing w:after="0" w:line="36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d</w:t>
      </w:r>
      <w:r w:rsidRPr="002D1259">
        <w:rPr>
          <w:rFonts w:ascii="Times New Roman"/>
          <w:sz w:val="20"/>
        </w:rPr>
        <w:t xml:space="preserve"> Carbon residence time = AGB / AGWP</w:t>
      </w:r>
      <w:r>
        <w:rPr>
          <w:rFonts w:ascii="Times New Roman"/>
          <w:sz w:val="20"/>
        </w:rPr>
        <w:t>.</w:t>
      </w:r>
    </w:p>
    <w:p w:rsidR="005B441A" w:rsidRPr="008B3FE2" w:rsidRDefault="005B441A" w:rsidP="008B3FE2">
      <w:pPr>
        <w:rPr>
          <w:rFonts w:ascii="Times New Roman"/>
          <w:sz w:val="20"/>
        </w:rPr>
      </w:pPr>
      <w:bookmarkStart w:id="0" w:name="_GoBack"/>
      <w:bookmarkEnd w:id="0"/>
    </w:p>
    <w:sectPr w:rsidR="005B441A" w:rsidRPr="008B3FE2" w:rsidSect="005D467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2471"/>
    <w:multiLevelType w:val="hybridMultilevel"/>
    <w:tmpl w:val="8ACE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341F"/>
    <w:multiLevelType w:val="hybridMultilevel"/>
    <w:tmpl w:val="EA3C892E"/>
    <w:lvl w:ilvl="0" w:tplc="CDBE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6B20"/>
    <w:multiLevelType w:val="hybridMultilevel"/>
    <w:tmpl w:val="7BFE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55A6A"/>
    <w:multiLevelType w:val="hybridMultilevel"/>
    <w:tmpl w:val="964A30EE"/>
    <w:lvl w:ilvl="0" w:tplc="19A2A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B30B2"/>
    <w:multiLevelType w:val="multilevel"/>
    <w:tmpl w:val="93163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433D3E"/>
    <w:multiLevelType w:val="multilevel"/>
    <w:tmpl w:val="519EA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D1756C"/>
    <w:multiLevelType w:val="hybridMultilevel"/>
    <w:tmpl w:val="E4426A26"/>
    <w:lvl w:ilvl="0" w:tplc="685AA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F110A"/>
    <w:multiLevelType w:val="multilevel"/>
    <w:tmpl w:val="B1126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E9"/>
    <w:rsid w:val="00031F01"/>
    <w:rsid w:val="00036F74"/>
    <w:rsid w:val="00042060"/>
    <w:rsid w:val="000559FF"/>
    <w:rsid w:val="00055FB2"/>
    <w:rsid w:val="00062CBF"/>
    <w:rsid w:val="00086106"/>
    <w:rsid w:val="000947C9"/>
    <w:rsid w:val="000C273C"/>
    <w:rsid w:val="000C7712"/>
    <w:rsid w:val="000F2ECF"/>
    <w:rsid w:val="000F3559"/>
    <w:rsid w:val="000F79BE"/>
    <w:rsid w:val="00102614"/>
    <w:rsid w:val="00103365"/>
    <w:rsid w:val="00110AF9"/>
    <w:rsid w:val="00127044"/>
    <w:rsid w:val="00141291"/>
    <w:rsid w:val="00156310"/>
    <w:rsid w:val="001606EA"/>
    <w:rsid w:val="0016089E"/>
    <w:rsid w:val="00186CDD"/>
    <w:rsid w:val="00196EF7"/>
    <w:rsid w:val="00245119"/>
    <w:rsid w:val="00254519"/>
    <w:rsid w:val="00256E5A"/>
    <w:rsid w:val="00284B7D"/>
    <w:rsid w:val="00297AE6"/>
    <w:rsid w:val="002A486C"/>
    <w:rsid w:val="002B7706"/>
    <w:rsid w:val="002D1259"/>
    <w:rsid w:val="002E40EB"/>
    <w:rsid w:val="002F4A4D"/>
    <w:rsid w:val="002F4C07"/>
    <w:rsid w:val="00301F3D"/>
    <w:rsid w:val="003112F5"/>
    <w:rsid w:val="00327C7E"/>
    <w:rsid w:val="00352E69"/>
    <w:rsid w:val="00364DF8"/>
    <w:rsid w:val="00372DCB"/>
    <w:rsid w:val="00376466"/>
    <w:rsid w:val="003A2B22"/>
    <w:rsid w:val="003A7B01"/>
    <w:rsid w:val="003D256A"/>
    <w:rsid w:val="0040299E"/>
    <w:rsid w:val="00402B75"/>
    <w:rsid w:val="00407945"/>
    <w:rsid w:val="00420369"/>
    <w:rsid w:val="00427775"/>
    <w:rsid w:val="0044696A"/>
    <w:rsid w:val="0049242C"/>
    <w:rsid w:val="004B3AE9"/>
    <w:rsid w:val="004D7B7F"/>
    <w:rsid w:val="004F240B"/>
    <w:rsid w:val="005178D0"/>
    <w:rsid w:val="00527113"/>
    <w:rsid w:val="005538F3"/>
    <w:rsid w:val="00586DED"/>
    <w:rsid w:val="005977CC"/>
    <w:rsid w:val="005B438C"/>
    <w:rsid w:val="005B441A"/>
    <w:rsid w:val="005C04EB"/>
    <w:rsid w:val="005D467D"/>
    <w:rsid w:val="00606BB2"/>
    <w:rsid w:val="006140EB"/>
    <w:rsid w:val="00645804"/>
    <w:rsid w:val="00674EBB"/>
    <w:rsid w:val="006A418C"/>
    <w:rsid w:val="006B29E3"/>
    <w:rsid w:val="006B3066"/>
    <w:rsid w:val="006B498D"/>
    <w:rsid w:val="006D4622"/>
    <w:rsid w:val="006E2335"/>
    <w:rsid w:val="006E668A"/>
    <w:rsid w:val="007044CE"/>
    <w:rsid w:val="007158E6"/>
    <w:rsid w:val="00717A08"/>
    <w:rsid w:val="00717AF3"/>
    <w:rsid w:val="00725973"/>
    <w:rsid w:val="00727434"/>
    <w:rsid w:val="0073777C"/>
    <w:rsid w:val="00757952"/>
    <w:rsid w:val="00776F2C"/>
    <w:rsid w:val="007A21DB"/>
    <w:rsid w:val="007B01CA"/>
    <w:rsid w:val="007B345A"/>
    <w:rsid w:val="007C15E0"/>
    <w:rsid w:val="007D3550"/>
    <w:rsid w:val="007F52CB"/>
    <w:rsid w:val="00801A2D"/>
    <w:rsid w:val="00817D35"/>
    <w:rsid w:val="008307F1"/>
    <w:rsid w:val="0083644C"/>
    <w:rsid w:val="00846D89"/>
    <w:rsid w:val="0085158F"/>
    <w:rsid w:val="00873964"/>
    <w:rsid w:val="0087556E"/>
    <w:rsid w:val="008766D6"/>
    <w:rsid w:val="008815F5"/>
    <w:rsid w:val="00882556"/>
    <w:rsid w:val="00882A32"/>
    <w:rsid w:val="00885E3E"/>
    <w:rsid w:val="0089340B"/>
    <w:rsid w:val="008976E8"/>
    <w:rsid w:val="008A2818"/>
    <w:rsid w:val="008B1797"/>
    <w:rsid w:val="008B3FE2"/>
    <w:rsid w:val="008B4F63"/>
    <w:rsid w:val="008C44C8"/>
    <w:rsid w:val="008C7240"/>
    <w:rsid w:val="008E776B"/>
    <w:rsid w:val="0090776A"/>
    <w:rsid w:val="00914BAF"/>
    <w:rsid w:val="0092775E"/>
    <w:rsid w:val="0093022E"/>
    <w:rsid w:val="00936488"/>
    <w:rsid w:val="0093762C"/>
    <w:rsid w:val="009438E2"/>
    <w:rsid w:val="009446C2"/>
    <w:rsid w:val="00984F6D"/>
    <w:rsid w:val="00985CB4"/>
    <w:rsid w:val="009A2EED"/>
    <w:rsid w:val="009A390A"/>
    <w:rsid w:val="009C3CF9"/>
    <w:rsid w:val="009D2DA2"/>
    <w:rsid w:val="009D76A7"/>
    <w:rsid w:val="009E3582"/>
    <w:rsid w:val="009E4E64"/>
    <w:rsid w:val="009F27EA"/>
    <w:rsid w:val="009F69A0"/>
    <w:rsid w:val="00A05200"/>
    <w:rsid w:val="00A1709D"/>
    <w:rsid w:val="00A504D4"/>
    <w:rsid w:val="00A5794C"/>
    <w:rsid w:val="00A65638"/>
    <w:rsid w:val="00A76189"/>
    <w:rsid w:val="00A819CE"/>
    <w:rsid w:val="00AA0C1C"/>
    <w:rsid w:val="00AA38FB"/>
    <w:rsid w:val="00AA5323"/>
    <w:rsid w:val="00AC55F7"/>
    <w:rsid w:val="00AF055F"/>
    <w:rsid w:val="00AF57D5"/>
    <w:rsid w:val="00B02A90"/>
    <w:rsid w:val="00B1087D"/>
    <w:rsid w:val="00B4232A"/>
    <w:rsid w:val="00B44CA7"/>
    <w:rsid w:val="00B63590"/>
    <w:rsid w:val="00B71524"/>
    <w:rsid w:val="00BA1ADE"/>
    <w:rsid w:val="00BB1790"/>
    <w:rsid w:val="00BE114E"/>
    <w:rsid w:val="00C0092F"/>
    <w:rsid w:val="00C164D0"/>
    <w:rsid w:val="00C26ECC"/>
    <w:rsid w:val="00C364EE"/>
    <w:rsid w:val="00C4655B"/>
    <w:rsid w:val="00C516AE"/>
    <w:rsid w:val="00C553E4"/>
    <w:rsid w:val="00C62AED"/>
    <w:rsid w:val="00C65551"/>
    <w:rsid w:val="00C6644E"/>
    <w:rsid w:val="00C66F09"/>
    <w:rsid w:val="00C738CD"/>
    <w:rsid w:val="00C94D7C"/>
    <w:rsid w:val="00C962DE"/>
    <w:rsid w:val="00CB1DA2"/>
    <w:rsid w:val="00CB1FDA"/>
    <w:rsid w:val="00CD0A00"/>
    <w:rsid w:val="00CF27E9"/>
    <w:rsid w:val="00D05BF6"/>
    <w:rsid w:val="00D13A3D"/>
    <w:rsid w:val="00D15671"/>
    <w:rsid w:val="00D25E52"/>
    <w:rsid w:val="00D27FFD"/>
    <w:rsid w:val="00D7238D"/>
    <w:rsid w:val="00D74E4B"/>
    <w:rsid w:val="00DA4DBB"/>
    <w:rsid w:val="00DB2BA3"/>
    <w:rsid w:val="00DB4B39"/>
    <w:rsid w:val="00DC39C5"/>
    <w:rsid w:val="00DC7849"/>
    <w:rsid w:val="00DF1915"/>
    <w:rsid w:val="00DF689D"/>
    <w:rsid w:val="00E12B43"/>
    <w:rsid w:val="00E15575"/>
    <w:rsid w:val="00E20E40"/>
    <w:rsid w:val="00E21CE0"/>
    <w:rsid w:val="00E2367B"/>
    <w:rsid w:val="00E27C5B"/>
    <w:rsid w:val="00E620C2"/>
    <w:rsid w:val="00E84CA9"/>
    <w:rsid w:val="00EB5FEF"/>
    <w:rsid w:val="00EC042F"/>
    <w:rsid w:val="00EC45A3"/>
    <w:rsid w:val="00EC6DE0"/>
    <w:rsid w:val="00ED4D2B"/>
    <w:rsid w:val="00ED6BEB"/>
    <w:rsid w:val="00F5027F"/>
    <w:rsid w:val="00F55A26"/>
    <w:rsid w:val="00F55A75"/>
    <w:rsid w:val="00F66436"/>
    <w:rsid w:val="00F82F8F"/>
    <w:rsid w:val="00FA363B"/>
    <w:rsid w:val="00FA47BA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3A3D"/>
  <w15:chartTrackingRefBased/>
  <w15:docId w15:val="{8B1397B5-FB41-4D0F-BBE0-A59E90E3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F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77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D8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36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Vilanova</dc:creator>
  <cp:keywords/>
  <dc:description/>
  <cp:lastModifiedBy>Emilio Vilanova</cp:lastModifiedBy>
  <cp:revision>9</cp:revision>
  <dcterms:created xsi:type="dcterms:W3CDTF">2017-10-27T11:47:00Z</dcterms:created>
  <dcterms:modified xsi:type="dcterms:W3CDTF">2018-05-13T17:58:00Z</dcterms:modified>
</cp:coreProperties>
</file>