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licht1"/>
        <w:tblpPr w:leftFromText="141" w:rightFromText="141" w:vertAnchor="page" w:horzAnchor="margin" w:tblpXSpec="center" w:tblpY="954"/>
        <w:tblW w:w="16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195"/>
        <w:gridCol w:w="558"/>
        <w:gridCol w:w="134"/>
        <w:gridCol w:w="916"/>
        <w:gridCol w:w="50"/>
        <w:gridCol w:w="891"/>
        <w:gridCol w:w="50"/>
        <w:gridCol w:w="1075"/>
        <w:gridCol w:w="50"/>
        <w:gridCol w:w="740"/>
        <w:gridCol w:w="50"/>
        <w:gridCol w:w="2736"/>
        <w:gridCol w:w="50"/>
        <w:gridCol w:w="1368"/>
        <w:gridCol w:w="50"/>
        <w:gridCol w:w="1208"/>
        <w:gridCol w:w="50"/>
        <w:gridCol w:w="3113"/>
        <w:gridCol w:w="50"/>
        <w:gridCol w:w="9"/>
      </w:tblGrid>
      <w:tr w:rsidR="00D139BA" w:rsidRPr="00D139BA" w:rsidTr="006F1F93">
        <w:trPr>
          <w:trHeight w:val="704"/>
        </w:trPr>
        <w:tc>
          <w:tcPr>
            <w:tcW w:w="16242" w:type="dxa"/>
            <w:gridSpan w:val="21"/>
            <w:tcBorders>
              <w:top w:val="nil"/>
              <w:left w:val="nil"/>
              <w:right w:val="nil"/>
            </w:tcBorders>
          </w:tcPr>
          <w:p w:rsidR="00D139BA" w:rsidRPr="00453DAB" w:rsidRDefault="00D139BA" w:rsidP="00D139BA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S3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 xml:space="preserve"> Table</w:t>
            </w:r>
            <w:r w:rsidRPr="00453DAB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. Validity assessment: Cha</w:t>
            </w:r>
            <w:bookmarkStart w:id="0" w:name="_GoBack"/>
            <w:bookmarkEnd w:id="0"/>
            <w:r w:rsidRPr="00453DAB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 xml:space="preserve">racteristics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 xml:space="preserve">of the </w:t>
            </w:r>
            <w:r w:rsidRPr="00453DAB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included studies</w:t>
            </w:r>
          </w:p>
        </w:tc>
      </w:tr>
      <w:tr w:rsidR="00051B0F" w:rsidRPr="00453DAB" w:rsidTr="00FC7161">
        <w:trPr>
          <w:gridAfter w:val="2"/>
          <w:wAfter w:w="59" w:type="dxa"/>
          <w:trHeight w:val="340"/>
        </w:trPr>
        <w:tc>
          <w:tcPr>
            <w:tcW w:w="1899" w:type="dxa"/>
          </w:tcPr>
          <w:p w:rsidR="00453DAB" w:rsidRPr="00453DAB" w:rsidRDefault="00453DAB" w:rsidP="00C7012D">
            <w:pPr>
              <w:tabs>
                <w:tab w:val="left" w:pos="7088"/>
              </w:tabs>
              <w:ind w:right="551"/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>Author/Year</w:t>
            </w:r>
          </w:p>
          <w:p w:rsidR="00453DAB" w:rsidRPr="00453DAB" w:rsidRDefault="00453DAB" w:rsidP="00C7012D">
            <w:pPr>
              <w:ind w:right="551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Country</w:t>
            </w:r>
          </w:p>
          <w:p w:rsidR="00453DAB" w:rsidRPr="00453DAB" w:rsidRDefault="00453DAB" w:rsidP="00C7012D">
            <w:pPr>
              <w:ind w:right="551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Response rate</w:t>
            </w:r>
          </w:p>
          <w:p w:rsidR="00453DAB" w:rsidRPr="00453DAB" w:rsidRDefault="00453DAB" w:rsidP="00C7012D">
            <w:pPr>
              <w:ind w:right="551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Mean age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</w:t>
            </w:r>
          </w:p>
        </w:tc>
        <w:tc>
          <w:tcPr>
            <w:tcW w:w="1195" w:type="dxa"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Measurement tool</w:t>
            </w:r>
          </w:p>
        </w:tc>
        <w:tc>
          <w:tcPr>
            <w:tcW w:w="558" w:type="dxa"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N</w:t>
            </w:r>
          </w:p>
        </w:tc>
        <w:tc>
          <w:tcPr>
            <w:tcW w:w="1050" w:type="dxa"/>
            <w:gridSpan w:val="2"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Transition</w:t>
            </w:r>
          </w:p>
        </w:tc>
        <w:tc>
          <w:tcPr>
            <w:tcW w:w="941" w:type="dxa"/>
            <w:gridSpan w:val="2"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Safety </w:t>
            </w:r>
          </w:p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Outcome type</w:t>
            </w:r>
          </w:p>
        </w:tc>
        <w:tc>
          <w:tcPr>
            <w:tcW w:w="1125" w:type="dxa"/>
            <w:gridSpan w:val="2"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Domain</w:t>
            </w:r>
          </w:p>
        </w:tc>
        <w:tc>
          <w:tcPr>
            <w:tcW w:w="790" w:type="dxa"/>
            <w:gridSpan w:val="2"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Number of</w:t>
            </w:r>
          </w:p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 xml:space="preserve">    items</w:t>
            </w:r>
          </w:p>
        </w:tc>
        <w:tc>
          <w:tcPr>
            <w:tcW w:w="2786" w:type="dxa"/>
            <w:gridSpan w:val="2"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Dimensions</w:t>
            </w:r>
          </w:p>
        </w:tc>
        <w:tc>
          <w:tcPr>
            <w:tcW w:w="1418" w:type="dxa"/>
            <w:gridSpan w:val="2"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Target population</w:t>
            </w:r>
          </w:p>
        </w:tc>
        <w:tc>
          <w:tcPr>
            <w:tcW w:w="1258" w:type="dxa"/>
            <w:gridSpan w:val="2"/>
          </w:tcPr>
          <w:p w:rsidR="00453DAB" w:rsidRPr="00051B0F" w:rsidRDefault="00E616F8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Tool administration</w:t>
            </w:r>
            <w:r w:rsidR="00051B0F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br/>
            </w:r>
            <w:r w:rsidR="00051B0F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Time between transition and measurement</w:t>
            </w:r>
          </w:p>
        </w:tc>
        <w:tc>
          <w:tcPr>
            <w:tcW w:w="3163" w:type="dxa"/>
            <w:gridSpan w:val="2"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Methodological observations</w:t>
            </w:r>
          </w:p>
        </w:tc>
      </w:tr>
      <w:tr w:rsidR="00453DAB" w:rsidRPr="00453DAB" w:rsidTr="00FC7161">
        <w:trPr>
          <w:trHeight w:val="296"/>
        </w:trPr>
        <w:tc>
          <w:tcPr>
            <w:tcW w:w="16242" w:type="dxa"/>
            <w:gridSpan w:val="21"/>
            <w:shd w:val="clear" w:color="auto" w:fill="E7E6E6" w:themeFill="background2"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 xml:space="preserve">Patient perception </w:t>
            </w:r>
          </w:p>
        </w:tc>
      </w:tr>
      <w:tr w:rsidR="00051B0F" w:rsidRPr="00D139BA" w:rsidTr="00FC7161">
        <w:trPr>
          <w:gridAfter w:val="2"/>
          <w:wAfter w:w="59" w:type="dxa"/>
          <w:trHeight w:val="1135"/>
        </w:trPr>
        <w:tc>
          <w:tcPr>
            <w:tcW w:w="1899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 xml:space="preserve">Aller, 2013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Spain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23%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56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56%</w:t>
            </w:r>
          </w:p>
        </w:tc>
        <w:tc>
          <w:tcPr>
            <w:tcW w:w="1195" w:type="dxa"/>
            <w:hideMark/>
          </w:tcPr>
          <w:p w:rsidR="00453DAB" w:rsidRPr="00453DAB" w:rsidRDefault="00453DAB" w:rsidP="00575243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Continuity of care between care </w:t>
            </w:r>
          </w:p>
          <w:p w:rsidR="00453DAB" w:rsidRPr="00453DAB" w:rsidRDefault="00453DAB" w:rsidP="00575243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levels (CCAENA)</w:t>
            </w:r>
          </w:p>
        </w:tc>
        <w:tc>
          <w:tcPr>
            <w:tcW w:w="558" w:type="dxa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1500</w:t>
            </w:r>
          </w:p>
        </w:tc>
        <w:tc>
          <w:tcPr>
            <w:tcW w:w="1050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HOS&lt;-&gt;GP</w:t>
            </w:r>
          </w:p>
        </w:tc>
        <w:tc>
          <w:tcPr>
            <w:tcW w:w="941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HCP outcome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1125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Continuity of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care</w:t>
            </w:r>
          </w:p>
        </w:tc>
        <w:tc>
          <w:tcPr>
            <w:tcW w:w="790" w:type="dxa"/>
            <w:gridSpan w:val="2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29</w:t>
            </w:r>
          </w:p>
        </w:tc>
        <w:tc>
          <w:tcPr>
            <w:tcW w:w="2786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Patient-PCP relationship (Relational Continuity (7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2) Patient-SCP relationship (Relational Continuity) (7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3) Continuity across care levels (IC and MC) (11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4) Accessibility across care levels (MC) (4 items)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1418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Patients that have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experienced a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transition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1258" w:type="dxa"/>
            <w:gridSpan w:val="2"/>
          </w:tcPr>
          <w:p w:rsidR="00453DAB" w:rsidRPr="00453DAB" w:rsidRDefault="002039A5" w:rsidP="007546E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Face-to-face interviews at primary care centres or at home covering the 3 months prior to the interview</w:t>
            </w:r>
          </w:p>
        </w:tc>
        <w:tc>
          <w:tcPr>
            <w:tcW w:w="3163" w:type="dxa"/>
            <w:gridSpan w:val="2"/>
            <w:hideMark/>
          </w:tcPr>
          <w:p w:rsidR="00453DAB" w:rsidRPr="00453DAB" w:rsidRDefault="00453DAB" w:rsidP="007546E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- Relevant items excluded after factor analysis undermining initial content validity </w:t>
            </w:r>
          </w:p>
          <w:p w:rsidR="00453DAB" w:rsidRPr="00453DAB" w:rsidRDefault="00453DAB" w:rsidP="007546E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More details of validation in Spanish publication</w:t>
            </w:r>
          </w:p>
        </w:tc>
      </w:tr>
      <w:tr w:rsidR="00051B0F" w:rsidRPr="00D139BA" w:rsidTr="00FC7161">
        <w:trPr>
          <w:gridAfter w:val="2"/>
          <w:wAfter w:w="59" w:type="dxa"/>
          <w:trHeight w:val="771"/>
        </w:trPr>
        <w:tc>
          <w:tcPr>
            <w:tcW w:w="1899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 xml:space="preserve">Berendsen, 2009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The Netherlands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65%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54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60%</w:t>
            </w:r>
          </w:p>
        </w:tc>
        <w:tc>
          <w:tcPr>
            <w:tcW w:w="1195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Consumer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Quality Index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Continuum of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Care (CQI-COC)</w:t>
            </w:r>
          </w:p>
        </w:tc>
        <w:tc>
          <w:tcPr>
            <w:tcW w:w="558" w:type="dxa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1404</w:t>
            </w:r>
          </w:p>
        </w:tc>
        <w:tc>
          <w:tcPr>
            <w:tcW w:w="1050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GP-&gt;HOS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</w:t>
            </w:r>
          </w:p>
        </w:tc>
        <w:tc>
          <w:tcPr>
            <w:tcW w:w="941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HCP outcome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1125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Collaboration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between PCP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and hospital</w:t>
            </w:r>
          </w:p>
        </w:tc>
        <w:tc>
          <w:tcPr>
            <w:tcW w:w="790" w:type="dxa"/>
            <w:gridSpan w:val="2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22</w:t>
            </w:r>
          </w:p>
        </w:tc>
        <w:tc>
          <w:tcPr>
            <w:tcW w:w="2786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GP approach (6 items), 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2) GP referral (5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3) Specialist (9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4) Collaboration (2 items)</w:t>
            </w:r>
          </w:p>
        </w:tc>
        <w:tc>
          <w:tcPr>
            <w:tcW w:w="1418" w:type="dxa"/>
            <w:gridSpan w:val="2"/>
            <w:hideMark/>
          </w:tcPr>
          <w:p w:rsidR="00453DAB" w:rsidRPr="00453DAB" w:rsidRDefault="00453DAB" w:rsidP="00FA630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Referred patients </w:t>
            </w:r>
          </w:p>
        </w:tc>
        <w:tc>
          <w:tcPr>
            <w:tcW w:w="1258" w:type="dxa"/>
            <w:gridSpan w:val="2"/>
          </w:tcPr>
          <w:p w:rsidR="00453DAB" w:rsidRPr="00453DAB" w:rsidRDefault="0020129D" w:rsidP="002F672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Means of dispersion unclear (post?). Covering transitions in the last 2 years</w:t>
            </w:r>
          </w:p>
        </w:tc>
        <w:tc>
          <w:tcPr>
            <w:tcW w:w="3163" w:type="dxa"/>
            <w:gridSpan w:val="2"/>
            <w:hideMark/>
          </w:tcPr>
          <w:p w:rsidR="00453DAB" w:rsidRPr="00453DAB" w:rsidRDefault="00453DAB" w:rsidP="002F672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- Many items excluded </w:t>
            </w:r>
          </w:p>
          <w:p w:rsidR="00453DAB" w:rsidRPr="00453DAB" w:rsidRDefault="00453DAB" w:rsidP="00165C8E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After extensive item reduction, the resulting item set did not fully cover the original content</w:t>
            </w:r>
          </w:p>
        </w:tc>
      </w:tr>
      <w:tr w:rsidR="00051B0F" w:rsidRPr="00D139BA" w:rsidTr="00FC7161">
        <w:trPr>
          <w:gridAfter w:val="2"/>
          <w:wAfter w:w="59" w:type="dxa"/>
          <w:trHeight w:val="1440"/>
        </w:trPr>
        <w:tc>
          <w:tcPr>
            <w:tcW w:w="1899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 xml:space="preserve">Coleman, 2002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USA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NR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Mean age NR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NR</w:t>
            </w:r>
          </w:p>
        </w:tc>
        <w:tc>
          <w:tcPr>
            <w:tcW w:w="1195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Care Transition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Measure (CTM)</w:t>
            </w:r>
          </w:p>
        </w:tc>
        <w:tc>
          <w:tcPr>
            <w:tcW w:w="558" w:type="dxa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60</w:t>
            </w:r>
          </w:p>
        </w:tc>
        <w:tc>
          <w:tcPr>
            <w:tcW w:w="1050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HOS-&gt;GP</w:t>
            </w:r>
          </w:p>
        </w:tc>
        <w:tc>
          <w:tcPr>
            <w:tcW w:w="941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HCP outcome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1125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Quality of care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transition</w:t>
            </w:r>
          </w:p>
        </w:tc>
        <w:tc>
          <w:tcPr>
            <w:tcW w:w="790" w:type="dxa"/>
            <w:gridSpan w:val="2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NR</w:t>
            </w:r>
          </w:p>
        </w:tc>
        <w:tc>
          <w:tcPr>
            <w:tcW w:w="2786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Information transfer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2) Patient and caregiver preparation,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3) Support for self-management,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4) Empowerment to assert preferences</w:t>
            </w:r>
          </w:p>
        </w:tc>
        <w:tc>
          <w:tcPr>
            <w:tcW w:w="1418" w:type="dxa"/>
            <w:gridSpan w:val="2"/>
            <w:hideMark/>
          </w:tcPr>
          <w:p w:rsidR="00453DAB" w:rsidRPr="00453DAB" w:rsidRDefault="00453DAB" w:rsidP="007546E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Patients ≥65 years recently discharged from hospital and who received subsequent skilled nursing care in a facility/home</w:t>
            </w:r>
          </w:p>
        </w:tc>
        <w:tc>
          <w:tcPr>
            <w:tcW w:w="1258" w:type="dxa"/>
            <w:gridSpan w:val="2"/>
          </w:tcPr>
          <w:p w:rsidR="00453DAB" w:rsidRPr="00453DAB" w:rsidRDefault="00F71A5F" w:rsidP="001C6DCB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Telephone survey</w:t>
            </w:r>
            <w:r w:rsidR="004D0D5F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covering ‘recent transitions’</w:t>
            </w:r>
          </w:p>
        </w:tc>
        <w:tc>
          <w:tcPr>
            <w:tcW w:w="3163" w:type="dxa"/>
            <w:gridSpan w:val="2"/>
            <w:hideMark/>
          </w:tcPr>
          <w:p w:rsidR="00453DAB" w:rsidRPr="00453DAB" w:rsidRDefault="00453DAB" w:rsidP="001C6DCB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- No reported total of items </w:t>
            </w:r>
          </w:p>
          <w:p w:rsidR="00453DAB" w:rsidRPr="00453DAB" w:rsidRDefault="00453DAB" w:rsidP="001C6DCB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No reported number and characteristics of respondents</w:t>
            </w:r>
          </w:p>
        </w:tc>
      </w:tr>
      <w:tr w:rsidR="00051B0F" w:rsidRPr="00481D55" w:rsidTr="00FC7161">
        <w:trPr>
          <w:gridAfter w:val="2"/>
          <w:wAfter w:w="59" w:type="dxa"/>
          <w:trHeight w:val="1340"/>
        </w:trPr>
        <w:tc>
          <w:tcPr>
            <w:tcW w:w="1899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 xml:space="preserve">Coleman, 2005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USA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99.5%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67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60%</w:t>
            </w:r>
          </w:p>
        </w:tc>
        <w:tc>
          <w:tcPr>
            <w:tcW w:w="1195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Care Transition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Measure (CTM)</w:t>
            </w:r>
          </w:p>
        </w:tc>
        <w:tc>
          <w:tcPr>
            <w:tcW w:w="558" w:type="dxa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200</w:t>
            </w:r>
          </w:p>
        </w:tc>
        <w:tc>
          <w:tcPr>
            <w:tcW w:w="1050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HOS-&gt;GP</w:t>
            </w:r>
          </w:p>
        </w:tc>
        <w:tc>
          <w:tcPr>
            <w:tcW w:w="941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HCP +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patient outcome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1125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Quality of care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transition</w:t>
            </w:r>
          </w:p>
        </w:tc>
        <w:tc>
          <w:tcPr>
            <w:tcW w:w="790" w:type="dxa"/>
            <w:gridSpan w:val="2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15</w:t>
            </w:r>
          </w:p>
        </w:tc>
        <w:tc>
          <w:tcPr>
            <w:tcW w:w="2786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Critical understanding (6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2) Preferences important (3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3) Management preparation (4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4) Care plan (2 items)</w:t>
            </w:r>
          </w:p>
        </w:tc>
        <w:tc>
          <w:tcPr>
            <w:tcW w:w="1418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Adult patients discharged with primary diagnosis of chronic obstructive pulmonary disease, congestive heart failure, stroke, or hip fracture</w:t>
            </w:r>
          </w:p>
        </w:tc>
        <w:tc>
          <w:tcPr>
            <w:tcW w:w="1258" w:type="dxa"/>
            <w:gridSpan w:val="2"/>
          </w:tcPr>
          <w:p w:rsidR="00453DAB" w:rsidRPr="00453DAB" w:rsidRDefault="00211288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Telephone interview by trained survey researchers covering dischs=arge in the last 6-12 weeks</w:t>
            </w:r>
          </w:p>
        </w:tc>
        <w:tc>
          <w:tcPr>
            <w:tcW w:w="3163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Sequel to Coleman, 2002</w:t>
            </w:r>
          </w:p>
          <w:p w:rsidR="00453DAB" w:rsidRPr="00453DAB" w:rsidRDefault="00453DAB" w:rsidP="00165C8E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- All items treated as unidimensional measurement tool, although the questionnaire was developed with 4 dimensions </w:t>
            </w:r>
          </w:p>
        </w:tc>
      </w:tr>
      <w:tr w:rsidR="00051B0F" w:rsidRPr="00481D55" w:rsidTr="00FC7161">
        <w:trPr>
          <w:gridAfter w:val="2"/>
          <w:wAfter w:w="59" w:type="dxa"/>
          <w:trHeight w:val="871"/>
        </w:trPr>
        <w:tc>
          <w:tcPr>
            <w:tcW w:w="1899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lastRenderedPageBreak/>
              <w:t>Graumlich, 2008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USA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NR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54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58%</w:t>
            </w:r>
          </w:p>
        </w:tc>
        <w:tc>
          <w:tcPr>
            <w:tcW w:w="1195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B-prepared</w:t>
            </w:r>
          </w:p>
        </w:tc>
        <w:tc>
          <w:tcPr>
            <w:tcW w:w="558" w:type="dxa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460</w:t>
            </w:r>
          </w:p>
        </w:tc>
        <w:tc>
          <w:tcPr>
            <w:tcW w:w="1050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HOS-&gt;GP</w:t>
            </w:r>
          </w:p>
        </w:tc>
        <w:tc>
          <w:tcPr>
            <w:tcW w:w="941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HCP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outcome</w:t>
            </w:r>
          </w:p>
        </w:tc>
        <w:tc>
          <w:tcPr>
            <w:tcW w:w="1125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Patient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perceptions of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preparedness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for hospital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discharge</w:t>
            </w:r>
          </w:p>
        </w:tc>
        <w:tc>
          <w:tcPr>
            <w:tcW w:w="790" w:type="dxa"/>
            <w:gridSpan w:val="2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11</w:t>
            </w:r>
          </w:p>
        </w:tc>
        <w:tc>
          <w:tcPr>
            <w:tcW w:w="2786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Self-care information for medication and activity (4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2) Equipment and services (4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3) Confidence (3 items)</w:t>
            </w:r>
          </w:p>
        </w:tc>
        <w:tc>
          <w:tcPr>
            <w:tcW w:w="1418" w:type="dxa"/>
            <w:gridSpan w:val="2"/>
            <w:hideMark/>
          </w:tcPr>
          <w:p w:rsidR="00453DAB" w:rsidRPr="00453DAB" w:rsidRDefault="00453DAB" w:rsidP="00024A73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Adult patients discharged by internal medicine hospitalists </w:t>
            </w:r>
          </w:p>
        </w:tc>
        <w:tc>
          <w:tcPr>
            <w:tcW w:w="1258" w:type="dxa"/>
            <w:gridSpan w:val="2"/>
          </w:tcPr>
          <w:p w:rsidR="00453DAB" w:rsidRPr="00453DAB" w:rsidRDefault="00DA44C7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Two tele</w:t>
            </w:r>
            <w:r w:rsidR="00AB7C7D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phone interviews conducted by trained researchers 1 week and 1 month after discharge</w:t>
            </w:r>
          </w:p>
        </w:tc>
        <w:tc>
          <w:tcPr>
            <w:tcW w:w="3163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Sequel to Grimmer, 2001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Very selective group of patients, limiting generalizability</w:t>
            </w:r>
          </w:p>
        </w:tc>
      </w:tr>
      <w:tr w:rsidR="00051B0F" w:rsidRPr="00481D55" w:rsidTr="00FC7161">
        <w:trPr>
          <w:gridAfter w:val="2"/>
          <w:wAfter w:w="59" w:type="dxa"/>
          <w:trHeight w:val="1310"/>
        </w:trPr>
        <w:tc>
          <w:tcPr>
            <w:tcW w:w="1899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>Grimmer, 2001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Australia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patients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    60%; carers 52%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NR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(%female) NR</w:t>
            </w:r>
          </w:p>
        </w:tc>
        <w:tc>
          <w:tcPr>
            <w:tcW w:w="1195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PREPARED</w:t>
            </w:r>
          </w:p>
        </w:tc>
        <w:tc>
          <w:tcPr>
            <w:tcW w:w="558" w:type="dxa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Patients </w:t>
            </w:r>
          </w:p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500,</w:t>
            </w:r>
          </w:p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 Carers </w:t>
            </w:r>
          </w:p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431</w:t>
            </w:r>
          </w:p>
        </w:tc>
        <w:tc>
          <w:tcPr>
            <w:tcW w:w="1050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HOS-&gt;GP</w:t>
            </w:r>
          </w:p>
        </w:tc>
        <w:tc>
          <w:tcPr>
            <w:tcW w:w="941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HCP +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patient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outcome</w:t>
            </w:r>
          </w:p>
        </w:tc>
        <w:tc>
          <w:tcPr>
            <w:tcW w:w="1125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Quality of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discharge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planning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activities</w:t>
            </w:r>
          </w:p>
        </w:tc>
        <w:tc>
          <w:tcPr>
            <w:tcW w:w="790" w:type="dxa"/>
            <w:gridSpan w:val="2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21</w:t>
            </w:r>
          </w:p>
        </w:tc>
        <w:tc>
          <w:tcPr>
            <w:tcW w:w="2786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Information exchange (5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2) Receipt of medication information (4 items), </w:t>
            </w:r>
          </w:p>
          <w:p w:rsidR="00453DAB" w:rsidRPr="00453DAB" w:rsidRDefault="00453DAB" w:rsidP="00C7012D">
            <w:pPr>
              <w:tabs>
                <w:tab w:val="left" w:pos="8647"/>
              </w:tabs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3) Preparation for coping post dis-charge (3 items), 4) Control of post-discharge circumstances (2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5) Patient outcomes (3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6) Cost and service usage (4 items)</w:t>
            </w:r>
          </w:p>
        </w:tc>
        <w:tc>
          <w:tcPr>
            <w:tcW w:w="1418" w:type="dxa"/>
            <w:gridSpan w:val="2"/>
            <w:hideMark/>
          </w:tcPr>
          <w:p w:rsidR="00453DAB" w:rsidRPr="00453DAB" w:rsidRDefault="00453DAB" w:rsidP="001C6DCB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Patients ≥65 years, recently discharged from hospital</w:t>
            </w:r>
          </w:p>
        </w:tc>
        <w:tc>
          <w:tcPr>
            <w:tcW w:w="1258" w:type="dxa"/>
            <w:gridSpan w:val="2"/>
          </w:tcPr>
          <w:p w:rsidR="00453DAB" w:rsidRPr="00453DAB" w:rsidRDefault="00434402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Paper survey sent by post shortly after discharge</w:t>
            </w:r>
          </w:p>
        </w:tc>
        <w:tc>
          <w:tcPr>
            <w:tcW w:w="3163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No patient characteristics reported</w:t>
            </w:r>
          </w:p>
          <w:p w:rsidR="00453DAB" w:rsidRPr="00453DAB" w:rsidRDefault="00453DAB" w:rsidP="00D533E6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Low factor loadings ignored in conclusion</w:t>
            </w:r>
          </w:p>
        </w:tc>
      </w:tr>
      <w:tr w:rsidR="00CA7836" w:rsidRPr="00481D55" w:rsidTr="00FC7161">
        <w:trPr>
          <w:gridAfter w:val="2"/>
          <w:wAfter w:w="59" w:type="dxa"/>
          <w:trHeight w:val="1310"/>
        </w:trPr>
        <w:tc>
          <w:tcPr>
            <w:tcW w:w="1899" w:type="dxa"/>
          </w:tcPr>
          <w:p w:rsidR="00CA7836" w:rsidRDefault="00CA7836" w:rsidP="00C7012D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>Hadjistavropoulos, 2008</w:t>
            </w:r>
          </w:p>
          <w:p w:rsidR="00CA7836" w:rsidRDefault="00CA7836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Canada</w:t>
            </w:r>
          </w:p>
          <w:p w:rsidR="00CA7836" w:rsidRDefault="00CA7836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Response rate NR</w:t>
            </w:r>
          </w:p>
          <w:p w:rsidR="00CA7836" w:rsidRDefault="00CA7836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Mean age 65</w:t>
            </w:r>
          </w:p>
          <w:p w:rsidR="00CA7836" w:rsidRPr="00CA7836" w:rsidRDefault="00CA7836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(%female) 60%</w:t>
            </w:r>
          </w:p>
        </w:tc>
        <w:tc>
          <w:tcPr>
            <w:tcW w:w="1195" w:type="dxa"/>
          </w:tcPr>
          <w:p w:rsidR="00CA7836" w:rsidRPr="00453DAB" w:rsidRDefault="00CA7836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Patient Continuity of Care Questionnaire (PCCQ)</w:t>
            </w:r>
          </w:p>
        </w:tc>
        <w:tc>
          <w:tcPr>
            <w:tcW w:w="558" w:type="dxa"/>
          </w:tcPr>
          <w:p w:rsidR="00CA7836" w:rsidRPr="00453DAB" w:rsidRDefault="00CA7836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204</w:t>
            </w:r>
          </w:p>
        </w:tc>
        <w:tc>
          <w:tcPr>
            <w:tcW w:w="1050" w:type="dxa"/>
            <w:gridSpan w:val="2"/>
          </w:tcPr>
          <w:p w:rsidR="00CA7836" w:rsidRPr="00453DAB" w:rsidRDefault="00CA7836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HOS-&gt;GP</w:t>
            </w:r>
          </w:p>
        </w:tc>
        <w:tc>
          <w:tcPr>
            <w:tcW w:w="941" w:type="dxa"/>
            <w:gridSpan w:val="2"/>
          </w:tcPr>
          <w:p w:rsidR="00CA7836" w:rsidRPr="00453DAB" w:rsidRDefault="00CA7836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HCP outcome</w:t>
            </w:r>
          </w:p>
        </w:tc>
        <w:tc>
          <w:tcPr>
            <w:tcW w:w="1125" w:type="dxa"/>
            <w:gridSpan w:val="2"/>
          </w:tcPr>
          <w:p w:rsidR="00CA7836" w:rsidRPr="00453DAB" w:rsidRDefault="00CA7836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Continuity of care at discharge</w:t>
            </w:r>
          </w:p>
        </w:tc>
        <w:tc>
          <w:tcPr>
            <w:tcW w:w="790" w:type="dxa"/>
            <w:gridSpan w:val="2"/>
          </w:tcPr>
          <w:p w:rsidR="00CA7836" w:rsidRPr="00453DAB" w:rsidRDefault="00CA7836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27</w:t>
            </w:r>
          </w:p>
        </w:tc>
        <w:tc>
          <w:tcPr>
            <w:tcW w:w="2786" w:type="dxa"/>
            <w:gridSpan w:val="2"/>
          </w:tcPr>
          <w:p w:rsidR="00CA7836" w:rsidRDefault="00CA7836" w:rsidP="00CA7836">
            <w:pPr>
              <w:pStyle w:val="Lijstalinea"/>
              <w:numPr>
                <w:ilvl w:val="0"/>
                <w:numId w:val="2"/>
              </w:numPr>
              <w:ind w:left="0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1) Relationships in hospital (7 items)</w:t>
            </w:r>
          </w:p>
          <w:p w:rsidR="00CA7836" w:rsidRDefault="00CA7836" w:rsidP="00CA7836">
            <w:pPr>
              <w:pStyle w:val="Lijstalinea"/>
              <w:numPr>
                <w:ilvl w:val="0"/>
                <w:numId w:val="2"/>
              </w:numPr>
              <w:ind w:left="0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2) Information transfer (6 items)</w:t>
            </w:r>
          </w:p>
          <w:p w:rsidR="00CA7836" w:rsidRDefault="00CA7836" w:rsidP="00CA7836">
            <w:pPr>
              <w:pStyle w:val="Lijstalinea"/>
              <w:numPr>
                <w:ilvl w:val="0"/>
                <w:numId w:val="2"/>
              </w:numPr>
              <w:ind w:left="0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3) Relationships in community (4 items)</w:t>
            </w:r>
          </w:p>
          <w:p w:rsidR="00CA7836" w:rsidRDefault="00CA7836" w:rsidP="00CA7836">
            <w:pPr>
              <w:pStyle w:val="Lijstalinea"/>
              <w:numPr>
                <w:ilvl w:val="0"/>
                <w:numId w:val="2"/>
              </w:numPr>
              <w:ind w:left="0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4) Management of forms (3 items)</w:t>
            </w:r>
          </w:p>
          <w:p w:rsidR="00CA7836" w:rsidRDefault="00CA7836" w:rsidP="00CA7836">
            <w:pPr>
              <w:pStyle w:val="Lijstalinea"/>
              <w:numPr>
                <w:ilvl w:val="0"/>
                <w:numId w:val="2"/>
              </w:numPr>
              <w:ind w:left="0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5) Management of follow-up (3 items)</w:t>
            </w:r>
          </w:p>
          <w:p w:rsidR="00CA7836" w:rsidRPr="00CA7836" w:rsidRDefault="00CA7836" w:rsidP="00CA7836">
            <w:pPr>
              <w:pStyle w:val="Lijstalinea"/>
              <w:numPr>
                <w:ilvl w:val="0"/>
                <w:numId w:val="2"/>
              </w:numPr>
              <w:ind w:left="0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6) Management of communication (4 items)</w:t>
            </w:r>
          </w:p>
        </w:tc>
        <w:tc>
          <w:tcPr>
            <w:tcW w:w="1418" w:type="dxa"/>
            <w:gridSpan w:val="2"/>
          </w:tcPr>
          <w:p w:rsidR="00CA7836" w:rsidRPr="00453DAB" w:rsidRDefault="00CA7836" w:rsidP="001C6DCB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Adult patients recently discharged form hospital</w:t>
            </w:r>
          </w:p>
        </w:tc>
        <w:tc>
          <w:tcPr>
            <w:tcW w:w="1258" w:type="dxa"/>
            <w:gridSpan w:val="2"/>
          </w:tcPr>
          <w:p w:rsidR="00CA7836" w:rsidRDefault="00CA7836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Means of dispersion unclear (post?). sent after 4 weeks after discharge. Possible help from research team.</w:t>
            </w:r>
          </w:p>
        </w:tc>
        <w:tc>
          <w:tcPr>
            <w:tcW w:w="3163" w:type="dxa"/>
            <w:gridSpan w:val="2"/>
          </w:tcPr>
          <w:p w:rsidR="00CA7836" w:rsidRPr="00453DAB" w:rsidRDefault="00481D55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Relevant items excluded because &gt;5% of patients found it not applicable</w:t>
            </w:r>
          </w:p>
        </w:tc>
      </w:tr>
      <w:tr w:rsidR="00051B0F" w:rsidRPr="00453DAB" w:rsidTr="00FC7161">
        <w:trPr>
          <w:gridAfter w:val="2"/>
          <w:wAfter w:w="59" w:type="dxa"/>
          <w:trHeight w:val="1690"/>
        </w:trPr>
        <w:tc>
          <w:tcPr>
            <w:tcW w:w="1899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 xml:space="preserve">Haggerty, 2011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Canada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54-99%*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48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65%</w:t>
            </w:r>
          </w:p>
        </w:tc>
        <w:tc>
          <w:tcPr>
            <w:tcW w:w="1195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Several existing (validated)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questionnaires on continuity of care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with a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dimension on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management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continuity: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PCAS, PCAT-S, </w:t>
            </w:r>
          </w:p>
          <w:p w:rsidR="00453DAB" w:rsidRPr="00453DAB" w:rsidRDefault="00453DAB" w:rsidP="00FA6305">
            <w:pPr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CPCI, VANOCSS</w:t>
            </w:r>
            <w:r w:rsidRPr="00453DA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nl-NL"/>
              </w:rPr>
              <w:t>#</w:t>
            </w:r>
          </w:p>
        </w:tc>
        <w:tc>
          <w:tcPr>
            <w:tcW w:w="558" w:type="dxa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236-</w:t>
            </w:r>
          </w:p>
          <w:p w:rsidR="00453DAB" w:rsidRPr="00453DAB" w:rsidRDefault="00453DAB" w:rsidP="001A131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427</w:t>
            </w:r>
            <w:r w:rsidRPr="00453DA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val="en-GB" w:eastAsia="nl-NL"/>
              </w:rPr>
              <w:t>¥</w:t>
            </w:r>
          </w:p>
        </w:tc>
        <w:tc>
          <w:tcPr>
            <w:tcW w:w="1050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HOS&lt;-&gt;GP</w:t>
            </w:r>
          </w:p>
        </w:tc>
        <w:tc>
          <w:tcPr>
            <w:tcW w:w="941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HCP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outcome</w:t>
            </w:r>
          </w:p>
        </w:tc>
        <w:tc>
          <w:tcPr>
            <w:tcW w:w="1125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Management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continuity</w:t>
            </w:r>
          </w:p>
        </w:tc>
        <w:tc>
          <w:tcPr>
            <w:tcW w:w="790" w:type="dxa"/>
            <w:gridSpan w:val="2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28 in 4 </w:t>
            </w:r>
          </w:p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questionnaires</w:t>
            </w:r>
          </w:p>
        </w:tc>
        <w:tc>
          <w:tcPr>
            <w:tcW w:w="2786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PCAS: Integration (6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2) PCAT-S: Coordination (4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3) CPCI: Coordination of care (8 items), </w:t>
            </w:r>
          </w:p>
          <w:p w:rsidR="00453DAB" w:rsidRPr="00453DAB" w:rsidRDefault="00453DAB" w:rsidP="00AB7C7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4) VANOCCS: o</w:t>
            </w:r>
            <w:r w:rsidR="00CA7836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verall coordination (6 items), </w:t>
            </w:r>
            <w:r w:rsidR="00AB7C7D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s</w:t>
            </w: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pecialty access (4 items) </w:t>
            </w:r>
          </w:p>
        </w:tc>
        <w:tc>
          <w:tcPr>
            <w:tcW w:w="1418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Primary care patients who had seen more than one provider in the previous month</w:t>
            </w:r>
          </w:p>
        </w:tc>
        <w:tc>
          <w:tcPr>
            <w:tcW w:w="1258" w:type="dxa"/>
            <w:gridSpan w:val="2"/>
          </w:tcPr>
          <w:p w:rsidR="00051B0F" w:rsidRDefault="00051B0F" w:rsidP="0065239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Paper </w:t>
            </w:r>
            <w:r w:rsidR="00434402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survey sent by post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on</w:t>
            </w:r>
          </w:p>
          <w:p w:rsidR="00051B0F" w:rsidRDefault="00051B0F" w:rsidP="0065239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all transitions ever experienced, </w:t>
            </w:r>
          </w:p>
          <w:p w:rsidR="00051B0F" w:rsidRDefault="00051B0F" w:rsidP="0065239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2)  all transitions ever experienced,</w:t>
            </w:r>
          </w:p>
          <w:p w:rsidR="00051B0F" w:rsidRDefault="00051B0F" w:rsidP="0065239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3)  all transitions ever experienced,</w:t>
            </w:r>
          </w:p>
          <w:p w:rsidR="00453DAB" w:rsidRPr="00453DAB" w:rsidRDefault="00051B0F" w:rsidP="0065239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4) Transitions in the last 12 months</w:t>
            </w:r>
          </w:p>
        </w:tc>
        <w:tc>
          <w:tcPr>
            <w:tcW w:w="3163" w:type="dxa"/>
            <w:gridSpan w:val="2"/>
            <w:hideMark/>
          </w:tcPr>
          <w:p w:rsidR="00453DAB" w:rsidRPr="00453DAB" w:rsidRDefault="00453DAB" w:rsidP="0065239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Compared single dimensions on management continuity of related questionnaires, so</w:t>
            </w:r>
          </w:p>
          <w:p w:rsidR="00453DAB" w:rsidRPr="00453DAB" w:rsidRDefault="00453DAB" w:rsidP="00575243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COSMIN not applicable </w:t>
            </w:r>
          </w:p>
        </w:tc>
      </w:tr>
      <w:tr w:rsidR="00051B0F" w:rsidRPr="00481D55" w:rsidTr="00FC7161">
        <w:trPr>
          <w:gridAfter w:val="2"/>
          <w:wAfter w:w="59" w:type="dxa"/>
          <w:trHeight w:val="1827"/>
        </w:trPr>
        <w:tc>
          <w:tcPr>
            <w:tcW w:w="1899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lastRenderedPageBreak/>
              <w:t xml:space="preserve">Haggerty, 2012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Canada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80%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53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71%</w:t>
            </w:r>
          </w:p>
        </w:tc>
        <w:tc>
          <w:tcPr>
            <w:tcW w:w="1195" w:type="dxa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Patient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Perceived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Continuity from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Multiple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Clinicians</w:t>
            </w:r>
          </w:p>
        </w:tc>
        <w:tc>
          <w:tcPr>
            <w:tcW w:w="558" w:type="dxa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256</w:t>
            </w:r>
          </w:p>
        </w:tc>
        <w:tc>
          <w:tcPr>
            <w:tcW w:w="1050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HOS&lt;-&gt;GP</w:t>
            </w:r>
          </w:p>
        </w:tc>
        <w:tc>
          <w:tcPr>
            <w:tcW w:w="941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HCP +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patient outcome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1125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Continuity of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care</w:t>
            </w:r>
          </w:p>
        </w:tc>
        <w:tc>
          <w:tcPr>
            <w:tcW w:w="790" w:type="dxa"/>
            <w:gridSpan w:val="2"/>
            <w:hideMark/>
          </w:tcPr>
          <w:p w:rsidR="00453DAB" w:rsidRPr="00453DAB" w:rsidRDefault="00453DAB" w:rsidP="00C70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37</w:t>
            </w:r>
          </w:p>
        </w:tc>
        <w:tc>
          <w:tcPr>
            <w:tcW w:w="2786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Coordinator role (5 items), </w:t>
            </w:r>
          </w:p>
          <w:p w:rsidR="00AB7C7D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2) Comprehensive knowledge of patient (4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3) Confidence and partnership (3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4) Confidence in team (2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5) Role clarity and coordination (6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6) Information between clinicians (6 items), </w:t>
            </w:r>
          </w:p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7) Evidence of a care plan (7 items), </w:t>
            </w:r>
          </w:p>
          <w:p w:rsidR="00453DAB" w:rsidRPr="00453DAB" w:rsidRDefault="00453DAB" w:rsidP="00AB7C7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8) Self-management information provided (4 items) </w:t>
            </w:r>
          </w:p>
        </w:tc>
        <w:tc>
          <w:tcPr>
            <w:tcW w:w="1418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Adult patients in primary care seeing other clinicians in a variety of settings</w:t>
            </w:r>
          </w:p>
        </w:tc>
        <w:tc>
          <w:tcPr>
            <w:tcW w:w="1258" w:type="dxa"/>
            <w:gridSpan w:val="2"/>
          </w:tcPr>
          <w:p w:rsidR="00453DAB" w:rsidRPr="00453DAB" w:rsidRDefault="00FB2E2E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Paper self-administered survey in </w:t>
            </w:r>
            <w:r w:rsidR="00FF3E8C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waiting rooms of primary care clinics on continuity of care in the last 12 months</w:t>
            </w:r>
          </w:p>
        </w:tc>
        <w:tc>
          <w:tcPr>
            <w:tcW w:w="3163" w:type="dxa"/>
            <w:gridSpan w:val="2"/>
            <w:hideMark/>
          </w:tcPr>
          <w:p w:rsidR="00453DAB" w:rsidRPr="00453DAB" w:rsidRDefault="00453DAB" w:rsidP="00C7012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Sequel to Haggerty 2011</w:t>
            </w:r>
          </w:p>
          <w:p w:rsidR="00453DAB" w:rsidRPr="00453DAB" w:rsidRDefault="00453DAB" w:rsidP="002F672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Use of a reference standard not applicable in transitional patient safety</w:t>
            </w:r>
          </w:p>
        </w:tc>
      </w:tr>
      <w:tr w:rsidR="0020129D" w:rsidRPr="00453DAB" w:rsidTr="00FC7161">
        <w:trPr>
          <w:gridAfter w:val="2"/>
          <w:wAfter w:w="59" w:type="dxa"/>
          <w:trHeight w:val="350"/>
        </w:trPr>
        <w:tc>
          <w:tcPr>
            <w:tcW w:w="1899" w:type="dxa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 xml:space="preserve">Kollen, 2010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The Netherlands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65%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56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60%</w:t>
            </w:r>
          </w:p>
        </w:tc>
        <w:tc>
          <w:tcPr>
            <w:tcW w:w="1195" w:type="dxa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Consumer Quality Index Continuum of Care (CQI-COC)</w:t>
            </w:r>
          </w:p>
        </w:tc>
        <w:tc>
          <w:tcPr>
            <w:tcW w:w="558" w:type="dxa"/>
            <w:hideMark/>
          </w:tcPr>
          <w:p w:rsidR="0020129D" w:rsidRPr="00453DAB" w:rsidRDefault="0020129D" w:rsidP="0020129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1404</w:t>
            </w:r>
          </w:p>
        </w:tc>
        <w:tc>
          <w:tcPr>
            <w:tcW w:w="1050" w:type="dxa"/>
            <w:gridSpan w:val="2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GP-&gt;HOP </w:t>
            </w:r>
          </w:p>
        </w:tc>
        <w:tc>
          <w:tcPr>
            <w:tcW w:w="941" w:type="dxa"/>
            <w:gridSpan w:val="2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HCP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outcome</w:t>
            </w:r>
          </w:p>
        </w:tc>
        <w:tc>
          <w:tcPr>
            <w:tcW w:w="1125" w:type="dxa"/>
            <w:gridSpan w:val="2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Quality of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continuum of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care</w:t>
            </w:r>
          </w:p>
        </w:tc>
        <w:tc>
          <w:tcPr>
            <w:tcW w:w="790" w:type="dxa"/>
            <w:gridSpan w:val="2"/>
            <w:hideMark/>
          </w:tcPr>
          <w:p w:rsidR="0020129D" w:rsidRPr="00453DAB" w:rsidRDefault="0020129D" w:rsidP="0020129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22</w:t>
            </w:r>
          </w:p>
        </w:tc>
        <w:tc>
          <w:tcPr>
            <w:tcW w:w="2786" w:type="dxa"/>
            <w:gridSpan w:val="2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GP approach (6 items),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2) GP referral (5 items),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3) Specialist (9 items),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4) Collaboration (2 items)</w:t>
            </w:r>
          </w:p>
        </w:tc>
        <w:tc>
          <w:tcPr>
            <w:tcW w:w="1418" w:type="dxa"/>
            <w:gridSpan w:val="2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Adult patients who had been referred and visited a specialist</w:t>
            </w:r>
          </w:p>
        </w:tc>
        <w:tc>
          <w:tcPr>
            <w:tcW w:w="1258" w:type="dxa"/>
            <w:gridSpan w:val="2"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Means of dispersion unclear (post?). Covering transitions in the last 2 years</w:t>
            </w:r>
          </w:p>
        </w:tc>
        <w:tc>
          <w:tcPr>
            <w:tcW w:w="3163" w:type="dxa"/>
            <w:gridSpan w:val="2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 - Sequel to Berendsen 2009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20129D" w:rsidRPr="00481D55" w:rsidTr="00FC7161">
        <w:trPr>
          <w:gridAfter w:val="2"/>
          <w:wAfter w:w="59" w:type="dxa"/>
          <w:trHeight w:val="807"/>
        </w:trPr>
        <w:tc>
          <w:tcPr>
            <w:tcW w:w="1899" w:type="dxa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 xml:space="preserve">Uijen, 2011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The Netherlands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72%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65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54%</w:t>
            </w:r>
          </w:p>
        </w:tc>
        <w:tc>
          <w:tcPr>
            <w:tcW w:w="1195" w:type="dxa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Nijmegen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Continuity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Questionnaire</w:t>
            </w:r>
          </w:p>
        </w:tc>
        <w:tc>
          <w:tcPr>
            <w:tcW w:w="558" w:type="dxa"/>
            <w:hideMark/>
          </w:tcPr>
          <w:p w:rsidR="0020129D" w:rsidRPr="00453DAB" w:rsidRDefault="0020129D" w:rsidP="0020129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288</w:t>
            </w:r>
          </w:p>
        </w:tc>
        <w:tc>
          <w:tcPr>
            <w:tcW w:w="1050" w:type="dxa"/>
            <w:gridSpan w:val="2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HOS&lt;-&gt;GP</w:t>
            </w:r>
          </w:p>
        </w:tc>
        <w:tc>
          <w:tcPr>
            <w:tcW w:w="941" w:type="dxa"/>
            <w:gridSpan w:val="2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HCP outcome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1125" w:type="dxa"/>
            <w:gridSpan w:val="2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Continuity of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care</w:t>
            </w:r>
          </w:p>
        </w:tc>
        <w:tc>
          <w:tcPr>
            <w:tcW w:w="790" w:type="dxa"/>
            <w:gridSpan w:val="2"/>
            <w:hideMark/>
          </w:tcPr>
          <w:p w:rsidR="0020129D" w:rsidRPr="00453DAB" w:rsidRDefault="0020129D" w:rsidP="0020129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28</w:t>
            </w:r>
          </w:p>
        </w:tc>
        <w:tc>
          <w:tcPr>
            <w:tcW w:w="2786" w:type="dxa"/>
            <w:gridSpan w:val="2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1) Personal conti</w:t>
            </w:r>
            <w:r w:rsidR="00AB7C7D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nuity: care provider knows me (10 </w:t>
            </w: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items),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2) Personal continuity: care provider shows commitment (6 items), 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3) Team/cross boundary continuity (12 items)</w:t>
            </w:r>
          </w:p>
        </w:tc>
        <w:tc>
          <w:tcPr>
            <w:tcW w:w="1418" w:type="dxa"/>
            <w:gridSpan w:val="2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Patients with comorbidity</w:t>
            </w:r>
          </w:p>
        </w:tc>
        <w:tc>
          <w:tcPr>
            <w:tcW w:w="1258" w:type="dxa"/>
            <w:gridSpan w:val="2"/>
          </w:tcPr>
          <w:p w:rsidR="0020129D" w:rsidRPr="00453DAB" w:rsidRDefault="00AB7C7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Paper surveys </w:t>
            </w:r>
            <w:r w:rsidR="00296AFF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distributed at their practice by GP trainees to 30 patients and returned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by post</w:t>
            </w:r>
            <w:r w:rsidR="00DD3812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covering transitions in the previous year</w:t>
            </w:r>
          </w:p>
        </w:tc>
        <w:tc>
          <w:tcPr>
            <w:tcW w:w="3163" w:type="dxa"/>
            <w:gridSpan w:val="2"/>
            <w:hideMark/>
          </w:tcPr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Relevant items excluded after factor analysis, undermining initial content validity</w:t>
            </w:r>
          </w:p>
          <w:p w:rsidR="0020129D" w:rsidRPr="00453DAB" w:rsidRDefault="0020129D" w:rsidP="0020129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</w:tc>
      </w:tr>
      <w:tr w:rsidR="00296AFF" w:rsidRPr="00481D55" w:rsidTr="00FC7161">
        <w:trPr>
          <w:gridAfter w:val="2"/>
          <w:wAfter w:w="59" w:type="dxa"/>
          <w:trHeight w:val="1105"/>
        </w:trPr>
        <w:tc>
          <w:tcPr>
            <w:tcW w:w="1899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 xml:space="preserve">Uijen, 2012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The Netherlands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76%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in GP 66, in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   hos 58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Gender (% female) in GP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   54%, in hos 49%</w:t>
            </w:r>
          </w:p>
        </w:tc>
        <w:tc>
          <w:tcPr>
            <w:tcW w:w="1195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Nijmegen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Continuity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Questionnaire</w:t>
            </w:r>
          </w:p>
        </w:tc>
        <w:tc>
          <w:tcPr>
            <w:tcW w:w="558" w:type="dxa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268</w:t>
            </w:r>
          </w:p>
        </w:tc>
        <w:tc>
          <w:tcPr>
            <w:tcW w:w="1050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HOS&lt;-&gt;GP</w:t>
            </w:r>
          </w:p>
        </w:tc>
        <w:tc>
          <w:tcPr>
            <w:tcW w:w="941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HCP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outcome</w:t>
            </w:r>
          </w:p>
        </w:tc>
        <w:tc>
          <w:tcPr>
            <w:tcW w:w="1125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Continuity of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care</w:t>
            </w:r>
          </w:p>
        </w:tc>
        <w:tc>
          <w:tcPr>
            <w:tcW w:w="790" w:type="dxa"/>
            <w:gridSpan w:val="2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28</w:t>
            </w:r>
          </w:p>
        </w:tc>
        <w:tc>
          <w:tcPr>
            <w:tcW w:w="2786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1) Personal continuity: care provider knows me (10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</w:t>
            </w: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items),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2) Personal continuity: care provider shows commitment (6 items),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3) Team/cross boundary continuity (12 items)</w:t>
            </w:r>
          </w:p>
        </w:tc>
        <w:tc>
          <w:tcPr>
            <w:tcW w:w="1418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Patients with comorbidity</w:t>
            </w:r>
          </w:p>
        </w:tc>
        <w:tc>
          <w:tcPr>
            <w:tcW w:w="1258" w:type="dxa"/>
            <w:gridSpan w:val="2"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Paper surveys distributed at their practice by GP trainees to 30 patients and returned by post covering transitions in the previous year</w:t>
            </w:r>
          </w:p>
        </w:tc>
        <w:tc>
          <w:tcPr>
            <w:tcW w:w="3163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Sequel to Uijen, 2011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Assessing discriminative validity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Confirmatory factor analysis would be more appropriate than exploratory factor analysis</w:t>
            </w:r>
          </w:p>
        </w:tc>
      </w:tr>
      <w:tr w:rsidR="00296AFF" w:rsidRPr="00453DAB" w:rsidTr="00FC7161">
        <w:trPr>
          <w:trHeight w:val="56"/>
        </w:trPr>
        <w:tc>
          <w:tcPr>
            <w:tcW w:w="16242" w:type="dxa"/>
            <w:gridSpan w:val="21"/>
            <w:shd w:val="clear" w:color="auto" w:fill="E7E6E6" w:themeFill="background2"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E616F8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val="en-GB" w:eastAsia="nl-NL"/>
              </w:rPr>
              <w:t>HCP perspective</w:t>
            </w:r>
          </w:p>
        </w:tc>
      </w:tr>
      <w:tr w:rsidR="00296AFF" w:rsidRPr="00453DAB" w:rsidTr="00FC7161">
        <w:trPr>
          <w:gridAfter w:val="1"/>
          <w:wAfter w:w="9" w:type="dxa"/>
          <w:trHeight w:val="1292"/>
        </w:trPr>
        <w:tc>
          <w:tcPr>
            <w:tcW w:w="1899" w:type="dxa"/>
            <w:shd w:val="clear" w:color="auto" w:fill="E7E6E6" w:themeFill="background2"/>
          </w:tcPr>
          <w:p w:rsidR="00296AFF" w:rsidRPr="00453DAB" w:rsidRDefault="00296AFF" w:rsidP="00296AFF">
            <w:pPr>
              <w:tabs>
                <w:tab w:val="left" w:pos="7088"/>
              </w:tabs>
              <w:ind w:right="551"/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lastRenderedPageBreak/>
              <w:t>Author/Year</w:t>
            </w:r>
          </w:p>
          <w:p w:rsidR="00296AFF" w:rsidRPr="00453DAB" w:rsidRDefault="00296AFF" w:rsidP="00296AFF">
            <w:pPr>
              <w:ind w:right="551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Country</w:t>
            </w:r>
          </w:p>
          <w:p w:rsidR="00296AFF" w:rsidRPr="00453DAB" w:rsidRDefault="00296AFF" w:rsidP="00296AFF">
            <w:pPr>
              <w:ind w:right="551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Response rate</w:t>
            </w:r>
          </w:p>
          <w:p w:rsidR="00296AFF" w:rsidRPr="00453DAB" w:rsidRDefault="00296AFF" w:rsidP="00296AFF">
            <w:pPr>
              <w:ind w:right="551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Mean age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b/>
                <w:i/>
                <w:color w:val="000000" w:themeColor="text1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</w:t>
            </w:r>
          </w:p>
        </w:tc>
        <w:tc>
          <w:tcPr>
            <w:tcW w:w="1195" w:type="dxa"/>
            <w:shd w:val="clear" w:color="auto" w:fill="E7E6E6" w:themeFill="background2"/>
          </w:tcPr>
          <w:p w:rsidR="00296AFF" w:rsidRPr="00E616F8" w:rsidRDefault="00296AFF" w:rsidP="00296AFF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</w:pPr>
            <w:r w:rsidRPr="00E616F8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Measurement tool</w:t>
            </w:r>
          </w:p>
        </w:tc>
        <w:tc>
          <w:tcPr>
            <w:tcW w:w="692" w:type="dxa"/>
            <w:gridSpan w:val="2"/>
            <w:shd w:val="clear" w:color="auto" w:fill="E7E6E6" w:themeFill="background2"/>
          </w:tcPr>
          <w:p w:rsidR="00296AFF" w:rsidRPr="00E616F8" w:rsidRDefault="00296AFF" w:rsidP="00296AFF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</w:pPr>
            <w:r w:rsidRPr="00E616F8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  <w:t>N</w:t>
            </w:r>
          </w:p>
        </w:tc>
        <w:tc>
          <w:tcPr>
            <w:tcW w:w="966" w:type="dxa"/>
            <w:gridSpan w:val="2"/>
            <w:shd w:val="clear" w:color="auto" w:fill="E7E6E6" w:themeFill="background2"/>
          </w:tcPr>
          <w:p w:rsidR="00296AFF" w:rsidRPr="00E616F8" w:rsidRDefault="00296AFF" w:rsidP="00296AFF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</w:pPr>
            <w:r w:rsidRPr="00E616F8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Transition</w:t>
            </w:r>
          </w:p>
        </w:tc>
        <w:tc>
          <w:tcPr>
            <w:tcW w:w="941" w:type="dxa"/>
            <w:gridSpan w:val="2"/>
            <w:shd w:val="clear" w:color="auto" w:fill="E7E6E6" w:themeFill="background2"/>
          </w:tcPr>
          <w:p w:rsidR="00296AFF" w:rsidRPr="00E616F8" w:rsidRDefault="00296AFF" w:rsidP="00296AFF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</w:pPr>
            <w:r w:rsidRPr="00E616F8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  <w:t>Safety outcome type</w:t>
            </w:r>
          </w:p>
        </w:tc>
        <w:tc>
          <w:tcPr>
            <w:tcW w:w="1125" w:type="dxa"/>
            <w:gridSpan w:val="2"/>
            <w:shd w:val="clear" w:color="auto" w:fill="E7E6E6" w:themeFill="background2"/>
          </w:tcPr>
          <w:p w:rsidR="00296AFF" w:rsidRPr="00E616F8" w:rsidRDefault="00296AFF" w:rsidP="00296AFF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</w:pPr>
            <w:r w:rsidRPr="00E616F8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  <w:t>Domain</w:t>
            </w:r>
          </w:p>
        </w:tc>
        <w:tc>
          <w:tcPr>
            <w:tcW w:w="790" w:type="dxa"/>
            <w:gridSpan w:val="2"/>
            <w:shd w:val="clear" w:color="auto" w:fill="E7E6E6" w:themeFill="background2"/>
          </w:tcPr>
          <w:p w:rsidR="00296AFF" w:rsidRPr="00E616F8" w:rsidRDefault="00296AFF" w:rsidP="00296AFF">
            <w:pPr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</w:pPr>
            <w:r w:rsidRPr="00E616F8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  <w:t>Number of items</w:t>
            </w:r>
          </w:p>
        </w:tc>
        <w:tc>
          <w:tcPr>
            <w:tcW w:w="2786" w:type="dxa"/>
            <w:gridSpan w:val="2"/>
            <w:shd w:val="clear" w:color="auto" w:fill="E7E6E6" w:themeFill="background2"/>
          </w:tcPr>
          <w:p w:rsidR="00296AFF" w:rsidRPr="00E616F8" w:rsidRDefault="00296AFF" w:rsidP="00296AFF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</w:pPr>
            <w:r w:rsidRPr="00E616F8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  <w:t>Dimensions</w:t>
            </w:r>
          </w:p>
        </w:tc>
        <w:tc>
          <w:tcPr>
            <w:tcW w:w="1418" w:type="dxa"/>
            <w:gridSpan w:val="2"/>
            <w:shd w:val="clear" w:color="auto" w:fill="E7E6E6" w:themeFill="background2"/>
          </w:tcPr>
          <w:p w:rsidR="00296AFF" w:rsidRPr="00E616F8" w:rsidRDefault="00296AFF" w:rsidP="00296AFF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</w:pPr>
            <w:r w:rsidRPr="00E616F8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  <w:t>Target population</w:t>
            </w:r>
          </w:p>
        </w:tc>
        <w:tc>
          <w:tcPr>
            <w:tcW w:w="1258" w:type="dxa"/>
            <w:gridSpan w:val="2"/>
            <w:shd w:val="clear" w:color="auto" w:fill="E7E6E6" w:themeFill="background2"/>
          </w:tcPr>
          <w:p w:rsidR="00296AFF" w:rsidRPr="00E616F8" w:rsidRDefault="00296AFF" w:rsidP="00296AFF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</w:pPr>
            <w:r w:rsidRPr="00E616F8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  <w:t>Tool administration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Time between transition and measurement</w:t>
            </w:r>
          </w:p>
        </w:tc>
        <w:tc>
          <w:tcPr>
            <w:tcW w:w="3163" w:type="dxa"/>
            <w:gridSpan w:val="2"/>
            <w:shd w:val="clear" w:color="auto" w:fill="E7E6E6" w:themeFill="background2"/>
          </w:tcPr>
          <w:p w:rsidR="00296AFF" w:rsidRPr="00E616F8" w:rsidRDefault="00296AFF" w:rsidP="00296AFF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val="en-GB" w:eastAsia="nl-NL"/>
              </w:rPr>
            </w:pPr>
            <w:r w:rsidRPr="00E616F8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nl-NL"/>
              </w:rPr>
              <w:t>Methodological observations</w:t>
            </w:r>
          </w:p>
        </w:tc>
      </w:tr>
      <w:tr w:rsidR="00296AFF" w:rsidRPr="00481D55" w:rsidTr="00FC7161">
        <w:trPr>
          <w:gridAfter w:val="1"/>
          <w:wAfter w:w="9" w:type="dxa"/>
          <w:trHeight w:val="1292"/>
        </w:trPr>
        <w:tc>
          <w:tcPr>
            <w:tcW w:w="1899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 xml:space="preserve">Berendsen, 2010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The Netherlands</w:t>
            </w:r>
          </w:p>
          <w:p w:rsidR="00296AFF" w:rsidRPr="00453DAB" w:rsidRDefault="00296AFF" w:rsidP="00296AFF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Response rate 45% (GP</w:t>
            </w:r>
          </w:p>
          <w:p w:rsidR="00296AFF" w:rsidRPr="00453DAB" w:rsidRDefault="00296AFF" w:rsidP="00296AFF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     47%, spec 44%)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GP 50, hospital specialist 51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Gender (% female) GP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    33%, spec 21%</w:t>
            </w:r>
          </w:p>
        </w:tc>
        <w:tc>
          <w:tcPr>
            <w:tcW w:w="1195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Doctors' opinions on collaboration (DOC-)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Questionnaire </w:t>
            </w:r>
          </w:p>
        </w:tc>
        <w:tc>
          <w:tcPr>
            <w:tcW w:w="692" w:type="dxa"/>
            <w:gridSpan w:val="2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496</w:t>
            </w:r>
          </w:p>
        </w:tc>
        <w:tc>
          <w:tcPr>
            <w:tcW w:w="966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HOS&lt;-&gt;GP</w:t>
            </w:r>
          </w:p>
        </w:tc>
        <w:tc>
          <w:tcPr>
            <w:tcW w:w="941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Climate +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HCP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Outcome </w:t>
            </w:r>
          </w:p>
        </w:tc>
        <w:tc>
          <w:tcPr>
            <w:tcW w:w="1125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Quality of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interprofessional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collaboration</w:t>
            </w:r>
          </w:p>
        </w:tc>
        <w:tc>
          <w:tcPr>
            <w:tcW w:w="790" w:type="dxa"/>
            <w:gridSpan w:val="2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20</w:t>
            </w:r>
          </w:p>
        </w:tc>
        <w:tc>
          <w:tcPr>
            <w:tcW w:w="2786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Organisation (7 items),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2) Communication (3 items),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3) professional expertise (4 items),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4) image (3 items),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5) knowing each other (3 items)</w:t>
            </w:r>
          </w:p>
        </w:tc>
        <w:tc>
          <w:tcPr>
            <w:tcW w:w="1418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GPs and specialists</w:t>
            </w:r>
          </w:p>
        </w:tc>
        <w:tc>
          <w:tcPr>
            <w:tcW w:w="1258" w:type="dxa"/>
            <w:gridSpan w:val="2"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Paper survey sent by post  on  current practice</w:t>
            </w:r>
          </w:p>
        </w:tc>
        <w:tc>
          <w:tcPr>
            <w:tcW w:w="3163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Confirmatory factor analysis would be more appropriate than exploratory factor analysis</w:t>
            </w:r>
          </w:p>
        </w:tc>
      </w:tr>
      <w:tr w:rsidR="00296AFF" w:rsidRPr="00453DAB" w:rsidTr="00FC7161">
        <w:trPr>
          <w:gridAfter w:val="1"/>
          <w:wAfter w:w="9" w:type="dxa"/>
          <w:trHeight w:val="920"/>
        </w:trPr>
        <w:tc>
          <w:tcPr>
            <w:tcW w:w="1899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 xml:space="preserve">Forster, 2012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Canada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NA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NA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NA</w:t>
            </w:r>
          </w:p>
        </w:tc>
        <w:tc>
          <w:tcPr>
            <w:tcW w:w="1195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Peer review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process of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adverse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outcome</w:t>
            </w:r>
          </w:p>
        </w:tc>
        <w:tc>
          <w:tcPr>
            <w:tcW w:w="692" w:type="dxa"/>
            <w:gridSpan w:val="2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§</w:t>
            </w:r>
          </w:p>
        </w:tc>
        <w:tc>
          <w:tcPr>
            <w:tcW w:w="966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HOS-&gt;GP</w:t>
            </w:r>
          </w:p>
        </w:tc>
        <w:tc>
          <w:tcPr>
            <w:tcW w:w="941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Patient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outcome</w:t>
            </w:r>
          </w:p>
        </w:tc>
        <w:tc>
          <w:tcPr>
            <w:tcW w:w="1125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Adverse events at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discharge</w:t>
            </w:r>
          </w:p>
        </w:tc>
        <w:tc>
          <w:tcPr>
            <w:tcW w:w="790" w:type="dxa"/>
            <w:gridSpan w:val="2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NA</w:t>
            </w:r>
          </w:p>
        </w:tc>
        <w:tc>
          <w:tcPr>
            <w:tcW w:w="2786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NA</w:t>
            </w:r>
          </w:p>
        </w:tc>
        <w:tc>
          <w:tcPr>
            <w:tcW w:w="1418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NA</w:t>
            </w:r>
          </w:p>
        </w:tc>
        <w:tc>
          <w:tcPr>
            <w:tcW w:w="1258" w:type="dxa"/>
            <w:gridSpan w:val="2"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Web based application to rate adverse outcomes of recent transitional adverse events</w:t>
            </w:r>
          </w:p>
        </w:tc>
        <w:tc>
          <w:tcPr>
            <w:tcW w:w="3163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COSMIN not applicable</w:t>
            </w:r>
          </w:p>
        </w:tc>
      </w:tr>
      <w:tr w:rsidR="00296AFF" w:rsidRPr="00481D55" w:rsidTr="00FC7161">
        <w:trPr>
          <w:gridAfter w:val="1"/>
          <w:wAfter w:w="9" w:type="dxa"/>
          <w:trHeight w:val="1056"/>
        </w:trPr>
        <w:tc>
          <w:tcPr>
            <w:tcW w:w="1899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>Graumlich, 2008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USA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76%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NR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NR</w:t>
            </w:r>
          </w:p>
        </w:tc>
        <w:tc>
          <w:tcPr>
            <w:tcW w:w="1195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Modified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Physician-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PREPARED</w:t>
            </w:r>
          </w:p>
        </w:tc>
        <w:tc>
          <w:tcPr>
            <w:tcW w:w="692" w:type="dxa"/>
            <w:gridSpan w:val="2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417</w:t>
            </w:r>
          </w:p>
        </w:tc>
        <w:tc>
          <w:tcPr>
            <w:tcW w:w="966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HOS-&gt;GP</w:t>
            </w:r>
          </w:p>
        </w:tc>
        <w:tc>
          <w:tcPr>
            <w:tcW w:w="941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HCP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outcome</w:t>
            </w:r>
          </w:p>
        </w:tc>
        <w:tc>
          <w:tcPr>
            <w:tcW w:w="1125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Quality of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hospital discharge</w:t>
            </w:r>
          </w:p>
        </w:tc>
        <w:tc>
          <w:tcPr>
            <w:tcW w:w="790" w:type="dxa"/>
            <w:gridSpan w:val="2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8</w:t>
            </w:r>
          </w:p>
        </w:tc>
        <w:tc>
          <w:tcPr>
            <w:tcW w:w="2786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Adequacy of discharge plan/Transmission (6 items),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2) Timeliness of communication (2 items)</w:t>
            </w:r>
          </w:p>
        </w:tc>
        <w:tc>
          <w:tcPr>
            <w:tcW w:w="1418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Community physicians</w:t>
            </w:r>
          </w:p>
        </w:tc>
        <w:tc>
          <w:tcPr>
            <w:tcW w:w="1258" w:type="dxa"/>
            <w:gridSpan w:val="2"/>
          </w:tcPr>
          <w:p w:rsidR="00296AFF" w:rsidRPr="00453DAB" w:rsidRDefault="00B371A4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Survey sent by e-mail to designated outpatient primary care professional, 10 days after discharge</w:t>
            </w:r>
          </w:p>
        </w:tc>
        <w:tc>
          <w:tcPr>
            <w:tcW w:w="3163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No characteristics of respondents reported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Relevant items excluded after factor analysis, undermining initial content validity</w:t>
            </w:r>
          </w:p>
        </w:tc>
      </w:tr>
      <w:tr w:rsidR="00296AFF" w:rsidRPr="00481D55" w:rsidTr="00FC7161">
        <w:trPr>
          <w:gridAfter w:val="1"/>
          <w:wAfter w:w="9" w:type="dxa"/>
          <w:trHeight w:val="1144"/>
        </w:trPr>
        <w:tc>
          <w:tcPr>
            <w:tcW w:w="1899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 xml:space="preserve">Hess, 2009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USA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NR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46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20%</w:t>
            </w:r>
          </w:p>
        </w:tc>
        <w:tc>
          <w:tcPr>
            <w:tcW w:w="1195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CRP-PIM: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Communication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with Referring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Physicians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Practice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Improvement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Module</w:t>
            </w:r>
          </w:p>
        </w:tc>
        <w:tc>
          <w:tcPr>
            <w:tcW w:w="692" w:type="dxa"/>
            <w:gridSpan w:val="2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12212</w:t>
            </w:r>
          </w:p>
        </w:tc>
        <w:tc>
          <w:tcPr>
            <w:tcW w:w="966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GP-&gt;HOS</w:t>
            </w:r>
          </w:p>
        </w:tc>
        <w:tc>
          <w:tcPr>
            <w:tcW w:w="941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Climate +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HCP outcome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1125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Communication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of consultants</w:t>
            </w:r>
          </w:p>
        </w:tc>
        <w:tc>
          <w:tcPr>
            <w:tcW w:w="790" w:type="dxa"/>
            <w:gridSpan w:val="2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13</w:t>
            </w:r>
          </w:p>
        </w:tc>
        <w:tc>
          <w:tcPr>
            <w:tcW w:w="2786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1) contacting/ co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mmunication with the consultant</w:t>
            </w: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 (10 items),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2) consultant office staff (3 items)</w:t>
            </w:r>
          </w:p>
        </w:tc>
        <w:tc>
          <w:tcPr>
            <w:tcW w:w="1418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Referring physicians</w:t>
            </w:r>
          </w:p>
        </w:tc>
        <w:tc>
          <w:tcPr>
            <w:tcW w:w="1258" w:type="dxa"/>
            <w:gridSpan w:val="2"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Internet or telephone survey on communication in 12 months prior to the survey</w:t>
            </w:r>
          </w:p>
        </w:tc>
        <w:tc>
          <w:tcPr>
            <w:tcW w:w="3163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No characteristics of respondents reported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Generalizability theory used, but not described in publication</w:t>
            </w:r>
          </w:p>
        </w:tc>
      </w:tr>
      <w:tr w:rsidR="00296AFF" w:rsidRPr="00481D55" w:rsidTr="00FC7161">
        <w:trPr>
          <w:gridAfter w:val="1"/>
          <w:wAfter w:w="9" w:type="dxa"/>
          <w:trHeight w:val="753"/>
        </w:trPr>
        <w:tc>
          <w:tcPr>
            <w:tcW w:w="1899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t xml:space="preserve">Nuno-solinis, 2013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Spain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16%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45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77%</w:t>
            </w:r>
          </w:p>
        </w:tc>
        <w:tc>
          <w:tcPr>
            <w:tcW w:w="1195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Unnamed</w:t>
            </w:r>
          </w:p>
        </w:tc>
        <w:tc>
          <w:tcPr>
            <w:tcW w:w="692" w:type="dxa"/>
            <w:gridSpan w:val="2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187</w:t>
            </w:r>
          </w:p>
        </w:tc>
        <w:tc>
          <w:tcPr>
            <w:tcW w:w="966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HOS&lt;-&gt;GP</w:t>
            </w:r>
          </w:p>
        </w:tc>
        <w:tc>
          <w:tcPr>
            <w:tcW w:w="941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Climate</w:t>
            </w:r>
          </w:p>
        </w:tc>
        <w:tc>
          <w:tcPr>
            <w:tcW w:w="1125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Interprofessional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collaboration</w:t>
            </w:r>
          </w:p>
        </w:tc>
        <w:tc>
          <w:tcPr>
            <w:tcW w:w="790" w:type="dxa"/>
            <w:gridSpan w:val="2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10</w:t>
            </w:r>
          </w:p>
        </w:tc>
        <w:tc>
          <w:tcPr>
            <w:tcW w:w="2786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personal relationship (4 items),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2) organisational setting (6 items)</w:t>
            </w:r>
          </w:p>
        </w:tc>
        <w:tc>
          <w:tcPr>
            <w:tcW w:w="1418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Clinical professionals (doctors and nurses) working in integrated healthcare organisations</w:t>
            </w:r>
          </w:p>
        </w:tc>
        <w:tc>
          <w:tcPr>
            <w:tcW w:w="1258" w:type="dxa"/>
            <w:gridSpan w:val="2"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Electronic survey sent by e-mail on current practice</w:t>
            </w:r>
          </w:p>
        </w:tc>
        <w:tc>
          <w:tcPr>
            <w:tcW w:w="3163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Based on a theoretical model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- Exploratory and confirmatory factor analysis used in the same sample </w:t>
            </w:r>
          </w:p>
        </w:tc>
      </w:tr>
      <w:tr w:rsidR="00296AFF" w:rsidRPr="00453DAB" w:rsidTr="00FC7161">
        <w:trPr>
          <w:gridAfter w:val="1"/>
          <w:wAfter w:w="9" w:type="dxa"/>
          <w:trHeight w:val="127"/>
        </w:trPr>
        <w:tc>
          <w:tcPr>
            <w:tcW w:w="1899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b/>
                <w:i/>
                <w:color w:val="000000"/>
                <w:sz w:val="16"/>
                <w:szCs w:val="16"/>
                <w:lang w:val="en-GB" w:eastAsia="nl-NL"/>
              </w:rPr>
              <w:lastRenderedPageBreak/>
              <w:t xml:space="preserve">Smith, 2004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USA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Response rate NA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Mean age NA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Gender (% female) NA</w:t>
            </w:r>
          </w:p>
        </w:tc>
        <w:tc>
          <w:tcPr>
            <w:tcW w:w="1195" w:type="dxa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Medication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discrepancy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tool</w:t>
            </w:r>
          </w:p>
        </w:tc>
        <w:tc>
          <w:tcPr>
            <w:tcW w:w="692" w:type="dxa"/>
            <w:gridSpan w:val="2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ǂ</w:t>
            </w:r>
          </w:p>
        </w:tc>
        <w:tc>
          <w:tcPr>
            <w:tcW w:w="966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HOS-&gt;GP</w:t>
            </w:r>
          </w:p>
        </w:tc>
        <w:tc>
          <w:tcPr>
            <w:tcW w:w="941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Patient outcome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</w:p>
        </w:tc>
        <w:tc>
          <w:tcPr>
            <w:tcW w:w="1125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Medication discrepancies</w:t>
            </w:r>
          </w:p>
        </w:tc>
        <w:tc>
          <w:tcPr>
            <w:tcW w:w="790" w:type="dxa"/>
            <w:gridSpan w:val="2"/>
            <w:hideMark/>
          </w:tcPr>
          <w:p w:rsidR="00296AFF" w:rsidRPr="00453DAB" w:rsidRDefault="00296AFF" w:rsidP="00296AF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27</w:t>
            </w:r>
          </w:p>
        </w:tc>
        <w:tc>
          <w:tcPr>
            <w:tcW w:w="2786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1) patient level (8 items),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 xml:space="preserve">2) system level (11 items), </w:t>
            </w:r>
          </w:p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3) resolution (8 items)</w:t>
            </w:r>
          </w:p>
        </w:tc>
        <w:tc>
          <w:tcPr>
            <w:tcW w:w="1418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Practitioners across the continuum of care</w:t>
            </w:r>
          </w:p>
        </w:tc>
        <w:tc>
          <w:tcPr>
            <w:tcW w:w="1258" w:type="dxa"/>
            <w:gridSpan w:val="2"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Vignette study, means distribution unclear (face-to-face?)</w:t>
            </w:r>
          </w:p>
        </w:tc>
        <w:tc>
          <w:tcPr>
            <w:tcW w:w="3163" w:type="dxa"/>
            <w:gridSpan w:val="2"/>
            <w:hideMark/>
          </w:tcPr>
          <w:p w:rsidR="00296AFF" w:rsidRPr="00453DAB" w:rsidRDefault="00296AFF" w:rsidP="00296AF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</w:pPr>
            <w:r w:rsidRPr="00453DAB">
              <w:rPr>
                <w:rFonts w:eastAsia="Times New Roman" w:cs="Times New Roman"/>
                <w:color w:val="000000"/>
                <w:sz w:val="16"/>
                <w:szCs w:val="16"/>
                <w:lang w:val="en-GB" w:eastAsia="nl-NL"/>
              </w:rPr>
              <w:t>- COSMIN not applicable</w:t>
            </w:r>
          </w:p>
        </w:tc>
      </w:tr>
    </w:tbl>
    <w:p w:rsidR="00EA06FC" w:rsidRDefault="00CC6525" w:rsidP="00CC6525">
      <w:pPr>
        <w:ind w:left="-426"/>
        <w:rPr>
          <w:sz w:val="20"/>
          <w:lang w:val="en-US"/>
        </w:rPr>
      </w:pPr>
      <w:r w:rsidRPr="00CC6525">
        <w:rPr>
          <w:sz w:val="20"/>
          <w:lang w:val="en-US"/>
        </w:rPr>
        <w:t xml:space="preserve">SP: Spain; NL: the Netherlands; USA: United States of America; AUS: Australia; CAN: Canada; HOS: hospital; PCP: Primary care </w:t>
      </w:r>
      <w:r w:rsidR="007546E9">
        <w:rPr>
          <w:sz w:val="20"/>
          <w:lang w:val="en-US"/>
        </w:rPr>
        <w:t>provider</w:t>
      </w:r>
      <w:r w:rsidRPr="00CC6525">
        <w:rPr>
          <w:sz w:val="20"/>
          <w:lang w:val="en-US"/>
        </w:rPr>
        <w:t>, NA= not applicable, NR=not reported</w:t>
      </w:r>
      <w:r w:rsidR="00505DEC">
        <w:rPr>
          <w:sz w:val="20"/>
          <w:lang w:val="en-US"/>
        </w:rPr>
        <w:t>, GP=general practitioner</w:t>
      </w:r>
      <w:r w:rsidR="00C37672">
        <w:rPr>
          <w:sz w:val="20"/>
          <w:lang w:val="en-US"/>
        </w:rPr>
        <w:t xml:space="preserve"> </w:t>
      </w:r>
    </w:p>
    <w:p w:rsidR="00C37672" w:rsidRDefault="00C37672" w:rsidP="00CC6525">
      <w:pPr>
        <w:ind w:left="-426"/>
        <w:rPr>
          <w:sz w:val="20"/>
          <w:lang w:val="en-US"/>
        </w:rPr>
      </w:pPr>
      <w:r>
        <w:rPr>
          <w:sz w:val="20"/>
          <w:lang w:val="en-US"/>
        </w:rPr>
        <w:t>*</w:t>
      </w:r>
      <w:r w:rsidR="00A70A13">
        <w:rPr>
          <w:sz w:val="20"/>
          <w:lang w:val="en-US"/>
        </w:rPr>
        <w:t xml:space="preserve"> </w:t>
      </w:r>
      <w:r w:rsidR="00CC6525">
        <w:rPr>
          <w:rFonts w:ascii="Calibri" w:eastAsia="Times New Roman" w:hAnsi="Calibri" w:cs="Times New Roman"/>
          <w:color w:val="000000"/>
          <w:sz w:val="20"/>
          <w:lang w:val="en-GB"/>
        </w:rPr>
        <w:t>PCAS:79%, PCAT-S:</w:t>
      </w:r>
      <w:r w:rsidR="00CC6525" w:rsidRPr="00E53C06">
        <w:rPr>
          <w:rFonts w:ascii="Calibri" w:eastAsia="Times New Roman" w:hAnsi="Calibri" w:cs="Times New Roman"/>
          <w:color w:val="000000"/>
          <w:sz w:val="20"/>
          <w:lang w:val="en-GB"/>
        </w:rPr>
        <w:t>91%, CPCI</w:t>
      </w:r>
      <w:r w:rsidR="00CC6525">
        <w:rPr>
          <w:rFonts w:ascii="Calibri" w:eastAsia="Times New Roman" w:hAnsi="Calibri" w:cs="Times New Roman"/>
          <w:color w:val="000000"/>
          <w:sz w:val="20"/>
          <w:lang w:val="en-GB"/>
        </w:rPr>
        <w:t>:99%, VANOCCS:64+</w:t>
      </w:r>
      <w:r w:rsidR="00CC6525" w:rsidRPr="00E53C06">
        <w:rPr>
          <w:rFonts w:ascii="Calibri" w:eastAsia="Times New Roman" w:hAnsi="Calibri" w:cs="Times New Roman"/>
          <w:color w:val="000000"/>
          <w:sz w:val="20"/>
          <w:lang w:val="en-GB"/>
        </w:rPr>
        <w:t>54%</w:t>
      </w:r>
    </w:p>
    <w:p w:rsidR="00CC6525" w:rsidRDefault="001A1310" w:rsidP="00CC6525">
      <w:pPr>
        <w:ind w:left="-426"/>
        <w:rPr>
          <w:sz w:val="20"/>
          <w:lang w:val="en-US"/>
        </w:rPr>
      </w:pPr>
      <w:r>
        <w:rPr>
          <w:sz w:val="20"/>
          <w:lang w:val="en-US"/>
        </w:rPr>
        <w:t>¥</w:t>
      </w:r>
      <w:r w:rsidR="00CC6525" w:rsidRPr="00CC6525">
        <w:rPr>
          <w:rFonts w:ascii="Calibri" w:eastAsia="Times New Roman" w:hAnsi="Calibri" w:cs="Times New Roman"/>
          <w:color w:val="000000"/>
          <w:sz w:val="20"/>
          <w:lang w:val="en-GB"/>
        </w:rPr>
        <w:t xml:space="preserve"> </w:t>
      </w:r>
      <w:r w:rsidR="00CC6525">
        <w:rPr>
          <w:rFonts w:ascii="Calibri" w:eastAsia="Times New Roman" w:hAnsi="Calibri" w:cs="Times New Roman"/>
          <w:color w:val="000000"/>
          <w:sz w:val="20"/>
          <w:lang w:val="en-GB"/>
        </w:rPr>
        <w:t>PCAS:342, PCAT-S:392</w:t>
      </w:r>
      <w:r w:rsidR="00CC6525" w:rsidRPr="00E53C06">
        <w:rPr>
          <w:rFonts w:ascii="Calibri" w:eastAsia="Times New Roman" w:hAnsi="Calibri" w:cs="Times New Roman"/>
          <w:color w:val="000000"/>
          <w:sz w:val="20"/>
          <w:lang w:val="en-GB"/>
        </w:rPr>
        <w:t>, CPCI</w:t>
      </w:r>
      <w:r w:rsidR="00CC6525">
        <w:rPr>
          <w:rFonts w:ascii="Calibri" w:eastAsia="Times New Roman" w:hAnsi="Calibri" w:cs="Times New Roman"/>
          <w:color w:val="000000"/>
          <w:sz w:val="20"/>
          <w:lang w:val="en-GB"/>
        </w:rPr>
        <w:t>:427, VANOCCS:278+136</w:t>
      </w:r>
    </w:p>
    <w:p w:rsidR="00C37672" w:rsidRDefault="001A1310" w:rsidP="00CC6525">
      <w:pPr>
        <w:ind w:left="-426"/>
        <w:rPr>
          <w:sz w:val="20"/>
          <w:lang w:val="en-US"/>
        </w:rPr>
      </w:pPr>
      <w:r>
        <w:rPr>
          <w:sz w:val="20"/>
          <w:lang w:val="en-US"/>
        </w:rPr>
        <w:t>§</w:t>
      </w:r>
      <w:r w:rsidR="00CC6525" w:rsidRPr="00CC6525">
        <w:rPr>
          <w:rFonts w:ascii="Calibri" w:eastAsia="Times New Roman" w:hAnsi="Calibri" w:cs="Times New Roman"/>
          <w:color w:val="000000"/>
          <w:sz w:val="20"/>
          <w:lang w:val="en-GB"/>
        </w:rPr>
        <w:t xml:space="preserve"> </w:t>
      </w:r>
      <w:r w:rsidR="00CC6525">
        <w:rPr>
          <w:rFonts w:ascii="Calibri" w:eastAsia="Times New Roman" w:hAnsi="Calibri" w:cs="Times New Roman"/>
          <w:color w:val="000000"/>
          <w:sz w:val="20"/>
          <w:lang w:val="en-GB"/>
        </w:rPr>
        <w:t xml:space="preserve">Vignette study on 319 case </w:t>
      </w:r>
      <w:r w:rsidR="00575243">
        <w:rPr>
          <w:rFonts w:ascii="Calibri" w:eastAsia="Times New Roman" w:hAnsi="Calibri" w:cs="Times New Roman"/>
          <w:color w:val="000000"/>
          <w:sz w:val="20"/>
          <w:lang w:val="en-GB"/>
        </w:rPr>
        <w:t>reports</w:t>
      </w:r>
      <w:r w:rsidR="00CC6525">
        <w:rPr>
          <w:rFonts w:ascii="Calibri" w:eastAsia="Times New Roman" w:hAnsi="Calibri" w:cs="Times New Roman"/>
          <w:color w:val="000000"/>
          <w:sz w:val="20"/>
          <w:lang w:val="en-GB"/>
        </w:rPr>
        <w:t>, 30 physicians</w:t>
      </w:r>
    </w:p>
    <w:p w:rsidR="00C37672" w:rsidRDefault="001A1310" w:rsidP="00CC6525">
      <w:pPr>
        <w:ind w:left="-426"/>
        <w:rPr>
          <w:rFonts w:ascii="Calibri" w:eastAsia="Times New Roman" w:hAnsi="Calibri" w:cs="Times New Roman"/>
          <w:color w:val="000000"/>
          <w:sz w:val="20"/>
          <w:lang w:val="en-GB"/>
        </w:rPr>
      </w:pPr>
      <w:r>
        <w:rPr>
          <w:sz w:val="20"/>
          <w:lang w:val="en-US"/>
        </w:rPr>
        <w:t>ǂ</w:t>
      </w:r>
      <w:r w:rsidR="00CC6525" w:rsidRPr="00CC6525">
        <w:rPr>
          <w:rFonts w:ascii="Calibri" w:eastAsia="Times New Roman" w:hAnsi="Calibri" w:cs="Times New Roman"/>
          <w:color w:val="000000"/>
          <w:sz w:val="20"/>
          <w:lang w:val="en-GB"/>
        </w:rPr>
        <w:t xml:space="preserve"> </w:t>
      </w:r>
      <w:r w:rsidR="00CC6525">
        <w:rPr>
          <w:rFonts w:ascii="Calibri" w:eastAsia="Times New Roman" w:hAnsi="Calibri" w:cs="Times New Roman"/>
          <w:color w:val="000000"/>
          <w:sz w:val="20"/>
          <w:lang w:val="en-GB"/>
        </w:rPr>
        <w:t>Vignette study on 20 cases, 6 clinicians</w:t>
      </w:r>
    </w:p>
    <w:p w:rsidR="001A1310" w:rsidRPr="001A1310" w:rsidRDefault="00FA6305" w:rsidP="001A1310">
      <w:pPr>
        <w:ind w:left="-426"/>
        <w:rPr>
          <w:rFonts w:ascii="Calibri" w:eastAsia="Times New Roman" w:hAnsi="Calibri" w:cs="Times New Roman"/>
          <w:color w:val="000000"/>
          <w:sz w:val="20"/>
          <w:lang w:val="en-GB"/>
        </w:rPr>
      </w:pPr>
      <w:r>
        <w:rPr>
          <w:rFonts w:ascii="Calibri" w:eastAsia="Times New Roman" w:hAnsi="Calibri" w:cs="Times New Roman"/>
          <w:color w:val="000000"/>
          <w:sz w:val="20"/>
          <w:lang w:val="en-GB"/>
        </w:rPr>
        <w:t xml:space="preserve"># </w:t>
      </w:r>
      <w:r w:rsidR="001A1310" w:rsidRPr="001A1310">
        <w:rPr>
          <w:rFonts w:ascii="Calibri" w:eastAsia="Times New Roman" w:hAnsi="Calibri" w:cs="Times New Roman"/>
          <w:color w:val="000000"/>
          <w:sz w:val="20"/>
          <w:lang w:val="en-GB"/>
        </w:rPr>
        <w:t>Primary Care Assessment Survey (PCAS), the</w:t>
      </w:r>
      <w:r w:rsidR="001A1310">
        <w:rPr>
          <w:rFonts w:ascii="Calibri" w:eastAsia="Times New Roman" w:hAnsi="Calibri" w:cs="Times New Roman"/>
          <w:color w:val="000000"/>
          <w:sz w:val="20"/>
          <w:lang w:val="en-GB"/>
        </w:rPr>
        <w:t xml:space="preserve"> </w:t>
      </w:r>
      <w:r w:rsidR="001A1310" w:rsidRPr="001A1310">
        <w:rPr>
          <w:rFonts w:ascii="Calibri" w:eastAsia="Times New Roman" w:hAnsi="Calibri" w:cs="Times New Roman"/>
          <w:color w:val="000000"/>
          <w:sz w:val="20"/>
          <w:lang w:val="en-GB"/>
        </w:rPr>
        <w:t>Primary Care Assessment Tool – Short Form (PCAT-S), the Components of Primary Care</w:t>
      </w:r>
    </w:p>
    <w:p w:rsidR="00FA6305" w:rsidRDefault="001A1310" w:rsidP="001A1310">
      <w:pPr>
        <w:ind w:left="-426"/>
        <w:rPr>
          <w:rFonts w:ascii="Calibri" w:eastAsia="Times New Roman" w:hAnsi="Calibri" w:cs="Times New Roman"/>
          <w:color w:val="000000"/>
          <w:sz w:val="20"/>
          <w:lang w:val="en-GB"/>
        </w:rPr>
      </w:pPr>
      <w:r w:rsidRPr="001A1310">
        <w:rPr>
          <w:rFonts w:ascii="Calibri" w:eastAsia="Times New Roman" w:hAnsi="Calibri" w:cs="Times New Roman"/>
          <w:color w:val="000000"/>
          <w:sz w:val="20"/>
          <w:lang w:val="en-GB"/>
        </w:rPr>
        <w:t>Instrument (CPCI) and the Veterans Affairs National Outpatient Customer Satisfaction</w:t>
      </w:r>
      <w:r>
        <w:rPr>
          <w:rFonts w:ascii="Calibri" w:eastAsia="Times New Roman" w:hAnsi="Calibri" w:cs="Times New Roman"/>
          <w:color w:val="000000"/>
          <w:sz w:val="20"/>
          <w:lang w:val="en-GB"/>
        </w:rPr>
        <w:t xml:space="preserve"> </w:t>
      </w:r>
      <w:r w:rsidRPr="001A1310">
        <w:rPr>
          <w:rFonts w:ascii="Calibri" w:eastAsia="Times New Roman" w:hAnsi="Calibri" w:cs="Times New Roman"/>
          <w:color w:val="000000"/>
          <w:sz w:val="20"/>
          <w:lang w:val="en-GB"/>
        </w:rPr>
        <w:t>Survey (VANOCSS)</w:t>
      </w:r>
    </w:p>
    <w:p w:rsidR="00162CF6" w:rsidRDefault="00162CF6" w:rsidP="001A1310">
      <w:pPr>
        <w:ind w:left="-426"/>
        <w:rPr>
          <w:rFonts w:ascii="Calibri" w:eastAsia="Times New Roman" w:hAnsi="Calibri" w:cs="Times New Roman"/>
          <w:color w:val="000000"/>
          <w:sz w:val="20"/>
          <w:lang w:val="en-GB"/>
        </w:rPr>
      </w:pPr>
    </w:p>
    <w:p w:rsidR="00162CF6" w:rsidRDefault="00162CF6" w:rsidP="001A1310">
      <w:pPr>
        <w:ind w:left="-426"/>
        <w:rPr>
          <w:rFonts w:ascii="Calibri" w:eastAsia="Times New Roman" w:hAnsi="Calibri" w:cs="Times New Roman"/>
          <w:color w:val="000000"/>
          <w:sz w:val="20"/>
          <w:lang w:val="en-GB"/>
        </w:rPr>
      </w:pPr>
    </w:p>
    <w:p w:rsidR="00162CF6" w:rsidRDefault="00162CF6" w:rsidP="001A1310">
      <w:pPr>
        <w:ind w:left="-426"/>
        <w:rPr>
          <w:rFonts w:ascii="Calibri" w:eastAsia="Times New Roman" w:hAnsi="Calibri" w:cs="Times New Roman"/>
          <w:color w:val="000000"/>
          <w:sz w:val="20"/>
          <w:lang w:val="en-GB"/>
        </w:rPr>
      </w:pPr>
    </w:p>
    <w:p w:rsidR="00A01C04" w:rsidRDefault="00A01C04" w:rsidP="001A1310">
      <w:pPr>
        <w:ind w:left="-426"/>
        <w:rPr>
          <w:rFonts w:ascii="Calibri" w:eastAsia="Times New Roman" w:hAnsi="Calibri" w:cs="Times New Roman"/>
          <w:color w:val="000000"/>
          <w:sz w:val="20"/>
          <w:lang w:val="en-GB"/>
        </w:rPr>
      </w:pPr>
    </w:p>
    <w:p w:rsidR="00A01C04" w:rsidRPr="00320C82" w:rsidRDefault="00A01C04" w:rsidP="001A1310">
      <w:pPr>
        <w:ind w:left="-426"/>
        <w:rPr>
          <w:sz w:val="20"/>
          <w:lang w:val="en-US"/>
        </w:rPr>
      </w:pPr>
    </w:p>
    <w:sectPr w:rsidR="00A01C04" w:rsidRPr="00320C82" w:rsidSect="002F6728"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76" w:rsidRDefault="00486D76" w:rsidP="002F6728">
      <w:r>
        <w:separator/>
      </w:r>
    </w:p>
  </w:endnote>
  <w:endnote w:type="continuationSeparator" w:id="0">
    <w:p w:rsidR="00486D76" w:rsidRDefault="00486D76" w:rsidP="002F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76" w:rsidRDefault="00486D76" w:rsidP="002F6728">
      <w:r>
        <w:separator/>
      </w:r>
    </w:p>
  </w:footnote>
  <w:footnote w:type="continuationSeparator" w:id="0">
    <w:p w:rsidR="00486D76" w:rsidRDefault="00486D76" w:rsidP="002F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80F"/>
    <w:multiLevelType w:val="hybridMultilevel"/>
    <w:tmpl w:val="4D26371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A97"/>
    <w:multiLevelType w:val="hybridMultilevel"/>
    <w:tmpl w:val="9BB26F4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82"/>
    <w:rsid w:val="00013C7E"/>
    <w:rsid w:val="00024A73"/>
    <w:rsid w:val="00025703"/>
    <w:rsid w:val="00045D30"/>
    <w:rsid w:val="00051B0F"/>
    <w:rsid w:val="0015321C"/>
    <w:rsid w:val="00162CF6"/>
    <w:rsid w:val="00163412"/>
    <w:rsid w:val="00165C8E"/>
    <w:rsid w:val="0016637B"/>
    <w:rsid w:val="00166CF3"/>
    <w:rsid w:val="00196FDE"/>
    <w:rsid w:val="00197DAB"/>
    <w:rsid w:val="001A1310"/>
    <w:rsid w:val="001C6DCB"/>
    <w:rsid w:val="0020129D"/>
    <w:rsid w:val="002039A5"/>
    <w:rsid w:val="00211288"/>
    <w:rsid w:val="00225FA2"/>
    <w:rsid w:val="00287048"/>
    <w:rsid w:val="00296AFF"/>
    <w:rsid w:val="002A5D82"/>
    <w:rsid w:val="002C2650"/>
    <w:rsid w:val="002F5E09"/>
    <w:rsid w:val="002F6728"/>
    <w:rsid w:val="003069A7"/>
    <w:rsid w:val="00320C82"/>
    <w:rsid w:val="003C03B5"/>
    <w:rsid w:val="003C558E"/>
    <w:rsid w:val="003E2F98"/>
    <w:rsid w:val="00434402"/>
    <w:rsid w:val="00453DAB"/>
    <w:rsid w:val="00455BF6"/>
    <w:rsid w:val="00481D55"/>
    <w:rsid w:val="00486D76"/>
    <w:rsid w:val="004D0D5F"/>
    <w:rsid w:val="004E23E8"/>
    <w:rsid w:val="005027E0"/>
    <w:rsid w:val="00505DEC"/>
    <w:rsid w:val="00575243"/>
    <w:rsid w:val="005F1549"/>
    <w:rsid w:val="00652398"/>
    <w:rsid w:val="00654755"/>
    <w:rsid w:val="007546E9"/>
    <w:rsid w:val="007B723E"/>
    <w:rsid w:val="008810A4"/>
    <w:rsid w:val="00905EBF"/>
    <w:rsid w:val="009A4663"/>
    <w:rsid w:val="009B713B"/>
    <w:rsid w:val="00A01C04"/>
    <w:rsid w:val="00A70A13"/>
    <w:rsid w:val="00AB780B"/>
    <w:rsid w:val="00AB7C7D"/>
    <w:rsid w:val="00AF2A6D"/>
    <w:rsid w:val="00B371A4"/>
    <w:rsid w:val="00B42F30"/>
    <w:rsid w:val="00C37672"/>
    <w:rsid w:val="00C6279A"/>
    <w:rsid w:val="00C641EB"/>
    <w:rsid w:val="00C7012D"/>
    <w:rsid w:val="00C7280D"/>
    <w:rsid w:val="00C91729"/>
    <w:rsid w:val="00CA7836"/>
    <w:rsid w:val="00CB5E15"/>
    <w:rsid w:val="00CB73EE"/>
    <w:rsid w:val="00CC624F"/>
    <w:rsid w:val="00CC6525"/>
    <w:rsid w:val="00CF0B94"/>
    <w:rsid w:val="00D028C7"/>
    <w:rsid w:val="00D139BA"/>
    <w:rsid w:val="00D533E6"/>
    <w:rsid w:val="00D56C6A"/>
    <w:rsid w:val="00DA44C7"/>
    <w:rsid w:val="00DD3812"/>
    <w:rsid w:val="00DF57F0"/>
    <w:rsid w:val="00E14E6E"/>
    <w:rsid w:val="00E616F8"/>
    <w:rsid w:val="00EA06FC"/>
    <w:rsid w:val="00EC2365"/>
    <w:rsid w:val="00F56A5C"/>
    <w:rsid w:val="00F71A5F"/>
    <w:rsid w:val="00F96FC1"/>
    <w:rsid w:val="00FA6305"/>
    <w:rsid w:val="00FB2E2E"/>
    <w:rsid w:val="00FC7161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0100C1F"/>
  <w15:docId w15:val="{DDF61CAD-2302-3A42-A60A-A81789AA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5donker1">
    <w:name w:val="Rastertabel 5 donker1"/>
    <w:basedOn w:val="Standaardtabel"/>
    <w:uiPriority w:val="50"/>
    <w:rsid w:val="004E23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3-Accent51">
    <w:name w:val="Rastertabel 3 - Accent 51"/>
    <w:basedOn w:val="Standaardtabel"/>
    <w:uiPriority w:val="48"/>
    <w:rsid w:val="004E23E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jsttabel21">
    <w:name w:val="Lijsttabel 21"/>
    <w:basedOn w:val="Standaardtabel"/>
    <w:uiPriority w:val="47"/>
    <w:rsid w:val="004E23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4E23E8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1">
    <w:name w:val="Lijsttabel 7 kleurrijk1"/>
    <w:basedOn w:val="Standaardtabel"/>
    <w:uiPriority w:val="52"/>
    <w:rsid w:val="004E23E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astertabel5donker-Accent11">
    <w:name w:val="Rastertabel 5 donker - Accent 11"/>
    <w:basedOn w:val="Standaardtabel"/>
    <w:uiPriority w:val="50"/>
    <w:rsid w:val="004E23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Lijsttabel6kleurrijk1">
    <w:name w:val="Lijsttabel 6 kleurrijk1"/>
    <w:basedOn w:val="Standaardtabel"/>
    <w:uiPriority w:val="51"/>
    <w:rsid w:val="004E23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2-Accent31">
    <w:name w:val="Rastertabel 2 - Accent 31"/>
    <w:basedOn w:val="Standaardtabel"/>
    <w:uiPriority w:val="47"/>
    <w:rsid w:val="004E23E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rasterlicht1">
    <w:name w:val="Tabelraster licht1"/>
    <w:basedOn w:val="Standaardtabel"/>
    <w:uiPriority w:val="40"/>
    <w:rsid w:val="004E23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F56A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F67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6728"/>
  </w:style>
  <w:style w:type="paragraph" w:styleId="Voettekst">
    <w:name w:val="footer"/>
    <w:basedOn w:val="Standaard"/>
    <w:link w:val="VoettekstChar"/>
    <w:uiPriority w:val="99"/>
    <w:unhideWhenUsed/>
    <w:rsid w:val="002F67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6728"/>
  </w:style>
  <w:style w:type="paragraph" w:styleId="Ballontekst">
    <w:name w:val="Balloon Text"/>
    <w:basedOn w:val="Standaard"/>
    <w:link w:val="BallontekstChar"/>
    <w:uiPriority w:val="99"/>
    <w:semiHidden/>
    <w:unhideWhenUsed/>
    <w:rsid w:val="00013C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C7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4A7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4A7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4A7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4A7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4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1810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Mellemos</dc:creator>
  <cp:lastModifiedBy>Marije van Melle</cp:lastModifiedBy>
  <cp:revision>5</cp:revision>
  <dcterms:created xsi:type="dcterms:W3CDTF">2018-02-19T09:52:00Z</dcterms:created>
  <dcterms:modified xsi:type="dcterms:W3CDTF">2018-05-09T18:39:00Z</dcterms:modified>
</cp:coreProperties>
</file>