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F01" w:rsidRDefault="003F587B" w:rsidP="00900F01">
      <w:pPr>
        <w:spacing w:line="360" w:lineRule="auto"/>
        <w:rPr>
          <w:b/>
        </w:rPr>
      </w:pPr>
      <w:r>
        <w:rPr>
          <w:b/>
        </w:rPr>
        <w:t>S3 Appendix</w:t>
      </w:r>
      <w:r w:rsidR="00900F01">
        <w:rPr>
          <w:b/>
        </w:rPr>
        <w:t>: Randomization</w:t>
      </w:r>
    </w:p>
    <w:p w:rsidR="00900F01" w:rsidRDefault="00900F01" w:rsidP="00900F01">
      <w:pPr>
        <w:spacing w:line="480" w:lineRule="auto"/>
        <w:ind w:firstLine="720"/>
      </w:pPr>
      <w:r>
        <w:t xml:space="preserve">The data analysis in the main text includes a 16 person pilot of the experimental protocol. This pilot group was used to test the protocol, ensure consistency among the confederates’ talking points, and incorporate the arguments made by the participants into both the confederates’ talking points and the control group survey. Given the time intensity of this study for participants, confederates, and the investigators, we chose to ensure that the protocol was working before implementing the full study </w:t>
      </w:r>
      <w:r>
        <w:fldChar w:fldCharType="begin"/>
      </w:r>
      <w:r>
        <w:instrText xml:space="preserve"> ADDIN EN.CITE &lt;EndNote&gt;&lt;Cite&gt;&lt;Author&gt;Thabane&lt;/Author&gt;&lt;Year&gt;2010&lt;/Year&gt;&lt;RecNum&gt;140&lt;/RecNum&gt;&lt;DisplayText&gt;(Thabane et al., 2010)&lt;/DisplayText&gt;&lt;record&gt;&lt;rec-number&gt;140&lt;/rec-number&gt;&lt;foreign-keys&gt;&lt;key app="EN" db-id="fs5exst2ja2028evzanvrzrg5592w052tsa2" timestamp="1455890774"&gt;140&lt;/key&gt;&lt;/foreign-keys&gt;&lt;ref-type name="Journal Article"&gt;17&lt;/ref-type&gt;&lt;contributors&gt;&lt;authors&gt;&lt;author&gt;Thabane, Lehana&lt;/author&gt;&lt;author&gt;Ma, Jinhui&lt;/author&gt;&lt;author&gt;Chu, Rong&lt;/author&gt;&lt;author&gt;Cheng, Ji&lt;/author&gt;&lt;author&gt;Ismaila, Afisi&lt;/author&gt;&lt;author&gt;Rios, Lorena P.&lt;/author&gt;&lt;author&gt;Robson, Reid&lt;/author&gt;&lt;author&gt;Thabane, Marroon&lt;/author&gt;&lt;author&gt;Giangregorio, Lora&lt;/author&gt;&lt;author&gt;Goldsmith, Charles H.&lt;/author&gt;&lt;/authors&gt;&lt;/contributors&gt;&lt;titles&gt;&lt;title&gt;A tutorial on pilot studies: the what, why and how&lt;/title&gt;&lt;secondary-title&gt;BMC Medical Research Methodology&lt;/secondary-title&gt;&lt;/titles&gt;&lt;periodical&gt;&lt;full-title&gt;BMC Medical Research Methodology&lt;/full-title&gt;&lt;/periodical&gt;&lt;pages&gt;1-10&lt;/pages&gt;&lt;volume&gt;10&lt;/volume&gt;&lt;number&gt;1&lt;/number&gt;&lt;dates&gt;&lt;year&gt;2010&lt;/year&gt;&lt;/dates&gt;&lt;isbn&gt;1471-2288&lt;/isbn&gt;&lt;label&gt;Thabane2010&lt;/label&gt;&lt;work-type&gt;journal article&lt;/work-type&gt;&lt;urls&gt;&lt;related-urls&gt;&lt;url&gt;http://dx.doi.org/10.1186/1471-2288-10-1&lt;/url&gt;&lt;/related-urls&gt;&lt;/urls&gt;&lt;electronic-resource-num&gt;10.1186/1471-2288-10-1&lt;/electronic-resource-num&gt;&lt;/record&gt;&lt;/Cite&gt;&lt;/EndNote&gt;</w:instrText>
      </w:r>
      <w:r>
        <w:fldChar w:fldCharType="separate"/>
      </w:r>
      <w:r>
        <w:rPr>
          <w:noProof/>
        </w:rPr>
        <w:t>(</w:t>
      </w:r>
      <w:hyperlink w:anchor="_ENREF_4" w:tooltip="Thabane, 2010 #140" w:history="1">
        <w:r>
          <w:rPr>
            <w:noProof/>
          </w:rPr>
          <w:t>Thabane et al., 2010</w:t>
        </w:r>
      </w:hyperlink>
      <w:r>
        <w:rPr>
          <w:noProof/>
        </w:rPr>
        <w:t>)</w:t>
      </w:r>
      <w:r>
        <w:fldChar w:fldCharType="end"/>
      </w:r>
      <w:r>
        <w:t xml:space="preserve">. This ensured that the control group was given the same information as the treatment group, thus better isolating the treatment effect of social pressure. We also conducted a series of mock discussions with the principal investigators and the confederates before conducting the pilot. Thus, we found that our confederates were well prepared with their discussion points even prior to the pilot and in post-experiment analysis of the video recorded sessions we observed that the treatment did not differ substantially between the pilot participations and those subsequently randomized into treatment and control. The confederates were generally consistent across all participants in their specific arguments, either for or against the </w:t>
      </w:r>
      <w:proofErr w:type="spellStart"/>
      <w:r>
        <w:t>Paterno</w:t>
      </w:r>
      <w:proofErr w:type="spellEnd"/>
      <w:r>
        <w:t xml:space="preserve"> firing. Given that the sampling frame and treatment condition methodology were the same, we included the pilot data in our final analysis </w:t>
      </w:r>
      <w:r>
        <w:fldChar w:fldCharType="begin"/>
      </w:r>
      <w:r>
        <w:instrText xml:space="preserve"> ADDIN EN.CITE &lt;EndNote&gt;&lt;Cite&gt;&lt;Author&gt;Thabane&lt;/Author&gt;&lt;Year&gt;2010&lt;/Year&gt;&lt;RecNum&gt;140&lt;/RecNum&gt;&lt;DisplayText&gt;(Thabane et al., 2010)&lt;/DisplayText&gt;&lt;record&gt;&lt;rec-number&gt;140&lt;/rec-number&gt;&lt;foreign-keys&gt;&lt;key app="EN" db-id="fs5exst2ja2028evzanvrzrg5592w052tsa2" timestamp="1455890774"&gt;140&lt;/key&gt;&lt;/foreign-keys&gt;&lt;ref-type name="Journal Article"&gt;17&lt;/ref-type&gt;&lt;contributors&gt;&lt;authors&gt;&lt;author&gt;Thabane, Lehana&lt;/author&gt;&lt;author&gt;Ma, Jinhui&lt;/author&gt;&lt;author&gt;Chu, Rong&lt;/author&gt;&lt;author&gt;Cheng, Ji&lt;/author&gt;&lt;author&gt;Ismaila, Afisi&lt;/author&gt;&lt;author&gt;Rios, Lorena P.&lt;/author&gt;&lt;author&gt;Robson, Reid&lt;/author&gt;&lt;author&gt;Thabane, Marroon&lt;/author&gt;&lt;author&gt;Giangregorio, Lora&lt;/author&gt;&lt;author&gt;Goldsmith, Charles H.&lt;/author&gt;&lt;/authors&gt;&lt;/contributors&gt;&lt;titles&gt;&lt;title&gt;A tutorial on pilot studies: the what, why and how&lt;/title&gt;&lt;secondary-title&gt;BMC Medical Research Methodology&lt;/secondary-title&gt;&lt;/titles&gt;&lt;periodical&gt;&lt;full-title&gt;BMC Medical Research Methodology&lt;/full-title&gt;&lt;/periodical&gt;&lt;pages&gt;1-10&lt;/pages&gt;&lt;volume&gt;10&lt;/volume&gt;&lt;number&gt;1&lt;/number&gt;&lt;dates&gt;&lt;year&gt;2010&lt;/year&gt;&lt;/dates&gt;&lt;isbn&gt;1471-2288&lt;/isbn&gt;&lt;label&gt;Thabane2010&lt;/label&gt;&lt;work-type&gt;journal article&lt;/work-type&gt;&lt;urls&gt;&lt;related-urls&gt;&lt;url&gt;http://dx.doi.org/10.1186/1471-2288-10-1&lt;/url&gt;&lt;/related-urls&gt;&lt;/urls&gt;&lt;electronic-resource-num&gt;10.1186/1471-2288-10-1&lt;/electronic-resource-num&gt;&lt;/record&gt;&lt;/Cite&gt;&lt;/EndNote&gt;</w:instrText>
      </w:r>
      <w:r>
        <w:fldChar w:fldCharType="separate"/>
      </w:r>
      <w:r>
        <w:rPr>
          <w:noProof/>
        </w:rPr>
        <w:t>(</w:t>
      </w:r>
      <w:hyperlink w:anchor="_ENREF_4" w:tooltip="Thabane, 2010 #140" w:history="1">
        <w:r>
          <w:rPr>
            <w:noProof/>
          </w:rPr>
          <w:t>Thabane et al., 2010</w:t>
        </w:r>
      </w:hyperlink>
      <w:r>
        <w:rPr>
          <w:noProof/>
        </w:rPr>
        <w:t>)</w:t>
      </w:r>
      <w:r>
        <w:fldChar w:fldCharType="end"/>
      </w:r>
      <w:r>
        <w:t xml:space="preserve">. </w:t>
      </w:r>
    </w:p>
    <w:p w:rsidR="00900F01" w:rsidRDefault="00900F01" w:rsidP="00900F01">
      <w:pPr>
        <w:spacing w:line="480" w:lineRule="auto"/>
      </w:pPr>
      <w:r>
        <w:tab/>
        <w:t xml:space="preserve">Given that 16 of the 34 treatment group participants were not assigned randomly, we wanted to test for, and report, any significant differences in demographics and dispositions for the two sub-groups. Table S1 presents these results and there are two significant differences. First, the non-randomized subgroup includes more males than the randomized subgroup. Second, the non-randomized subgroup is, on average, less neurotic than the randomized group. </w:t>
      </w:r>
    </w:p>
    <w:p w:rsidR="00900F01" w:rsidRDefault="00900F01" w:rsidP="00900F01">
      <w:pPr>
        <w:spacing w:line="360" w:lineRule="auto"/>
      </w:pPr>
    </w:p>
    <w:p w:rsidR="00900F01" w:rsidRDefault="00900F01" w:rsidP="00900F01">
      <w:pPr>
        <w:spacing w:line="360" w:lineRule="auto"/>
      </w:pPr>
    </w:p>
    <w:tbl>
      <w:tblPr>
        <w:tblW w:w="0" w:type="auto"/>
        <w:jc w:val="center"/>
        <w:tblLook w:val="00A0" w:firstRow="1" w:lastRow="0" w:firstColumn="1" w:lastColumn="0" w:noHBand="0" w:noVBand="0"/>
      </w:tblPr>
      <w:tblGrid>
        <w:gridCol w:w="7592"/>
      </w:tblGrid>
      <w:tr w:rsidR="00900F01" w:rsidTr="00AE6796">
        <w:trPr>
          <w:trHeight w:val="550"/>
          <w:jc w:val="center"/>
        </w:trPr>
        <w:tc>
          <w:tcPr>
            <w:tcW w:w="7592" w:type="dxa"/>
            <w:shd w:val="clear" w:color="auto" w:fill="auto"/>
          </w:tcPr>
          <w:p w:rsidR="00900F01" w:rsidRDefault="00900F01" w:rsidP="00AE6796">
            <w:pPr>
              <w:rPr>
                <w:b/>
              </w:rPr>
            </w:pPr>
            <w:r w:rsidRPr="006D3D00">
              <w:rPr>
                <w:b/>
              </w:rPr>
              <w:lastRenderedPageBreak/>
              <w:t>Table S</w:t>
            </w:r>
            <w:r>
              <w:rPr>
                <w:b/>
              </w:rPr>
              <w:t>3</w:t>
            </w:r>
            <w:r w:rsidRPr="006D3D00">
              <w:rPr>
                <w:b/>
              </w:rPr>
              <w:t xml:space="preserve">: Comparison of demographic and </w:t>
            </w:r>
            <w:r>
              <w:rPr>
                <w:b/>
              </w:rPr>
              <w:t>dispositional traits</w:t>
            </w:r>
            <w:r w:rsidRPr="006D3D00">
              <w:rPr>
                <w:b/>
              </w:rPr>
              <w:t xml:space="preserve"> for non-randomized and randomized subgroups with the treatment group</w:t>
            </w:r>
          </w:p>
          <w:tbl>
            <w:tblPr>
              <w:tblW w:w="7376" w:type="dxa"/>
              <w:tblLook w:val="04A0" w:firstRow="1" w:lastRow="0" w:firstColumn="1" w:lastColumn="0" w:noHBand="0" w:noVBand="1"/>
            </w:tblPr>
            <w:tblGrid>
              <w:gridCol w:w="2078"/>
              <w:gridCol w:w="1899"/>
              <w:gridCol w:w="1430"/>
              <w:gridCol w:w="1969"/>
            </w:tblGrid>
            <w:tr w:rsidR="00900F01" w:rsidRPr="00B527C8" w:rsidTr="00AE6796">
              <w:trPr>
                <w:trHeight w:val="272"/>
              </w:trPr>
              <w:tc>
                <w:tcPr>
                  <w:tcW w:w="2088" w:type="dxa"/>
                  <w:tcBorders>
                    <w:bottom w:val="single" w:sz="4" w:space="0" w:color="auto"/>
                  </w:tcBorders>
                  <w:shd w:val="clear" w:color="auto" w:fill="auto"/>
                </w:tcPr>
                <w:p w:rsidR="00900F01" w:rsidRPr="00B527C8" w:rsidRDefault="00900F01" w:rsidP="00AE6796">
                  <w:r w:rsidRPr="00B527C8">
                    <w:t>Variable</w:t>
                  </w:r>
                </w:p>
              </w:tc>
              <w:tc>
                <w:tcPr>
                  <w:tcW w:w="1960" w:type="dxa"/>
                  <w:tcBorders>
                    <w:bottom w:val="single" w:sz="4" w:space="0" w:color="auto"/>
                  </w:tcBorders>
                  <w:shd w:val="clear" w:color="auto" w:fill="auto"/>
                </w:tcPr>
                <w:p w:rsidR="00900F01" w:rsidRDefault="00900F01" w:rsidP="00AE6796">
                  <w:pPr>
                    <w:jc w:val="center"/>
                  </w:pPr>
                  <w:r>
                    <w:t>Non-randomized</w:t>
                  </w:r>
                  <w:r w:rsidRPr="00B527C8">
                    <w:t xml:space="preserve"> Mean</w:t>
                  </w:r>
                </w:p>
                <w:p w:rsidR="00900F01" w:rsidRPr="00B527C8" w:rsidRDefault="00900F01" w:rsidP="00AE6796">
                  <w:pPr>
                    <w:jc w:val="center"/>
                  </w:pPr>
                  <w:r>
                    <w:t>(St. Dev.)</w:t>
                  </w:r>
                </w:p>
              </w:tc>
              <w:tc>
                <w:tcPr>
                  <w:tcW w:w="1279" w:type="dxa"/>
                  <w:tcBorders>
                    <w:bottom w:val="single" w:sz="4" w:space="0" w:color="auto"/>
                  </w:tcBorders>
                  <w:shd w:val="clear" w:color="auto" w:fill="auto"/>
                </w:tcPr>
                <w:p w:rsidR="00900F01" w:rsidRDefault="00900F01" w:rsidP="00AE6796">
                  <w:pPr>
                    <w:jc w:val="center"/>
                  </w:pPr>
                  <w:r>
                    <w:t>Randomized</w:t>
                  </w:r>
                  <w:r w:rsidRPr="00B527C8">
                    <w:t xml:space="preserve"> Mean</w:t>
                  </w:r>
                </w:p>
                <w:p w:rsidR="00900F01" w:rsidRPr="00B527C8" w:rsidRDefault="00900F01" w:rsidP="00AE6796">
                  <w:pPr>
                    <w:jc w:val="center"/>
                  </w:pPr>
                  <w:r>
                    <w:t>(St. Dev.)</w:t>
                  </w:r>
                </w:p>
              </w:tc>
              <w:tc>
                <w:tcPr>
                  <w:tcW w:w="2049" w:type="dxa"/>
                  <w:tcBorders>
                    <w:bottom w:val="single" w:sz="4" w:space="0" w:color="auto"/>
                  </w:tcBorders>
                  <w:shd w:val="clear" w:color="auto" w:fill="auto"/>
                </w:tcPr>
                <w:p w:rsidR="00900F01" w:rsidRDefault="00900F01" w:rsidP="00AE6796">
                  <w:pPr>
                    <w:jc w:val="center"/>
                  </w:pPr>
                  <w:r w:rsidRPr="00B527C8">
                    <w:t>Difference</w:t>
                  </w:r>
                </w:p>
                <w:p w:rsidR="00900F01" w:rsidRPr="00B527C8" w:rsidRDefault="00900F01" w:rsidP="00AE6796">
                  <w:pPr>
                    <w:jc w:val="center"/>
                  </w:pPr>
                  <w:r>
                    <w:t>[95% Conf. Int.]</w:t>
                  </w:r>
                </w:p>
              </w:tc>
            </w:tr>
            <w:tr w:rsidR="00900F01" w:rsidRPr="00B527C8" w:rsidTr="00AE6796">
              <w:trPr>
                <w:trHeight w:val="546"/>
              </w:trPr>
              <w:tc>
                <w:tcPr>
                  <w:tcW w:w="2088" w:type="dxa"/>
                  <w:tcBorders>
                    <w:top w:val="single" w:sz="4" w:space="0" w:color="auto"/>
                  </w:tcBorders>
                  <w:shd w:val="clear" w:color="auto" w:fill="auto"/>
                </w:tcPr>
                <w:p w:rsidR="00900F01" w:rsidRPr="00B527C8" w:rsidRDefault="00900F01" w:rsidP="00AE6796">
                  <w:r w:rsidRPr="00B527C8">
                    <w:t>Age</w:t>
                  </w:r>
                </w:p>
              </w:tc>
              <w:tc>
                <w:tcPr>
                  <w:tcW w:w="1960" w:type="dxa"/>
                  <w:tcBorders>
                    <w:top w:val="single" w:sz="4" w:space="0" w:color="auto"/>
                  </w:tcBorders>
                  <w:shd w:val="clear" w:color="auto" w:fill="auto"/>
                </w:tcPr>
                <w:p w:rsidR="00900F01" w:rsidRDefault="00900F01" w:rsidP="00AE6796">
                  <w:pPr>
                    <w:jc w:val="center"/>
                  </w:pPr>
                  <w:r>
                    <w:t>23.50</w:t>
                  </w:r>
                </w:p>
                <w:p w:rsidR="00900F01" w:rsidRPr="002903B9" w:rsidRDefault="00900F01" w:rsidP="00AE6796">
                  <w:pPr>
                    <w:jc w:val="center"/>
                  </w:pPr>
                  <w:r w:rsidRPr="002903B9">
                    <w:t>(5.15)</w:t>
                  </w:r>
                </w:p>
              </w:tc>
              <w:tc>
                <w:tcPr>
                  <w:tcW w:w="1279" w:type="dxa"/>
                  <w:tcBorders>
                    <w:top w:val="single" w:sz="4" w:space="0" w:color="auto"/>
                  </w:tcBorders>
                  <w:shd w:val="clear" w:color="auto" w:fill="auto"/>
                </w:tcPr>
                <w:p w:rsidR="00900F01" w:rsidRDefault="00900F01" w:rsidP="00AE6796">
                  <w:pPr>
                    <w:jc w:val="center"/>
                  </w:pPr>
                  <w:r w:rsidRPr="002903B9">
                    <w:t>21.94</w:t>
                  </w:r>
                </w:p>
                <w:p w:rsidR="00900F01" w:rsidRPr="002903B9" w:rsidRDefault="00900F01" w:rsidP="00AE6796">
                  <w:pPr>
                    <w:jc w:val="center"/>
                  </w:pPr>
                  <w:r w:rsidRPr="002903B9">
                    <w:t>(1.43)</w:t>
                  </w:r>
                </w:p>
              </w:tc>
              <w:tc>
                <w:tcPr>
                  <w:tcW w:w="2049" w:type="dxa"/>
                  <w:tcBorders>
                    <w:top w:val="single" w:sz="4" w:space="0" w:color="auto"/>
                  </w:tcBorders>
                  <w:shd w:val="clear" w:color="auto" w:fill="auto"/>
                </w:tcPr>
                <w:p w:rsidR="00900F01" w:rsidRDefault="00900F01" w:rsidP="00AE6796">
                  <w:pPr>
                    <w:jc w:val="center"/>
                  </w:pPr>
                  <w:r>
                    <w:t>1.56</w:t>
                  </w:r>
                </w:p>
                <w:p w:rsidR="00900F01" w:rsidRPr="00B527C8" w:rsidRDefault="00900F01" w:rsidP="00AE6796">
                  <w:pPr>
                    <w:jc w:val="center"/>
                  </w:pPr>
                  <w:r>
                    <w:t>[-1.25, 4.36]</w:t>
                  </w:r>
                </w:p>
              </w:tc>
            </w:tr>
            <w:tr w:rsidR="00900F01" w:rsidRPr="00B527C8" w:rsidTr="00AE6796">
              <w:trPr>
                <w:trHeight w:val="546"/>
              </w:trPr>
              <w:tc>
                <w:tcPr>
                  <w:tcW w:w="2088" w:type="dxa"/>
                  <w:shd w:val="clear" w:color="auto" w:fill="auto"/>
                </w:tcPr>
                <w:p w:rsidR="00900F01" w:rsidRPr="00B527C8" w:rsidRDefault="00900F01" w:rsidP="00AE6796">
                  <w:r w:rsidRPr="00B527C8">
                    <w:t>Male</w:t>
                  </w:r>
                  <w:r w:rsidRPr="00B527C8">
                    <w:rPr>
                      <w:sz w:val="20"/>
                      <w:vertAlign w:val="superscript"/>
                    </w:rPr>
                    <w:t>†</w:t>
                  </w:r>
                </w:p>
              </w:tc>
              <w:tc>
                <w:tcPr>
                  <w:tcW w:w="1960" w:type="dxa"/>
                  <w:shd w:val="clear" w:color="auto" w:fill="auto"/>
                </w:tcPr>
                <w:p w:rsidR="00900F01" w:rsidRDefault="00900F01" w:rsidP="00AE6796">
                  <w:pPr>
                    <w:jc w:val="center"/>
                  </w:pPr>
                  <w:r>
                    <w:t>0.69</w:t>
                  </w:r>
                </w:p>
                <w:p w:rsidR="00900F01" w:rsidRPr="009E7843" w:rsidRDefault="00900F01" w:rsidP="00AE6796">
                  <w:pPr>
                    <w:jc w:val="center"/>
                  </w:pPr>
                  <w:r w:rsidRPr="009E7843">
                    <w:t>(0.48)</w:t>
                  </w:r>
                </w:p>
              </w:tc>
              <w:tc>
                <w:tcPr>
                  <w:tcW w:w="1279" w:type="dxa"/>
                  <w:shd w:val="clear" w:color="auto" w:fill="auto"/>
                </w:tcPr>
                <w:p w:rsidR="00900F01" w:rsidRDefault="00900F01" w:rsidP="00AE6796">
                  <w:pPr>
                    <w:jc w:val="center"/>
                  </w:pPr>
                  <w:r w:rsidRPr="009E7843">
                    <w:t>0.28</w:t>
                  </w:r>
                </w:p>
                <w:p w:rsidR="00900F01" w:rsidRPr="009E7843" w:rsidRDefault="00900F01" w:rsidP="00AE6796">
                  <w:pPr>
                    <w:jc w:val="center"/>
                  </w:pPr>
                  <w:r w:rsidRPr="009E7843">
                    <w:t>(0.46)</w:t>
                  </w:r>
                </w:p>
              </w:tc>
              <w:tc>
                <w:tcPr>
                  <w:tcW w:w="2049" w:type="dxa"/>
                  <w:shd w:val="clear" w:color="auto" w:fill="auto"/>
                </w:tcPr>
                <w:p w:rsidR="00900F01" w:rsidRDefault="00900F01" w:rsidP="00AE6796">
                  <w:pPr>
                    <w:jc w:val="center"/>
                  </w:pPr>
                  <w:r>
                    <w:t>0.41**</w:t>
                  </w:r>
                </w:p>
                <w:p w:rsidR="00900F01" w:rsidRPr="00B527C8" w:rsidRDefault="00900F01" w:rsidP="00AE6796">
                  <w:pPr>
                    <w:jc w:val="center"/>
                  </w:pPr>
                  <w:r>
                    <w:t>[0.10, 0.72]</w:t>
                  </w:r>
                </w:p>
              </w:tc>
            </w:tr>
            <w:tr w:rsidR="00900F01" w:rsidRPr="00B527C8" w:rsidTr="00AE6796">
              <w:trPr>
                <w:trHeight w:val="546"/>
              </w:trPr>
              <w:tc>
                <w:tcPr>
                  <w:tcW w:w="2088" w:type="dxa"/>
                  <w:shd w:val="clear" w:color="auto" w:fill="auto"/>
                </w:tcPr>
                <w:p w:rsidR="00900F01" w:rsidRPr="00B527C8" w:rsidRDefault="00900F01" w:rsidP="00AE6796">
                  <w:r w:rsidRPr="00B527C8">
                    <w:t>School Year</w:t>
                  </w:r>
                </w:p>
              </w:tc>
              <w:tc>
                <w:tcPr>
                  <w:tcW w:w="1960" w:type="dxa"/>
                  <w:shd w:val="clear" w:color="auto" w:fill="auto"/>
                </w:tcPr>
                <w:p w:rsidR="00900F01" w:rsidRDefault="00900F01" w:rsidP="00AE6796">
                  <w:pPr>
                    <w:jc w:val="center"/>
                  </w:pPr>
                  <w:r w:rsidRPr="009E7843">
                    <w:t>3.62</w:t>
                  </w:r>
                </w:p>
                <w:p w:rsidR="00900F01" w:rsidRPr="009E7843" w:rsidRDefault="00900F01" w:rsidP="00AE6796">
                  <w:pPr>
                    <w:jc w:val="center"/>
                  </w:pPr>
                  <w:r w:rsidRPr="009E7843">
                    <w:t>(1.89)</w:t>
                  </w:r>
                </w:p>
              </w:tc>
              <w:tc>
                <w:tcPr>
                  <w:tcW w:w="1279" w:type="dxa"/>
                  <w:shd w:val="clear" w:color="auto" w:fill="auto"/>
                </w:tcPr>
                <w:p w:rsidR="00900F01" w:rsidRDefault="00900F01" w:rsidP="00AE6796">
                  <w:pPr>
                    <w:jc w:val="center"/>
                  </w:pPr>
                  <w:r>
                    <w:t>3.44</w:t>
                  </w:r>
                </w:p>
                <w:p w:rsidR="00900F01" w:rsidRPr="009E7843" w:rsidRDefault="00900F01" w:rsidP="00AE6796">
                  <w:pPr>
                    <w:jc w:val="center"/>
                  </w:pPr>
                  <w:r w:rsidRPr="009E7843">
                    <w:t>(1.20)</w:t>
                  </w:r>
                </w:p>
              </w:tc>
              <w:tc>
                <w:tcPr>
                  <w:tcW w:w="2049" w:type="dxa"/>
                  <w:shd w:val="clear" w:color="auto" w:fill="auto"/>
                </w:tcPr>
                <w:p w:rsidR="00900F01" w:rsidRDefault="00900F01" w:rsidP="00AE6796">
                  <w:pPr>
                    <w:jc w:val="center"/>
                  </w:pPr>
                  <w:r>
                    <w:t>0.18</w:t>
                  </w:r>
                </w:p>
                <w:p w:rsidR="00900F01" w:rsidRPr="00B527C8" w:rsidRDefault="00900F01" w:rsidP="00AE6796">
                  <w:pPr>
                    <w:jc w:val="center"/>
                  </w:pPr>
                  <w:r>
                    <w:t>[-0.96, 1.32]</w:t>
                  </w:r>
                </w:p>
              </w:tc>
            </w:tr>
            <w:tr w:rsidR="00900F01" w:rsidRPr="00B527C8" w:rsidTr="00AE6796">
              <w:trPr>
                <w:trHeight w:val="559"/>
              </w:trPr>
              <w:tc>
                <w:tcPr>
                  <w:tcW w:w="2088" w:type="dxa"/>
                  <w:shd w:val="clear" w:color="auto" w:fill="auto"/>
                </w:tcPr>
                <w:p w:rsidR="00900F01" w:rsidRPr="00B527C8" w:rsidRDefault="00900F01" w:rsidP="00AE6796">
                  <w:r w:rsidRPr="00B527C8">
                    <w:t>Conservatism</w:t>
                  </w:r>
                </w:p>
              </w:tc>
              <w:tc>
                <w:tcPr>
                  <w:tcW w:w="1960" w:type="dxa"/>
                  <w:shd w:val="clear" w:color="auto" w:fill="auto"/>
                </w:tcPr>
                <w:p w:rsidR="00900F01" w:rsidRDefault="00900F01" w:rsidP="00AE6796">
                  <w:pPr>
                    <w:jc w:val="center"/>
                  </w:pPr>
                  <w:r w:rsidRPr="009E7843">
                    <w:t>14.44</w:t>
                  </w:r>
                </w:p>
                <w:p w:rsidR="00900F01" w:rsidRPr="009E7843" w:rsidRDefault="00900F01" w:rsidP="00AE6796">
                  <w:pPr>
                    <w:jc w:val="center"/>
                  </w:pPr>
                  <w:r w:rsidRPr="009E7843">
                    <w:t>(7.37)</w:t>
                  </w:r>
                </w:p>
              </w:tc>
              <w:tc>
                <w:tcPr>
                  <w:tcW w:w="1279" w:type="dxa"/>
                  <w:shd w:val="clear" w:color="auto" w:fill="auto"/>
                </w:tcPr>
                <w:p w:rsidR="00900F01" w:rsidRDefault="00900F01" w:rsidP="00AE6796">
                  <w:pPr>
                    <w:jc w:val="center"/>
                  </w:pPr>
                  <w:r w:rsidRPr="009E7843">
                    <w:t>11.44</w:t>
                  </w:r>
                </w:p>
                <w:p w:rsidR="00900F01" w:rsidRPr="009E7843" w:rsidRDefault="00900F01" w:rsidP="00AE6796">
                  <w:pPr>
                    <w:jc w:val="center"/>
                  </w:pPr>
                  <w:r w:rsidRPr="009E7843">
                    <w:t>(11.00)</w:t>
                  </w:r>
                </w:p>
              </w:tc>
              <w:tc>
                <w:tcPr>
                  <w:tcW w:w="2049" w:type="dxa"/>
                  <w:shd w:val="clear" w:color="auto" w:fill="auto"/>
                </w:tcPr>
                <w:p w:rsidR="00900F01" w:rsidRDefault="00900F01" w:rsidP="00AE6796">
                  <w:pPr>
                    <w:jc w:val="center"/>
                  </w:pPr>
                  <w:r>
                    <w:t>3.00</w:t>
                  </w:r>
                </w:p>
                <w:p w:rsidR="00900F01" w:rsidRPr="00B527C8" w:rsidRDefault="00900F01" w:rsidP="00AE6796">
                  <w:pPr>
                    <w:jc w:val="center"/>
                  </w:pPr>
                  <w:r>
                    <w:t>[-3.50, 9.49]</w:t>
                  </w:r>
                </w:p>
              </w:tc>
            </w:tr>
            <w:tr w:rsidR="00900F01" w:rsidRPr="00B527C8" w:rsidTr="00AE6796">
              <w:trPr>
                <w:trHeight w:val="546"/>
              </w:trPr>
              <w:tc>
                <w:tcPr>
                  <w:tcW w:w="2088" w:type="dxa"/>
                  <w:shd w:val="clear" w:color="auto" w:fill="auto"/>
                </w:tcPr>
                <w:p w:rsidR="00900F01" w:rsidRPr="00B527C8" w:rsidRDefault="00900F01" w:rsidP="00AE6796">
                  <w:r w:rsidRPr="00B527C8">
                    <w:t>Self-Esteem</w:t>
                  </w:r>
                </w:p>
              </w:tc>
              <w:tc>
                <w:tcPr>
                  <w:tcW w:w="1960" w:type="dxa"/>
                  <w:shd w:val="clear" w:color="auto" w:fill="auto"/>
                </w:tcPr>
                <w:p w:rsidR="00900F01" w:rsidRDefault="00900F01" w:rsidP="00AE6796">
                  <w:pPr>
                    <w:jc w:val="center"/>
                  </w:pPr>
                  <w:r w:rsidRPr="009E7843">
                    <w:t>29.62</w:t>
                  </w:r>
                </w:p>
                <w:p w:rsidR="00900F01" w:rsidRPr="009E7843" w:rsidRDefault="00900F01" w:rsidP="00AE6796">
                  <w:pPr>
                    <w:jc w:val="center"/>
                  </w:pPr>
                  <w:r w:rsidRPr="009E7843">
                    <w:t>(6.46)</w:t>
                  </w:r>
                </w:p>
              </w:tc>
              <w:tc>
                <w:tcPr>
                  <w:tcW w:w="1279" w:type="dxa"/>
                  <w:shd w:val="clear" w:color="auto" w:fill="auto"/>
                </w:tcPr>
                <w:p w:rsidR="00900F01" w:rsidRDefault="00900F01" w:rsidP="00AE6796">
                  <w:pPr>
                    <w:jc w:val="center"/>
                  </w:pPr>
                  <w:r w:rsidRPr="009E7843">
                    <w:t>26.83</w:t>
                  </w:r>
                </w:p>
                <w:p w:rsidR="00900F01" w:rsidRPr="009E7843" w:rsidRDefault="00900F01" w:rsidP="00AE6796">
                  <w:pPr>
                    <w:jc w:val="center"/>
                  </w:pPr>
                  <w:r w:rsidRPr="009E7843">
                    <w:t>(7.20)</w:t>
                  </w:r>
                </w:p>
              </w:tc>
              <w:tc>
                <w:tcPr>
                  <w:tcW w:w="2049" w:type="dxa"/>
                  <w:shd w:val="clear" w:color="auto" w:fill="auto"/>
                </w:tcPr>
                <w:p w:rsidR="00900F01" w:rsidRDefault="00900F01" w:rsidP="00AE6796">
                  <w:pPr>
                    <w:jc w:val="center"/>
                  </w:pPr>
                  <w:r>
                    <w:t>2.79</w:t>
                  </w:r>
                </w:p>
                <w:p w:rsidR="00900F01" w:rsidRPr="00B527C8" w:rsidRDefault="00900F01" w:rsidP="00AE6796">
                  <w:pPr>
                    <w:jc w:val="center"/>
                  </w:pPr>
                  <w:r>
                    <w:t>[-1.98, 7.56]</w:t>
                  </w:r>
                </w:p>
              </w:tc>
            </w:tr>
            <w:tr w:rsidR="00900F01" w:rsidRPr="00B527C8" w:rsidTr="00AE6796">
              <w:trPr>
                <w:trHeight w:val="546"/>
              </w:trPr>
              <w:tc>
                <w:tcPr>
                  <w:tcW w:w="2088" w:type="dxa"/>
                  <w:shd w:val="clear" w:color="auto" w:fill="auto"/>
                </w:tcPr>
                <w:p w:rsidR="00900F01" w:rsidRPr="00B527C8" w:rsidRDefault="00900F01" w:rsidP="00AE6796">
                  <w:r w:rsidRPr="00B527C8">
                    <w:t>Extraversion</w:t>
                  </w:r>
                </w:p>
              </w:tc>
              <w:tc>
                <w:tcPr>
                  <w:tcW w:w="1960" w:type="dxa"/>
                  <w:shd w:val="clear" w:color="auto" w:fill="auto"/>
                </w:tcPr>
                <w:p w:rsidR="00900F01" w:rsidRDefault="00900F01" w:rsidP="00AE6796">
                  <w:pPr>
                    <w:jc w:val="center"/>
                  </w:pPr>
                  <w:r w:rsidRPr="009E7843">
                    <w:t>20.56</w:t>
                  </w:r>
                </w:p>
                <w:p w:rsidR="00900F01" w:rsidRPr="009E7843" w:rsidRDefault="00900F01" w:rsidP="00AE6796">
                  <w:pPr>
                    <w:jc w:val="center"/>
                  </w:pPr>
                  <w:r w:rsidRPr="009E7843">
                    <w:t>(5.60)</w:t>
                  </w:r>
                </w:p>
              </w:tc>
              <w:tc>
                <w:tcPr>
                  <w:tcW w:w="1279" w:type="dxa"/>
                  <w:shd w:val="clear" w:color="auto" w:fill="auto"/>
                </w:tcPr>
                <w:p w:rsidR="00900F01" w:rsidRDefault="00900F01" w:rsidP="00AE6796">
                  <w:pPr>
                    <w:jc w:val="center"/>
                  </w:pPr>
                  <w:r w:rsidRPr="009E7843">
                    <w:t>18.72</w:t>
                  </w:r>
                </w:p>
                <w:p w:rsidR="00900F01" w:rsidRPr="009E7843" w:rsidRDefault="00900F01" w:rsidP="00AE6796">
                  <w:pPr>
                    <w:jc w:val="center"/>
                  </w:pPr>
                  <w:r w:rsidRPr="009E7843">
                    <w:t>(4.27)</w:t>
                  </w:r>
                </w:p>
              </w:tc>
              <w:tc>
                <w:tcPr>
                  <w:tcW w:w="2049" w:type="dxa"/>
                  <w:shd w:val="clear" w:color="auto" w:fill="auto"/>
                </w:tcPr>
                <w:p w:rsidR="00900F01" w:rsidRDefault="00900F01" w:rsidP="00AE6796">
                  <w:pPr>
                    <w:jc w:val="center"/>
                  </w:pPr>
                  <w:r>
                    <w:t>1.84</w:t>
                  </w:r>
                </w:p>
                <w:p w:rsidR="00900F01" w:rsidRPr="00B527C8" w:rsidRDefault="00900F01" w:rsidP="00AE6796">
                  <w:pPr>
                    <w:jc w:val="center"/>
                  </w:pPr>
                  <w:r>
                    <w:t>[-1.69, 5.37]</w:t>
                  </w:r>
                </w:p>
              </w:tc>
            </w:tr>
            <w:tr w:rsidR="00900F01" w:rsidRPr="00B527C8" w:rsidTr="00AE6796">
              <w:trPr>
                <w:trHeight w:val="546"/>
              </w:trPr>
              <w:tc>
                <w:tcPr>
                  <w:tcW w:w="2088" w:type="dxa"/>
                  <w:shd w:val="clear" w:color="auto" w:fill="auto"/>
                </w:tcPr>
                <w:p w:rsidR="00900F01" w:rsidRPr="00B527C8" w:rsidRDefault="00900F01" w:rsidP="00AE6796">
                  <w:r w:rsidRPr="00B527C8">
                    <w:t>Agreeableness</w:t>
                  </w:r>
                </w:p>
              </w:tc>
              <w:tc>
                <w:tcPr>
                  <w:tcW w:w="1960" w:type="dxa"/>
                  <w:shd w:val="clear" w:color="auto" w:fill="auto"/>
                </w:tcPr>
                <w:p w:rsidR="00900F01" w:rsidRDefault="00900F01" w:rsidP="00AE6796">
                  <w:pPr>
                    <w:jc w:val="center"/>
                  </w:pPr>
                  <w:r w:rsidRPr="009E7843">
                    <w:t>26.94</w:t>
                  </w:r>
                </w:p>
                <w:p w:rsidR="00900F01" w:rsidRPr="009E7843" w:rsidRDefault="00900F01" w:rsidP="00AE6796">
                  <w:pPr>
                    <w:jc w:val="center"/>
                  </w:pPr>
                  <w:r w:rsidRPr="009E7843">
                    <w:t>(4.77)</w:t>
                  </w:r>
                </w:p>
              </w:tc>
              <w:tc>
                <w:tcPr>
                  <w:tcW w:w="1279" w:type="dxa"/>
                  <w:shd w:val="clear" w:color="auto" w:fill="auto"/>
                </w:tcPr>
                <w:p w:rsidR="00900F01" w:rsidRDefault="00900F01" w:rsidP="00AE6796">
                  <w:pPr>
                    <w:jc w:val="center"/>
                  </w:pPr>
                  <w:r w:rsidRPr="009E7843">
                    <w:t>25.78</w:t>
                  </w:r>
                </w:p>
                <w:p w:rsidR="00900F01" w:rsidRPr="009E7843" w:rsidRDefault="00900F01" w:rsidP="00AE6796">
                  <w:pPr>
                    <w:jc w:val="center"/>
                  </w:pPr>
                  <w:r w:rsidRPr="009E7843">
                    <w:t>(5.17)</w:t>
                  </w:r>
                </w:p>
              </w:tc>
              <w:tc>
                <w:tcPr>
                  <w:tcW w:w="2049" w:type="dxa"/>
                  <w:shd w:val="clear" w:color="auto" w:fill="auto"/>
                </w:tcPr>
                <w:p w:rsidR="00900F01" w:rsidRDefault="00900F01" w:rsidP="00AE6796">
                  <w:pPr>
                    <w:jc w:val="center"/>
                  </w:pPr>
                  <w:r>
                    <w:t>1.16</w:t>
                  </w:r>
                </w:p>
                <w:p w:rsidR="00900F01" w:rsidRPr="00B527C8" w:rsidRDefault="00900F01" w:rsidP="00AE6796">
                  <w:pPr>
                    <w:jc w:val="center"/>
                  </w:pPr>
                  <w:r>
                    <w:t>[-2.31, 4.63]</w:t>
                  </w:r>
                </w:p>
              </w:tc>
            </w:tr>
            <w:tr w:rsidR="00900F01" w:rsidRPr="00B527C8" w:rsidTr="00AE6796">
              <w:trPr>
                <w:trHeight w:val="559"/>
              </w:trPr>
              <w:tc>
                <w:tcPr>
                  <w:tcW w:w="2088" w:type="dxa"/>
                  <w:shd w:val="clear" w:color="auto" w:fill="auto"/>
                </w:tcPr>
                <w:p w:rsidR="00900F01" w:rsidRPr="00B527C8" w:rsidRDefault="00900F01" w:rsidP="00AE6796">
                  <w:r w:rsidRPr="00B527C8">
                    <w:t>Conscientiousness</w:t>
                  </w:r>
                </w:p>
              </w:tc>
              <w:tc>
                <w:tcPr>
                  <w:tcW w:w="1960" w:type="dxa"/>
                  <w:shd w:val="clear" w:color="auto" w:fill="auto"/>
                </w:tcPr>
                <w:p w:rsidR="00900F01" w:rsidRDefault="00900F01" w:rsidP="00AE6796">
                  <w:pPr>
                    <w:jc w:val="center"/>
                  </w:pPr>
                  <w:r w:rsidRPr="009E7843">
                    <w:t>26.44</w:t>
                  </w:r>
                </w:p>
                <w:p w:rsidR="00900F01" w:rsidRPr="009E7843" w:rsidRDefault="00900F01" w:rsidP="00AE6796">
                  <w:pPr>
                    <w:jc w:val="center"/>
                  </w:pPr>
                  <w:r w:rsidRPr="009E7843">
                    <w:t>(3.95)</w:t>
                  </w:r>
                </w:p>
              </w:tc>
              <w:tc>
                <w:tcPr>
                  <w:tcW w:w="1279" w:type="dxa"/>
                  <w:shd w:val="clear" w:color="auto" w:fill="auto"/>
                </w:tcPr>
                <w:p w:rsidR="00900F01" w:rsidRDefault="00900F01" w:rsidP="00AE6796">
                  <w:pPr>
                    <w:jc w:val="center"/>
                  </w:pPr>
                  <w:r w:rsidRPr="009E7843">
                    <w:t>26.28</w:t>
                  </w:r>
                </w:p>
                <w:p w:rsidR="00900F01" w:rsidRPr="009E7843" w:rsidRDefault="00900F01" w:rsidP="00AE6796">
                  <w:pPr>
                    <w:jc w:val="center"/>
                  </w:pPr>
                  <w:r w:rsidRPr="009E7843">
                    <w:t>(4.46)</w:t>
                  </w:r>
                </w:p>
              </w:tc>
              <w:tc>
                <w:tcPr>
                  <w:tcW w:w="2049" w:type="dxa"/>
                  <w:shd w:val="clear" w:color="auto" w:fill="auto"/>
                </w:tcPr>
                <w:p w:rsidR="00900F01" w:rsidRDefault="00900F01" w:rsidP="00AE6796">
                  <w:pPr>
                    <w:jc w:val="center"/>
                  </w:pPr>
                  <w:r>
                    <w:t>0.16</w:t>
                  </w:r>
                </w:p>
                <w:p w:rsidR="00900F01" w:rsidRPr="00B527C8" w:rsidRDefault="00900F01" w:rsidP="00AE6796">
                  <w:pPr>
                    <w:jc w:val="center"/>
                  </w:pPr>
                  <w:r>
                    <w:t>[-2.78, 3.10]</w:t>
                  </w:r>
                </w:p>
              </w:tc>
            </w:tr>
            <w:tr w:rsidR="00900F01" w:rsidRPr="00B527C8" w:rsidTr="00AE6796">
              <w:trPr>
                <w:trHeight w:val="546"/>
              </w:trPr>
              <w:tc>
                <w:tcPr>
                  <w:tcW w:w="2088" w:type="dxa"/>
                  <w:shd w:val="clear" w:color="auto" w:fill="auto"/>
                </w:tcPr>
                <w:p w:rsidR="00900F01" w:rsidRPr="00B527C8" w:rsidRDefault="00900F01" w:rsidP="00AE6796">
                  <w:r w:rsidRPr="00B527C8">
                    <w:t>Neuroticism</w:t>
                  </w:r>
                </w:p>
              </w:tc>
              <w:tc>
                <w:tcPr>
                  <w:tcW w:w="1960" w:type="dxa"/>
                  <w:shd w:val="clear" w:color="auto" w:fill="auto"/>
                </w:tcPr>
                <w:p w:rsidR="00900F01" w:rsidRDefault="00900F01" w:rsidP="00AE6796">
                  <w:pPr>
                    <w:jc w:val="center"/>
                  </w:pPr>
                  <w:r w:rsidRPr="009E7843">
                    <w:t>10.69</w:t>
                  </w:r>
                </w:p>
                <w:p w:rsidR="00900F01" w:rsidRPr="009E7843" w:rsidRDefault="00900F01" w:rsidP="00AE6796">
                  <w:pPr>
                    <w:jc w:val="center"/>
                  </w:pPr>
                  <w:r w:rsidRPr="009E7843">
                    <w:t>(5.56)</w:t>
                  </w:r>
                </w:p>
              </w:tc>
              <w:tc>
                <w:tcPr>
                  <w:tcW w:w="1279" w:type="dxa"/>
                  <w:shd w:val="clear" w:color="auto" w:fill="auto"/>
                </w:tcPr>
                <w:p w:rsidR="00900F01" w:rsidRDefault="00900F01" w:rsidP="00AE6796">
                  <w:pPr>
                    <w:jc w:val="center"/>
                  </w:pPr>
                  <w:r w:rsidRPr="009E7843">
                    <w:t>15.28</w:t>
                  </w:r>
                </w:p>
                <w:p w:rsidR="00900F01" w:rsidRPr="009E7843" w:rsidRDefault="00900F01" w:rsidP="00AE6796">
                  <w:pPr>
                    <w:jc w:val="center"/>
                  </w:pPr>
                  <w:r w:rsidRPr="009E7843">
                    <w:t>(5.90)</w:t>
                  </w:r>
                </w:p>
              </w:tc>
              <w:tc>
                <w:tcPr>
                  <w:tcW w:w="2049" w:type="dxa"/>
                  <w:shd w:val="clear" w:color="auto" w:fill="auto"/>
                </w:tcPr>
                <w:p w:rsidR="00900F01" w:rsidRDefault="00900F01" w:rsidP="00AE6796">
                  <w:pPr>
                    <w:jc w:val="center"/>
                  </w:pPr>
                  <w:r>
                    <w:t>-4.59**</w:t>
                  </w:r>
                </w:p>
                <w:p w:rsidR="00900F01" w:rsidRPr="00B527C8" w:rsidRDefault="00900F01" w:rsidP="00AE6796">
                  <w:pPr>
                    <w:jc w:val="center"/>
                  </w:pPr>
                  <w:r>
                    <w:t>[-8.60, -0.59]</w:t>
                  </w:r>
                </w:p>
              </w:tc>
            </w:tr>
            <w:tr w:rsidR="00900F01" w:rsidRPr="00B527C8" w:rsidTr="00AE6796">
              <w:trPr>
                <w:trHeight w:val="546"/>
              </w:trPr>
              <w:tc>
                <w:tcPr>
                  <w:tcW w:w="2088" w:type="dxa"/>
                  <w:shd w:val="clear" w:color="auto" w:fill="auto"/>
                </w:tcPr>
                <w:p w:rsidR="00900F01" w:rsidRPr="00B527C8" w:rsidRDefault="00900F01" w:rsidP="00AE6796">
                  <w:r w:rsidRPr="00B527C8">
                    <w:t>Openness</w:t>
                  </w:r>
                </w:p>
              </w:tc>
              <w:tc>
                <w:tcPr>
                  <w:tcW w:w="1960" w:type="dxa"/>
                  <w:shd w:val="clear" w:color="auto" w:fill="auto"/>
                </w:tcPr>
                <w:p w:rsidR="00900F01" w:rsidRDefault="00900F01" w:rsidP="00AE6796">
                  <w:pPr>
                    <w:jc w:val="center"/>
                  </w:pPr>
                  <w:r w:rsidRPr="002903B9">
                    <w:t>28.50</w:t>
                  </w:r>
                </w:p>
                <w:p w:rsidR="00900F01" w:rsidRPr="002903B9" w:rsidRDefault="00900F01" w:rsidP="00AE6796">
                  <w:pPr>
                    <w:jc w:val="center"/>
                  </w:pPr>
                  <w:r w:rsidRPr="002903B9">
                    <w:t>(4.00)</w:t>
                  </w:r>
                </w:p>
              </w:tc>
              <w:tc>
                <w:tcPr>
                  <w:tcW w:w="1279" w:type="dxa"/>
                  <w:shd w:val="clear" w:color="auto" w:fill="auto"/>
                </w:tcPr>
                <w:p w:rsidR="00900F01" w:rsidRDefault="00900F01" w:rsidP="00AE6796">
                  <w:pPr>
                    <w:jc w:val="center"/>
                  </w:pPr>
                  <w:r w:rsidRPr="002903B9">
                    <w:t>27.44</w:t>
                  </w:r>
                </w:p>
                <w:p w:rsidR="00900F01" w:rsidRPr="002903B9" w:rsidRDefault="00900F01" w:rsidP="00AE6796">
                  <w:pPr>
                    <w:jc w:val="center"/>
                  </w:pPr>
                  <w:r w:rsidRPr="002903B9">
                    <w:t>(2.97)</w:t>
                  </w:r>
                </w:p>
              </w:tc>
              <w:tc>
                <w:tcPr>
                  <w:tcW w:w="2049" w:type="dxa"/>
                  <w:shd w:val="clear" w:color="auto" w:fill="auto"/>
                </w:tcPr>
                <w:p w:rsidR="00900F01" w:rsidRDefault="00900F01" w:rsidP="00AE6796">
                  <w:pPr>
                    <w:jc w:val="center"/>
                  </w:pPr>
                  <w:r>
                    <w:t>1.06</w:t>
                  </w:r>
                </w:p>
                <w:p w:rsidR="00900F01" w:rsidRPr="00B527C8" w:rsidRDefault="00900F01" w:rsidP="00AE6796">
                  <w:pPr>
                    <w:jc w:val="center"/>
                  </w:pPr>
                  <w:r>
                    <w:t>[-1.5, 3.56]</w:t>
                  </w:r>
                </w:p>
              </w:tc>
            </w:tr>
            <w:tr w:rsidR="00900F01" w:rsidRPr="00B527C8" w:rsidTr="00AE6796">
              <w:trPr>
                <w:trHeight w:val="288"/>
              </w:trPr>
              <w:tc>
                <w:tcPr>
                  <w:tcW w:w="2088" w:type="dxa"/>
                  <w:shd w:val="clear" w:color="auto" w:fill="auto"/>
                </w:tcPr>
                <w:p w:rsidR="00900F01" w:rsidRDefault="00900F01" w:rsidP="00AE6796">
                  <w:r>
                    <w:t>Pro-firing</w:t>
                  </w:r>
                  <w:r w:rsidRPr="00B527C8">
                    <w:rPr>
                      <w:sz w:val="20"/>
                      <w:vertAlign w:val="superscript"/>
                    </w:rPr>
                    <w:t>†</w:t>
                  </w:r>
                </w:p>
              </w:tc>
              <w:tc>
                <w:tcPr>
                  <w:tcW w:w="1960" w:type="dxa"/>
                  <w:shd w:val="clear" w:color="auto" w:fill="auto"/>
                </w:tcPr>
                <w:p w:rsidR="00900F01" w:rsidRDefault="00900F01" w:rsidP="00AE6796">
                  <w:pPr>
                    <w:jc w:val="center"/>
                  </w:pPr>
                  <w:r w:rsidRPr="002903B9">
                    <w:t>0.19</w:t>
                  </w:r>
                </w:p>
                <w:p w:rsidR="00900F01" w:rsidRPr="002903B9" w:rsidRDefault="00900F01" w:rsidP="00AE6796">
                  <w:pPr>
                    <w:jc w:val="center"/>
                  </w:pPr>
                  <w:r w:rsidRPr="002903B9">
                    <w:t>(0.40)</w:t>
                  </w:r>
                </w:p>
              </w:tc>
              <w:tc>
                <w:tcPr>
                  <w:tcW w:w="1279" w:type="dxa"/>
                  <w:shd w:val="clear" w:color="auto" w:fill="auto"/>
                </w:tcPr>
                <w:p w:rsidR="00900F01" w:rsidRDefault="00900F01" w:rsidP="00AE6796">
                  <w:pPr>
                    <w:jc w:val="center"/>
                  </w:pPr>
                  <w:r w:rsidRPr="002903B9">
                    <w:t>0.28</w:t>
                  </w:r>
                </w:p>
                <w:p w:rsidR="00900F01" w:rsidRPr="002903B9" w:rsidRDefault="00900F01" w:rsidP="00AE6796">
                  <w:pPr>
                    <w:jc w:val="center"/>
                  </w:pPr>
                  <w:r w:rsidRPr="002903B9">
                    <w:t>(0.46)</w:t>
                  </w:r>
                </w:p>
              </w:tc>
              <w:tc>
                <w:tcPr>
                  <w:tcW w:w="2049" w:type="dxa"/>
                  <w:shd w:val="clear" w:color="auto" w:fill="auto"/>
                </w:tcPr>
                <w:p w:rsidR="00900F01" w:rsidRDefault="00900F01" w:rsidP="00AE6796">
                  <w:pPr>
                    <w:jc w:val="center"/>
                  </w:pPr>
                  <w:r>
                    <w:t>-0.09</w:t>
                  </w:r>
                </w:p>
                <w:p w:rsidR="00900F01" w:rsidRPr="00B527C8" w:rsidRDefault="00900F01" w:rsidP="00AE6796">
                  <w:pPr>
                    <w:jc w:val="center"/>
                  </w:pPr>
                  <w:r>
                    <w:t>[-0.51, 0.26]</w:t>
                  </w:r>
                </w:p>
              </w:tc>
            </w:tr>
            <w:tr w:rsidR="00900F01" w:rsidRPr="00B527C8" w:rsidTr="00AE6796">
              <w:trPr>
                <w:trHeight w:val="288"/>
              </w:trPr>
              <w:tc>
                <w:tcPr>
                  <w:tcW w:w="2088" w:type="dxa"/>
                  <w:tcBorders>
                    <w:bottom w:val="single" w:sz="4" w:space="0" w:color="auto"/>
                  </w:tcBorders>
                  <w:shd w:val="clear" w:color="auto" w:fill="auto"/>
                </w:tcPr>
                <w:p w:rsidR="00900F01" w:rsidRPr="00B527C8" w:rsidRDefault="00900F01" w:rsidP="00AE6796">
                  <w:r>
                    <w:t>Observations</w:t>
                  </w:r>
                </w:p>
              </w:tc>
              <w:tc>
                <w:tcPr>
                  <w:tcW w:w="1960" w:type="dxa"/>
                  <w:tcBorders>
                    <w:bottom w:val="single" w:sz="4" w:space="0" w:color="auto"/>
                  </w:tcBorders>
                  <w:shd w:val="clear" w:color="auto" w:fill="auto"/>
                </w:tcPr>
                <w:p w:rsidR="00900F01" w:rsidRPr="00B527C8" w:rsidRDefault="00900F01" w:rsidP="00AE6796">
                  <w:pPr>
                    <w:jc w:val="center"/>
                  </w:pPr>
                  <w:r>
                    <w:t>16</w:t>
                  </w:r>
                </w:p>
              </w:tc>
              <w:tc>
                <w:tcPr>
                  <w:tcW w:w="1279" w:type="dxa"/>
                  <w:tcBorders>
                    <w:bottom w:val="single" w:sz="4" w:space="0" w:color="auto"/>
                  </w:tcBorders>
                  <w:shd w:val="clear" w:color="auto" w:fill="auto"/>
                </w:tcPr>
                <w:p w:rsidR="00900F01" w:rsidRPr="00B527C8" w:rsidRDefault="00900F01" w:rsidP="00AE6796">
                  <w:pPr>
                    <w:jc w:val="center"/>
                  </w:pPr>
                  <w:r>
                    <w:t>18</w:t>
                  </w:r>
                </w:p>
              </w:tc>
              <w:tc>
                <w:tcPr>
                  <w:tcW w:w="2049" w:type="dxa"/>
                  <w:tcBorders>
                    <w:bottom w:val="single" w:sz="4" w:space="0" w:color="auto"/>
                  </w:tcBorders>
                  <w:shd w:val="clear" w:color="auto" w:fill="auto"/>
                </w:tcPr>
                <w:p w:rsidR="00900F01" w:rsidRPr="00B527C8" w:rsidRDefault="00900F01" w:rsidP="00AE6796">
                  <w:pPr>
                    <w:jc w:val="center"/>
                  </w:pPr>
                </w:p>
              </w:tc>
            </w:tr>
            <w:tr w:rsidR="00900F01" w:rsidRPr="00B527C8" w:rsidTr="00AE6796">
              <w:trPr>
                <w:trHeight w:val="479"/>
              </w:trPr>
              <w:tc>
                <w:tcPr>
                  <w:tcW w:w="7376" w:type="dxa"/>
                  <w:gridSpan w:val="4"/>
                  <w:tcBorders>
                    <w:top w:val="single" w:sz="4" w:space="0" w:color="auto"/>
                  </w:tcBorders>
                  <w:shd w:val="clear" w:color="auto" w:fill="auto"/>
                </w:tcPr>
                <w:p w:rsidR="00900F01" w:rsidRPr="00B527C8" w:rsidRDefault="00900F01" w:rsidP="00AE6796">
                  <w:pPr>
                    <w:rPr>
                      <w:sz w:val="20"/>
                    </w:rPr>
                  </w:pPr>
                  <w:r w:rsidRPr="00B527C8">
                    <w:rPr>
                      <w:sz w:val="20"/>
                    </w:rPr>
                    <w:t>** entries indicate significant t-tests, p &lt; 0.05, * if using a p &lt; 0.10 benchmark</w:t>
                  </w:r>
                </w:p>
                <w:p w:rsidR="00900F01" w:rsidRPr="00443B87" w:rsidRDefault="00900F01" w:rsidP="00AE6796">
                  <w:pPr>
                    <w:rPr>
                      <w:sz w:val="20"/>
                    </w:rPr>
                  </w:pPr>
                  <w:r w:rsidRPr="00B527C8">
                    <w:rPr>
                      <w:sz w:val="20"/>
                      <w:vertAlign w:val="superscript"/>
                    </w:rPr>
                    <w:t>†</w:t>
                  </w:r>
                  <w:r w:rsidRPr="00B527C8">
                    <w:rPr>
                      <w:sz w:val="20"/>
                    </w:rPr>
                    <w:t>Difference in</w:t>
                  </w:r>
                  <w:r>
                    <w:rPr>
                      <w:sz w:val="20"/>
                    </w:rPr>
                    <w:t xml:space="preserve"> proportions test used for Male and Pro-Firing</w:t>
                  </w:r>
                </w:p>
              </w:tc>
            </w:tr>
          </w:tbl>
          <w:p w:rsidR="00900F01" w:rsidRPr="006D3D00" w:rsidRDefault="00900F01" w:rsidP="00AE6796">
            <w:pPr>
              <w:rPr>
                <w:b/>
              </w:rPr>
            </w:pPr>
          </w:p>
        </w:tc>
      </w:tr>
    </w:tbl>
    <w:p w:rsidR="00900F01" w:rsidRPr="00ED1A3C" w:rsidRDefault="00900F01" w:rsidP="00900F01">
      <w:pPr>
        <w:spacing w:line="360" w:lineRule="auto"/>
      </w:pPr>
    </w:p>
    <w:p w:rsidR="00900F01" w:rsidRDefault="00900F01" w:rsidP="00900F01">
      <w:pPr>
        <w:spacing w:line="480" w:lineRule="auto"/>
      </w:pPr>
      <w:r>
        <w:tab/>
        <w:t xml:space="preserve">We also examined whether the main result of the analysis, defection among treated and control participants, changed when the pilot data were removed. </w:t>
      </w:r>
      <w:r w:rsidR="00297734">
        <w:t>Fig A replicates Fig 3</w:t>
      </w:r>
      <w:r>
        <w:t xml:space="preserve"> in the main text, but with the pilot subjects in the treatment group removed. The results remain largely the same. The total treatment group participants that did not ch</w:t>
      </w:r>
      <w:bookmarkStart w:id="0" w:name="_GoBack"/>
      <w:bookmarkEnd w:id="0"/>
      <w:r>
        <w:t xml:space="preserve">ange their opinion is slightly larger and the group that changed their opinion is slightly smaller (a five percent difference). These changes, combined with the smaller n, does reduce the p-value for the chi-square test to 0.10. Thus, we are reasonably confident that our findings hold even when pilot data are excluded from the analysis of the main effect. </w:t>
      </w:r>
    </w:p>
    <w:p w:rsidR="00900F01" w:rsidRPr="00C44E00" w:rsidRDefault="00900F01" w:rsidP="00900F01">
      <w:pPr>
        <w:pStyle w:val="Caption"/>
        <w:keepNext/>
        <w:rPr>
          <w:sz w:val="24"/>
          <w:szCs w:val="24"/>
        </w:rPr>
      </w:pPr>
      <w:r>
        <w:rPr>
          <w:sz w:val="24"/>
          <w:szCs w:val="24"/>
        </w:rPr>
        <w:lastRenderedPageBreak/>
        <w:t>Fig</w:t>
      </w:r>
      <w:r w:rsidRPr="00C44E00">
        <w:rPr>
          <w:sz w:val="24"/>
          <w:szCs w:val="24"/>
        </w:rPr>
        <w:t xml:space="preserve"> </w:t>
      </w:r>
      <w:r w:rsidR="00B148DA">
        <w:rPr>
          <w:sz w:val="24"/>
          <w:szCs w:val="24"/>
        </w:rPr>
        <w:t>A</w:t>
      </w:r>
      <w:r w:rsidR="004E6E90">
        <w:rPr>
          <w:sz w:val="24"/>
          <w:szCs w:val="24"/>
        </w:rPr>
        <w:t>.</w:t>
      </w:r>
      <w:r w:rsidRPr="00C44E00">
        <w:rPr>
          <w:sz w:val="24"/>
          <w:szCs w:val="24"/>
        </w:rPr>
        <w:t xml:space="preserve"> Discrete change of opinion in control and treatment groups, excluding pilot participants</w:t>
      </w:r>
    </w:p>
    <w:p w:rsidR="004E5FB3" w:rsidRDefault="004E5FB3"/>
    <w:p w:rsidR="00772FFB" w:rsidRDefault="00772FFB" w:rsidP="00772FFB">
      <w:pPr>
        <w:jc w:val="center"/>
      </w:pPr>
      <w:r>
        <w:rPr>
          <w:noProof/>
        </w:rPr>
        <w:drawing>
          <wp:inline distT="0" distB="0" distL="0" distR="0">
            <wp:extent cx="5276850" cy="527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S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6850" cy="5276850"/>
                    </a:xfrm>
                    <a:prstGeom prst="rect">
                      <a:avLst/>
                    </a:prstGeom>
                  </pic:spPr>
                </pic:pic>
              </a:graphicData>
            </a:graphic>
          </wp:inline>
        </w:drawing>
      </w:r>
    </w:p>
    <w:sectPr w:rsidR="0077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01"/>
    <w:rsid w:val="00297734"/>
    <w:rsid w:val="003F587B"/>
    <w:rsid w:val="004E5FB3"/>
    <w:rsid w:val="004E6E90"/>
    <w:rsid w:val="00772FFB"/>
    <w:rsid w:val="00900F01"/>
    <w:rsid w:val="00B148DA"/>
    <w:rsid w:val="00CC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0E2C"/>
  <w15:chartTrackingRefBased/>
  <w15:docId w15:val="{B09E21A1-2D9C-4EC7-BB47-62DCB4F2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00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5485</Characters>
  <Application>Microsoft Office Word</Application>
  <DocSecurity>0</DocSecurity>
  <Lines>45</Lines>
  <Paragraphs>12</Paragraphs>
  <ScaleCrop>false</ScaleCrop>
  <Company>Penn State University</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Mallinson</dc:creator>
  <cp:keywords/>
  <dc:description/>
  <cp:lastModifiedBy>Daniel Mallinson</cp:lastModifiedBy>
  <cp:revision>6</cp:revision>
  <dcterms:created xsi:type="dcterms:W3CDTF">2018-02-21T15:58:00Z</dcterms:created>
  <dcterms:modified xsi:type="dcterms:W3CDTF">2018-04-18T18:57:00Z</dcterms:modified>
</cp:coreProperties>
</file>