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5"/>
        <w:gridCol w:w="2790"/>
        <w:gridCol w:w="4855"/>
      </w:tblGrid>
      <w:tr w:rsidR="00D75860" w:rsidRPr="00275B0B" w:rsidTr="00275B0B">
        <w:trPr>
          <w:trHeight w:val="350"/>
        </w:trPr>
        <w:tc>
          <w:tcPr>
            <w:tcW w:w="1705" w:type="dxa"/>
          </w:tcPr>
          <w:p w:rsidR="00D75860" w:rsidRPr="00275B0B" w:rsidRDefault="00D75860">
            <w:pPr>
              <w:rPr>
                <w:rFonts w:ascii="Times New Roman" w:hAnsi="Times New Roman" w:cs="Times New Roman"/>
                <w:b/>
                <w:sz w:val="20"/>
                <w:szCs w:val="20"/>
              </w:rPr>
            </w:pPr>
            <w:r w:rsidRPr="00275B0B">
              <w:rPr>
                <w:rFonts w:ascii="Times New Roman" w:hAnsi="Times New Roman" w:cs="Times New Roman"/>
                <w:b/>
                <w:sz w:val="20"/>
                <w:szCs w:val="20"/>
              </w:rPr>
              <w:t>Study title</w:t>
            </w:r>
          </w:p>
        </w:tc>
        <w:tc>
          <w:tcPr>
            <w:tcW w:w="2790" w:type="dxa"/>
          </w:tcPr>
          <w:p w:rsidR="00D75860" w:rsidRPr="00275B0B" w:rsidRDefault="00D75860">
            <w:pPr>
              <w:rPr>
                <w:rFonts w:ascii="Times New Roman" w:hAnsi="Times New Roman" w:cs="Times New Roman"/>
                <w:b/>
                <w:sz w:val="20"/>
                <w:szCs w:val="20"/>
              </w:rPr>
            </w:pPr>
            <w:r w:rsidRPr="00275B0B">
              <w:rPr>
                <w:rFonts w:ascii="Times New Roman" w:hAnsi="Times New Roman" w:cs="Times New Roman"/>
                <w:b/>
                <w:sz w:val="20"/>
                <w:szCs w:val="20"/>
              </w:rPr>
              <w:t>Category/Importance</w:t>
            </w:r>
            <w:r w:rsidR="00A54CFB" w:rsidRPr="00275B0B">
              <w:rPr>
                <w:rFonts w:ascii="Times New Roman" w:hAnsi="Times New Roman" w:cs="Times New Roman"/>
                <w:b/>
                <w:sz w:val="20"/>
                <w:szCs w:val="20"/>
                <w:vertAlign w:val="superscript"/>
              </w:rPr>
              <w:t>†</w:t>
            </w:r>
          </w:p>
        </w:tc>
        <w:tc>
          <w:tcPr>
            <w:tcW w:w="4855" w:type="dxa"/>
          </w:tcPr>
          <w:p w:rsidR="00D75860" w:rsidRPr="00275B0B" w:rsidRDefault="00D75860">
            <w:pPr>
              <w:rPr>
                <w:rFonts w:ascii="Times New Roman" w:hAnsi="Times New Roman" w:cs="Times New Roman"/>
                <w:b/>
                <w:sz w:val="20"/>
                <w:szCs w:val="20"/>
              </w:rPr>
            </w:pPr>
            <w:r w:rsidRPr="00275B0B">
              <w:rPr>
                <w:rFonts w:ascii="Times New Roman" w:hAnsi="Times New Roman" w:cs="Times New Roman"/>
                <w:b/>
                <w:sz w:val="20"/>
                <w:szCs w:val="20"/>
              </w:rPr>
              <w:t>Excerpt</w:t>
            </w:r>
          </w:p>
        </w:tc>
      </w:tr>
      <w:tr w:rsidR="00D75860" w:rsidRPr="00275B0B" w:rsidTr="00427780">
        <w:trPr>
          <w:trHeight w:val="1700"/>
        </w:trPr>
        <w:tc>
          <w:tcPr>
            <w:tcW w:w="1705" w:type="dxa"/>
          </w:tcPr>
          <w:p w:rsidR="00D75860" w:rsidRDefault="00DB6D47">
            <w:pPr>
              <w:rPr>
                <w:rFonts w:ascii="Times New Roman" w:hAnsi="Times New Roman" w:cs="Times New Roman"/>
                <w:sz w:val="20"/>
                <w:szCs w:val="20"/>
              </w:rPr>
            </w:pPr>
            <w:proofErr w:type="spellStart"/>
            <w:r w:rsidRPr="00275B0B">
              <w:rPr>
                <w:rFonts w:ascii="Times New Roman" w:hAnsi="Times New Roman" w:cs="Times New Roman"/>
                <w:sz w:val="20"/>
                <w:szCs w:val="20"/>
              </w:rPr>
              <w:t>Korda</w:t>
            </w:r>
            <w:proofErr w:type="spellEnd"/>
            <w:r w:rsidRPr="00275B0B">
              <w:rPr>
                <w:rFonts w:ascii="Times New Roman" w:hAnsi="Times New Roman" w:cs="Times New Roman"/>
                <w:sz w:val="20"/>
                <w:szCs w:val="20"/>
              </w:rPr>
              <w:t>, Clements, &amp; Dixon (2011)</w:t>
            </w:r>
          </w:p>
          <w:p w:rsidR="006E30F9" w:rsidRDefault="006E30F9">
            <w:pPr>
              <w:rPr>
                <w:rFonts w:ascii="Times New Roman" w:hAnsi="Times New Roman" w:cs="Times New Roman"/>
                <w:sz w:val="20"/>
                <w:szCs w:val="20"/>
              </w:rPr>
            </w:pPr>
          </w:p>
          <w:p w:rsidR="006E30F9" w:rsidRPr="00275B0B" w:rsidRDefault="006E30F9">
            <w:pPr>
              <w:rPr>
                <w:rFonts w:ascii="Times New Roman" w:hAnsi="Times New Roman" w:cs="Times New Roman"/>
                <w:sz w:val="20"/>
                <w:szCs w:val="20"/>
              </w:rPr>
            </w:pPr>
          </w:p>
        </w:tc>
        <w:tc>
          <w:tcPr>
            <w:tcW w:w="2790" w:type="dxa"/>
          </w:tcPr>
          <w:p w:rsidR="00D75860" w:rsidRPr="00275B0B" w:rsidRDefault="002C38B3" w:rsidP="007547DA">
            <w:pPr>
              <w:rPr>
                <w:rFonts w:ascii="Times New Roman" w:hAnsi="Times New Roman" w:cs="Times New Roman"/>
                <w:sz w:val="20"/>
                <w:szCs w:val="20"/>
              </w:rPr>
            </w:pPr>
            <w:r w:rsidRPr="00275B0B">
              <w:rPr>
                <w:rFonts w:ascii="Times New Roman" w:hAnsi="Times New Roman" w:cs="Times New Roman"/>
                <w:sz w:val="20"/>
                <w:szCs w:val="20"/>
              </w:rPr>
              <w:t>Type 3</w:t>
            </w:r>
            <w:r w:rsidR="008C2B01" w:rsidRPr="00275B0B">
              <w:rPr>
                <w:rFonts w:ascii="Times New Roman" w:hAnsi="Times New Roman" w:cs="Times New Roman"/>
                <w:sz w:val="20"/>
                <w:szCs w:val="20"/>
              </w:rPr>
              <w:t xml:space="preserve"> technology. </w:t>
            </w:r>
            <w:r w:rsidR="004E4F3C" w:rsidRPr="00275B0B">
              <w:rPr>
                <w:rFonts w:ascii="Times New Roman" w:hAnsi="Times New Roman" w:cs="Times New Roman"/>
                <w:sz w:val="20"/>
                <w:szCs w:val="20"/>
              </w:rPr>
              <w:t>T</w:t>
            </w:r>
            <w:r w:rsidR="008C2B01" w:rsidRPr="00275B0B">
              <w:rPr>
                <w:rFonts w:ascii="Times New Roman" w:hAnsi="Times New Roman" w:cs="Times New Roman"/>
                <w:sz w:val="20"/>
                <w:szCs w:val="20"/>
              </w:rPr>
              <w:t xml:space="preserve">echnologies accessed and used by way of a gatekeeper present inequalities following the diffusion </w:t>
            </w:r>
            <w:r w:rsidR="004E4F3C" w:rsidRPr="00275B0B">
              <w:rPr>
                <w:rFonts w:ascii="Times New Roman" w:hAnsi="Times New Roman" w:cs="Times New Roman"/>
                <w:sz w:val="20"/>
                <w:szCs w:val="20"/>
              </w:rPr>
              <w:t xml:space="preserve">of innovations </w:t>
            </w:r>
            <w:r w:rsidR="008C2B01" w:rsidRPr="00275B0B">
              <w:rPr>
                <w:rFonts w:ascii="Times New Roman" w:hAnsi="Times New Roman" w:cs="Times New Roman"/>
                <w:sz w:val="20"/>
                <w:szCs w:val="20"/>
              </w:rPr>
              <w:t xml:space="preserve">theory. </w:t>
            </w:r>
            <w:r w:rsidR="007547DA" w:rsidRPr="00275B0B">
              <w:rPr>
                <w:rFonts w:ascii="Times New Roman" w:hAnsi="Times New Roman" w:cs="Times New Roman"/>
                <w:sz w:val="20"/>
                <w:szCs w:val="20"/>
              </w:rPr>
              <w:t>Here when SES is used to measure inequalities.</w:t>
            </w:r>
          </w:p>
        </w:tc>
        <w:tc>
          <w:tcPr>
            <w:tcW w:w="4855" w:type="dxa"/>
          </w:tcPr>
          <w:p w:rsidR="00D75860" w:rsidRPr="00275B0B" w:rsidRDefault="008C2B01">
            <w:pPr>
              <w:rPr>
                <w:rFonts w:ascii="Times New Roman" w:hAnsi="Times New Roman" w:cs="Times New Roman"/>
                <w:sz w:val="20"/>
                <w:szCs w:val="20"/>
              </w:rPr>
            </w:pPr>
            <w:r w:rsidRPr="00275B0B">
              <w:rPr>
                <w:rFonts w:ascii="Times New Roman" w:hAnsi="Times New Roman" w:cs="Times New Roman"/>
                <w:sz w:val="20"/>
                <w:szCs w:val="20"/>
              </w:rPr>
              <w:t>“</w:t>
            </w:r>
            <w:r w:rsidR="00DB6D47" w:rsidRPr="00275B0B">
              <w:rPr>
                <w:rFonts w:ascii="Times New Roman" w:hAnsi="Times New Roman" w:cs="Times New Roman"/>
                <w:sz w:val="20"/>
                <w:szCs w:val="20"/>
              </w:rPr>
              <w:t>The SES inequalities in diffusion observed for angiography and CABG are consistent with the lag in diffusion/inverse inequality hypothesis – for both these procedures, rates peaked earlier in the hig</w:t>
            </w:r>
            <w:r w:rsidRPr="00275B0B">
              <w:rPr>
                <w:rFonts w:ascii="Times New Roman" w:hAnsi="Times New Roman" w:cs="Times New Roman"/>
                <w:sz w:val="20"/>
                <w:szCs w:val="20"/>
              </w:rPr>
              <w:t>h</w:t>
            </w:r>
            <w:r w:rsidR="00DB6D47" w:rsidRPr="00275B0B">
              <w:rPr>
                <w:rFonts w:ascii="Times New Roman" w:hAnsi="Times New Roman" w:cs="Times New Roman"/>
                <w:sz w:val="20"/>
                <w:szCs w:val="20"/>
              </w:rPr>
              <w:t>er SES patients than the lower SES patients resulting in inequalities</w:t>
            </w:r>
            <w:r w:rsidRPr="00275B0B">
              <w:rPr>
                <w:rFonts w:ascii="Times New Roman" w:hAnsi="Times New Roman" w:cs="Times New Roman"/>
                <w:sz w:val="20"/>
                <w:szCs w:val="20"/>
              </w:rPr>
              <w:t>, which then disappeared over time…”</w:t>
            </w:r>
          </w:p>
        </w:tc>
      </w:tr>
      <w:tr w:rsidR="00D75860" w:rsidRPr="00275B0B" w:rsidTr="00427780">
        <w:trPr>
          <w:trHeight w:val="2240"/>
        </w:trPr>
        <w:tc>
          <w:tcPr>
            <w:tcW w:w="1705" w:type="dxa"/>
          </w:tcPr>
          <w:p w:rsidR="00D75860" w:rsidRDefault="00A54CFB">
            <w:pPr>
              <w:rPr>
                <w:rFonts w:ascii="Times New Roman" w:hAnsi="Times New Roman" w:cs="Times New Roman"/>
                <w:sz w:val="20"/>
                <w:szCs w:val="20"/>
              </w:rPr>
            </w:pPr>
            <w:r w:rsidRPr="00275B0B">
              <w:rPr>
                <w:rFonts w:ascii="Times New Roman" w:hAnsi="Times New Roman" w:cs="Times New Roman"/>
                <w:sz w:val="20"/>
                <w:szCs w:val="20"/>
              </w:rPr>
              <w:t xml:space="preserve">Rubin, </w:t>
            </w:r>
            <w:proofErr w:type="spellStart"/>
            <w:r w:rsidRPr="00275B0B">
              <w:rPr>
                <w:rFonts w:ascii="Times New Roman" w:hAnsi="Times New Roman" w:cs="Times New Roman"/>
                <w:sz w:val="20"/>
                <w:szCs w:val="20"/>
              </w:rPr>
              <w:t>Colen</w:t>
            </w:r>
            <w:proofErr w:type="spellEnd"/>
            <w:r w:rsidRPr="00275B0B">
              <w:rPr>
                <w:rFonts w:ascii="Times New Roman" w:hAnsi="Times New Roman" w:cs="Times New Roman"/>
                <w:sz w:val="20"/>
                <w:szCs w:val="20"/>
              </w:rPr>
              <w:t>, &amp; Link (2010)</w:t>
            </w:r>
          </w:p>
          <w:p w:rsidR="006E30F9" w:rsidRDefault="006E30F9">
            <w:pPr>
              <w:rPr>
                <w:rFonts w:ascii="Times New Roman" w:hAnsi="Times New Roman" w:cs="Times New Roman"/>
                <w:sz w:val="20"/>
                <w:szCs w:val="20"/>
              </w:rPr>
            </w:pPr>
          </w:p>
          <w:p w:rsidR="006E30F9" w:rsidRPr="00275B0B" w:rsidRDefault="006E30F9">
            <w:pPr>
              <w:rPr>
                <w:rFonts w:ascii="Times New Roman" w:hAnsi="Times New Roman" w:cs="Times New Roman"/>
                <w:sz w:val="20"/>
                <w:szCs w:val="20"/>
              </w:rPr>
            </w:pPr>
          </w:p>
        </w:tc>
        <w:tc>
          <w:tcPr>
            <w:tcW w:w="2790" w:type="dxa"/>
          </w:tcPr>
          <w:p w:rsidR="00D75860" w:rsidRPr="00275B0B" w:rsidRDefault="002C38B3" w:rsidP="00545A17">
            <w:pPr>
              <w:rPr>
                <w:rFonts w:ascii="Times New Roman" w:hAnsi="Times New Roman" w:cs="Times New Roman"/>
                <w:sz w:val="20"/>
                <w:szCs w:val="20"/>
              </w:rPr>
            </w:pPr>
            <w:r w:rsidRPr="00275B0B">
              <w:rPr>
                <w:rFonts w:ascii="Times New Roman" w:hAnsi="Times New Roman" w:cs="Times New Roman"/>
                <w:sz w:val="20"/>
                <w:szCs w:val="20"/>
              </w:rPr>
              <w:t>Type 2</w:t>
            </w:r>
            <w:r w:rsidR="00A54CFB" w:rsidRPr="00275B0B">
              <w:rPr>
                <w:rFonts w:ascii="Times New Roman" w:hAnsi="Times New Roman" w:cs="Times New Roman"/>
                <w:sz w:val="20"/>
                <w:szCs w:val="20"/>
              </w:rPr>
              <w:t xml:space="preserve"> technology. </w:t>
            </w:r>
            <w:r w:rsidR="004E4F3C" w:rsidRPr="00275B0B">
              <w:rPr>
                <w:rFonts w:ascii="Times New Roman" w:hAnsi="Times New Roman" w:cs="Times New Roman"/>
                <w:sz w:val="20"/>
                <w:szCs w:val="20"/>
              </w:rPr>
              <w:t xml:space="preserve">Technologies accessed by way of a gatekeeper but used by end-users present inequalities following fundamental cause theory (and similar to diffusion of innovations theory). </w:t>
            </w:r>
            <w:r w:rsidR="007547DA" w:rsidRPr="00275B0B">
              <w:rPr>
                <w:rFonts w:ascii="Times New Roman" w:hAnsi="Times New Roman" w:cs="Times New Roman"/>
                <w:sz w:val="20"/>
                <w:szCs w:val="20"/>
              </w:rPr>
              <w:t xml:space="preserve">Here when race and </w:t>
            </w:r>
            <w:r w:rsidR="00545A17" w:rsidRPr="00275B0B">
              <w:rPr>
                <w:rFonts w:ascii="Times New Roman" w:hAnsi="Times New Roman" w:cs="Times New Roman"/>
                <w:sz w:val="20"/>
                <w:szCs w:val="20"/>
              </w:rPr>
              <w:t>SES</w:t>
            </w:r>
            <w:r w:rsidR="007547DA" w:rsidRPr="00275B0B">
              <w:rPr>
                <w:rFonts w:ascii="Times New Roman" w:hAnsi="Times New Roman" w:cs="Times New Roman"/>
                <w:sz w:val="20"/>
                <w:szCs w:val="20"/>
              </w:rPr>
              <w:t xml:space="preserve"> are used to measure inequalities. </w:t>
            </w:r>
          </w:p>
        </w:tc>
        <w:tc>
          <w:tcPr>
            <w:tcW w:w="4855" w:type="dxa"/>
          </w:tcPr>
          <w:p w:rsidR="00D75860" w:rsidRPr="00275B0B" w:rsidRDefault="008C2B01" w:rsidP="008C2B01">
            <w:pPr>
              <w:rPr>
                <w:rFonts w:ascii="Times New Roman" w:hAnsi="Times New Roman" w:cs="Times New Roman"/>
                <w:sz w:val="20"/>
                <w:szCs w:val="20"/>
              </w:rPr>
            </w:pPr>
            <w:r w:rsidRPr="00275B0B">
              <w:rPr>
                <w:rFonts w:ascii="Times New Roman" w:hAnsi="Times New Roman" w:cs="Times New Roman"/>
                <w:sz w:val="20"/>
                <w:szCs w:val="20"/>
              </w:rPr>
              <w:t>“The SES–HIV/AIDS mortality association, although present in the pre</w:t>
            </w:r>
            <w:r w:rsidR="00471D29">
              <w:rPr>
                <w:rFonts w:ascii="Times New Roman" w:hAnsi="Times New Roman" w:cs="Times New Roman"/>
                <w:sz w:val="20"/>
                <w:szCs w:val="20"/>
              </w:rPr>
              <w:t xml:space="preserve"> </w:t>
            </w:r>
            <w:r w:rsidRPr="00275B0B">
              <w:rPr>
                <w:rFonts w:ascii="Times New Roman" w:hAnsi="Times New Roman" w:cs="Times New Roman"/>
                <w:sz w:val="20"/>
                <w:szCs w:val="20"/>
              </w:rPr>
              <w:t xml:space="preserve">HAART period, was greater in the </w:t>
            </w:r>
            <w:proofErr w:type="spellStart"/>
            <w:r w:rsidRPr="00275B0B">
              <w:rPr>
                <w:rFonts w:ascii="Times New Roman" w:hAnsi="Times New Roman" w:cs="Times New Roman"/>
                <w:sz w:val="20"/>
                <w:szCs w:val="20"/>
              </w:rPr>
              <w:t>peri</w:t>
            </w:r>
            <w:proofErr w:type="spellEnd"/>
            <w:r w:rsidR="00471D29">
              <w:rPr>
                <w:rFonts w:ascii="Times New Roman" w:hAnsi="Times New Roman" w:cs="Times New Roman"/>
                <w:sz w:val="20"/>
                <w:szCs w:val="20"/>
              </w:rPr>
              <w:t>-</w:t>
            </w:r>
            <w:r w:rsidRPr="00275B0B">
              <w:rPr>
                <w:rFonts w:ascii="Times New Roman" w:hAnsi="Times New Roman" w:cs="Times New Roman"/>
                <w:sz w:val="20"/>
                <w:szCs w:val="20"/>
              </w:rPr>
              <w:t>HAART period and greater still in the post</w:t>
            </w:r>
            <w:r w:rsidR="00471D29">
              <w:rPr>
                <w:rFonts w:ascii="Times New Roman" w:hAnsi="Times New Roman" w:cs="Times New Roman"/>
                <w:sz w:val="20"/>
                <w:szCs w:val="20"/>
              </w:rPr>
              <w:t xml:space="preserve"> </w:t>
            </w:r>
            <w:r w:rsidRPr="00275B0B">
              <w:rPr>
                <w:rFonts w:ascii="Times New Roman" w:hAnsi="Times New Roman" w:cs="Times New Roman"/>
                <w:sz w:val="20"/>
                <w:szCs w:val="20"/>
              </w:rPr>
              <w:t>HAART period, even when race and other factors were controlled…These findings are consistent with fundamental cause theory, which holds that when innovations render a disease more treatable, the benefits of such developments are not evenly distributed.”</w:t>
            </w:r>
          </w:p>
        </w:tc>
      </w:tr>
      <w:tr w:rsidR="00791C90" w:rsidRPr="00275B0B" w:rsidTr="00427780">
        <w:trPr>
          <w:trHeight w:val="2591"/>
        </w:trPr>
        <w:tc>
          <w:tcPr>
            <w:tcW w:w="1705" w:type="dxa"/>
          </w:tcPr>
          <w:p w:rsidR="006E30F9" w:rsidRDefault="00791C90" w:rsidP="00791C90">
            <w:pPr>
              <w:rPr>
                <w:rFonts w:ascii="Times New Roman" w:hAnsi="Times New Roman" w:cs="Times New Roman"/>
                <w:b/>
                <w:color w:val="000000"/>
                <w:sz w:val="20"/>
                <w:szCs w:val="20"/>
              </w:rPr>
            </w:pPr>
            <w:r w:rsidRPr="00275B0B">
              <w:rPr>
                <w:rFonts w:ascii="Times New Roman" w:hAnsi="Times New Roman" w:cs="Times New Roman"/>
                <w:sz w:val="20"/>
                <w:szCs w:val="20"/>
              </w:rPr>
              <w:t>Chang &amp;  Lauderdale (2009)</w:t>
            </w:r>
          </w:p>
          <w:p w:rsidR="006E30F9" w:rsidRDefault="006E30F9" w:rsidP="006E30F9">
            <w:pPr>
              <w:rPr>
                <w:rFonts w:ascii="Times New Roman" w:hAnsi="Times New Roman" w:cs="Times New Roman"/>
                <w:sz w:val="20"/>
                <w:szCs w:val="20"/>
              </w:rPr>
            </w:pPr>
          </w:p>
          <w:p w:rsidR="006E30F9" w:rsidRDefault="006E30F9" w:rsidP="006E30F9">
            <w:pPr>
              <w:rPr>
                <w:rFonts w:ascii="Times New Roman" w:hAnsi="Times New Roman" w:cs="Times New Roman"/>
                <w:sz w:val="20"/>
                <w:szCs w:val="20"/>
              </w:rPr>
            </w:pPr>
          </w:p>
          <w:p w:rsidR="006E30F9" w:rsidRDefault="006E30F9" w:rsidP="006E30F9">
            <w:pPr>
              <w:rPr>
                <w:rFonts w:ascii="Times New Roman" w:hAnsi="Times New Roman" w:cs="Times New Roman"/>
                <w:sz w:val="20"/>
                <w:szCs w:val="20"/>
              </w:rPr>
            </w:pPr>
          </w:p>
          <w:p w:rsidR="00791C90" w:rsidRPr="006E30F9" w:rsidRDefault="00791C90" w:rsidP="006E30F9">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2 technology. Similar conclusions and trends found in Rubin, </w:t>
            </w:r>
            <w:proofErr w:type="spellStart"/>
            <w:r w:rsidRPr="00275B0B">
              <w:rPr>
                <w:rFonts w:ascii="Times New Roman" w:hAnsi="Times New Roman" w:cs="Times New Roman"/>
                <w:sz w:val="20"/>
                <w:szCs w:val="20"/>
              </w:rPr>
              <w:t>Colen</w:t>
            </w:r>
            <w:proofErr w:type="spellEnd"/>
            <w:r w:rsidRPr="00275B0B">
              <w:rPr>
                <w:rFonts w:ascii="Times New Roman" w:hAnsi="Times New Roman" w:cs="Times New Roman"/>
                <w:sz w:val="20"/>
                <w:szCs w:val="20"/>
              </w:rPr>
              <w:t xml:space="preserve">, &amp; Link (2010). </w:t>
            </w:r>
            <w:r w:rsidR="007D7B77" w:rsidRPr="00275B0B">
              <w:rPr>
                <w:rFonts w:ascii="Times New Roman" w:hAnsi="Times New Roman" w:cs="Times New Roman"/>
                <w:sz w:val="20"/>
                <w:szCs w:val="20"/>
              </w:rPr>
              <w:t xml:space="preserve">But here also presenting results highlighting the importance of social conditions influencing the length and strength of the diffusion process. </w:t>
            </w:r>
            <w:r w:rsidRPr="00275B0B">
              <w:rPr>
                <w:rFonts w:ascii="Times New Roman" w:hAnsi="Times New Roman" w:cs="Times New Roman"/>
                <w:sz w:val="20"/>
                <w:szCs w:val="20"/>
              </w:rPr>
              <w:t>Here when income is used to measure inequalities.</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“Income gradients were positive in an era prior to statins, but became negative in the period subsequent to the advent and dissemination of statins. While the more advantaged were once more likely to have high levels of cholesterol and LDL, they are now definitively less likely. Additionally, exploratory analyses suggest that income is positively associated with statin use accounting for clinical need</w:t>
            </w:r>
            <w:r w:rsidR="00B3476A" w:rsidRPr="00275B0B">
              <w:rPr>
                <w:rFonts w:ascii="Times New Roman" w:hAnsi="Times New Roman" w:cs="Times New Roman"/>
                <w:sz w:val="20"/>
                <w:szCs w:val="20"/>
              </w:rPr>
              <w:t>… While resources affect access to technologies, some technologies can also affect resources, lessening the productivity of various health inputs.</w:t>
            </w:r>
            <w:r w:rsidRPr="00275B0B">
              <w:rPr>
                <w:rFonts w:ascii="Times New Roman" w:hAnsi="Times New Roman" w:cs="Times New Roman"/>
                <w:sz w:val="20"/>
                <w:szCs w:val="20"/>
              </w:rPr>
              <w:t>”</w:t>
            </w:r>
          </w:p>
        </w:tc>
      </w:tr>
      <w:tr w:rsidR="00791C90" w:rsidRPr="00275B0B" w:rsidTr="00427780">
        <w:trPr>
          <w:trHeight w:val="1943"/>
        </w:trPr>
        <w:tc>
          <w:tcPr>
            <w:tcW w:w="1705" w:type="dxa"/>
          </w:tcPr>
          <w:p w:rsidR="00791C90" w:rsidRDefault="00791C90" w:rsidP="00791C90">
            <w:pPr>
              <w:rPr>
                <w:rFonts w:ascii="Times New Roman" w:hAnsi="Times New Roman" w:cs="Times New Roman"/>
                <w:sz w:val="20"/>
                <w:szCs w:val="20"/>
              </w:rPr>
            </w:pPr>
            <w:proofErr w:type="spellStart"/>
            <w:r w:rsidRPr="00275B0B">
              <w:rPr>
                <w:rFonts w:ascii="Times New Roman" w:hAnsi="Times New Roman" w:cs="Times New Roman"/>
                <w:sz w:val="20"/>
                <w:szCs w:val="20"/>
              </w:rPr>
              <w:t>Ohl</w:t>
            </w:r>
            <w:proofErr w:type="spellEnd"/>
            <w:r w:rsidRPr="00275B0B">
              <w:rPr>
                <w:rFonts w:ascii="Times New Roman" w:hAnsi="Times New Roman" w:cs="Times New Roman"/>
                <w:sz w:val="20"/>
                <w:szCs w:val="20"/>
              </w:rPr>
              <w:t xml:space="preserve"> et al. (2013)</w:t>
            </w:r>
          </w:p>
          <w:p w:rsidR="006E30F9" w:rsidRDefault="006E30F9" w:rsidP="00791C90">
            <w:pPr>
              <w:rPr>
                <w:rFonts w:ascii="Times New Roman" w:hAnsi="Times New Roman" w:cs="Times New Roman"/>
                <w:sz w:val="20"/>
                <w:szCs w:val="20"/>
              </w:rPr>
            </w:pPr>
          </w:p>
          <w:p w:rsidR="006E30F9" w:rsidRPr="00275B0B" w:rsidRDefault="006E30F9" w:rsidP="00791C90">
            <w:pPr>
              <w:rPr>
                <w:rFonts w:ascii="Times New Roman" w:hAnsi="Times New Roman" w:cs="Times New Roman"/>
                <w:b/>
                <w:color w:val="000000"/>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2 technology. Although increases in inequality followed adoption curves (diffusion of innovations theory), these inequalities reduced over time. Here when inequalities are measured using geographical variables. </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“Urban veterans were more likely than rural to be early adopters of </w:t>
            </w:r>
            <w:proofErr w:type="spellStart"/>
            <w:r w:rsidRPr="00275B0B">
              <w:rPr>
                <w:rFonts w:ascii="Times New Roman" w:hAnsi="Times New Roman" w:cs="Times New Roman"/>
                <w:sz w:val="20"/>
                <w:szCs w:val="20"/>
              </w:rPr>
              <w:t>raltegravir</w:t>
            </w:r>
            <w:proofErr w:type="spellEnd"/>
            <w:r w:rsidRPr="00275B0B">
              <w:rPr>
                <w:rFonts w:ascii="Times New Roman" w:hAnsi="Times New Roman" w:cs="Times New Roman"/>
                <w:sz w:val="20"/>
                <w:szCs w:val="20"/>
              </w:rPr>
              <w:t xml:space="preserve">, although absolute differences in adoption had slightly narrowed by two years after </w:t>
            </w:r>
            <w:proofErr w:type="spellStart"/>
            <w:r w:rsidRPr="00275B0B">
              <w:rPr>
                <w:rFonts w:ascii="Times New Roman" w:hAnsi="Times New Roman" w:cs="Times New Roman"/>
                <w:sz w:val="20"/>
                <w:szCs w:val="20"/>
              </w:rPr>
              <w:t>raltegravir</w:t>
            </w:r>
            <w:proofErr w:type="spellEnd"/>
            <w:r w:rsidRPr="00275B0B">
              <w:rPr>
                <w:rFonts w:ascii="Times New Roman" w:hAnsi="Times New Roman" w:cs="Times New Roman"/>
                <w:sz w:val="20"/>
                <w:szCs w:val="20"/>
              </w:rPr>
              <w:t xml:space="preserve"> approval.”</w:t>
            </w:r>
          </w:p>
        </w:tc>
      </w:tr>
      <w:tr w:rsidR="00791C90" w:rsidRPr="00275B0B" w:rsidTr="00427780">
        <w:trPr>
          <w:trHeight w:val="1979"/>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Stanley, </w:t>
            </w:r>
            <w:proofErr w:type="spellStart"/>
            <w:r w:rsidRPr="00275B0B">
              <w:rPr>
                <w:rFonts w:ascii="Times New Roman" w:hAnsi="Times New Roman" w:cs="Times New Roman"/>
                <w:sz w:val="20"/>
                <w:szCs w:val="20"/>
              </w:rPr>
              <w:t>DeLia</w:t>
            </w:r>
            <w:proofErr w:type="spellEnd"/>
            <w:r w:rsidRPr="00275B0B">
              <w:rPr>
                <w:rFonts w:ascii="Times New Roman" w:hAnsi="Times New Roman" w:cs="Times New Roman"/>
                <w:sz w:val="20"/>
                <w:szCs w:val="20"/>
              </w:rPr>
              <w:t>, &amp; Cantor (2007)</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3 technology presenting similar trends as </w:t>
            </w:r>
            <w:proofErr w:type="spellStart"/>
            <w:r w:rsidRPr="00275B0B">
              <w:rPr>
                <w:rFonts w:ascii="Times New Roman" w:hAnsi="Times New Roman" w:cs="Times New Roman"/>
                <w:sz w:val="20"/>
                <w:szCs w:val="20"/>
              </w:rPr>
              <w:t>Ohl</w:t>
            </w:r>
            <w:proofErr w:type="spellEnd"/>
            <w:r w:rsidRPr="00275B0B">
              <w:rPr>
                <w:rFonts w:ascii="Times New Roman" w:hAnsi="Times New Roman" w:cs="Times New Roman"/>
                <w:sz w:val="20"/>
                <w:szCs w:val="20"/>
              </w:rPr>
              <w:t xml:space="preserve"> et al (2013). Here also when race and SES are used to measure inequalities.</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“This study finds that the use of ICD therapy among</w:t>
            </w:r>
          </w:p>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black adults (ages .18) at risk for SCD was consistently lower relative to nonblack, at-risk adults from 1996-2001… Rates of ICD use grew for blacks and others between</w:t>
            </w:r>
            <w:r w:rsidR="002709AF">
              <w:rPr>
                <w:rFonts w:ascii="Times New Roman" w:hAnsi="Times New Roman" w:cs="Times New Roman"/>
                <w:sz w:val="20"/>
                <w:szCs w:val="20"/>
              </w:rPr>
              <w:t xml:space="preserve"> </w:t>
            </w:r>
            <w:bookmarkStart w:id="0" w:name="_GoBack"/>
            <w:bookmarkEnd w:id="0"/>
            <w:r w:rsidRPr="00275B0B">
              <w:rPr>
                <w:rFonts w:ascii="Times New Roman" w:hAnsi="Times New Roman" w:cs="Times New Roman"/>
                <w:sz w:val="20"/>
                <w:szCs w:val="20"/>
              </w:rPr>
              <w:t>the early (1996-1998) and later (1999-2001) years of the study, with faster growth occurring within the black population.”</w:t>
            </w:r>
          </w:p>
        </w:tc>
      </w:tr>
      <w:tr w:rsidR="00791C90" w:rsidRPr="00275B0B" w:rsidTr="00534648">
        <w:trPr>
          <w:trHeight w:val="530"/>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Goldman &amp;  </w:t>
            </w:r>
            <w:proofErr w:type="spellStart"/>
            <w:r w:rsidRPr="00275B0B">
              <w:rPr>
                <w:rFonts w:ascii="Times New Roman" w:hAnsi="Times New Roman" w:cs="Times New Roman"/>
                <w:sz w:val="20"/>
                <w:szCs w:val="20"/>
              </w:rPr>
              <w:t>Lakdawalla</w:t>
            </w:r>
            <w:proofErr w:type="spellEnd"/>
            <w:r w:rsidRPr="00275B0B">
              <w:rPr>
                <w:rFonts w:ascii="Times New Roman" w:hAnsi="Times New Roman" w:cs="Times New Roman"/>
                <w:sz w:val="20"/>
                <w:szCs w:val="20"/>
              </w:rPr>
              <w:t xml:space="preserve"> (2005)</w:t>
            </w:r>
          </w:p>
          <w:p w:rsidR="006E30F9" w:rsidRDefault="006E30F9" w:rsidP="00791C90">
            <w:pPr>
              <w:rPr>
                <w:rFonts w:ascii="Times New Roman" w:hAnsi="Times New Roman" w:cs="Times New Roman"/>
                <w:sz w:val="20"/>
                <w:szCs w:val="20"/>
              </w:rPr>
            </w:pPr>
          </w:p>
          <w:p w:rsidR="006E30F9" w:rsidRPr="00275B0B" w:rsidRDefault="006E30F9"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Various type 2 technologies. Illustrate both increases and decreases in disparities based on the way in which the technology is used by end-users. Here with education as a measure of inequality. </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“Simply by improving the productivity of healthcare, new technologies can widen disparities across socioeconomic groups. However, new treatments that simplify the production of health and reduce the importance of patient effort work in the opposite direction…complex new treatments for HIV appear to have increased disparities among HIV+ individuals, while pharmaceutical breakthroughs in the treatment of </w:t>
            </w:r>
            <w:r w:rsidRPr="00275B0B">
              <w:rPr>
                <w:rFonts w:ascii="Times New Roman" w:hAnsi="Times New Roman" w:cs="Times New Roman"/>
                <w:sz w:val="20"/>
                <w:szCs w:val="20"/>
              </w:rPr>
              <w:lastRenderedPageBreak/>
              <w:t xml:space="preserve">hypertension made self-management less important and coincided with a contraction in disparities…”  </w:t>
            </w:r>
          </w:p>
        </w:tc>
      </w:tr>
      <w:tr w:rsidR="00791C90" w:rsidRPr="00275B0B" w:rsidTr="00427780">
        <w:trPr>
          <w:trHeight w:val="1700"/>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lastRenderedPageBreak/>
              <w:t xml:space="preserve">Baum, Newman, &amp;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xml:space="preserve"> (2014)</w:t>
            </w:r>
          </w:p>
          <w:p w:rsidR="006E30F9" w:rsidRDefault="006E30F9" w:rsidP="00791C90">
            <w:pPr>
              <w:rPr>
                <w:rFonts w:ascii="Times New Roman" w:hAnsi="Times New Roman" w:cs="Times New Roman"/>
                <w:sz w:val="20"/>
                <w:szCs w:val="20"/>
              </w:rPr>
            </w:pPr>
          </w:p>
          <w:p w:rsidR="006E30F9" w:rsidRPr="00275B0B" w:rsidRDefault="006E30F9"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Type 1 technologies. Individual socio-economic resources can have a significant impact on the way technologies are used by end-users even when access is secured. Here with race and SES as a measure of inequality.</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color w:val="2A2A2A"/>
                <w:sz w:val="20"/>
                <w:szCs w:val="20"/>
                <w:shd w:val="clear" w:color="auto" w:fill="FFFFFF"/>
              </w:rPr>
              <w:t>“The educational opportunities to acquire fundamental literacy also shape health literacy, which therefore in turn affects people's ability to improve their health status and health outcomes. This disadvantage is compounded because digital literacy is increasingly a pre-requisite for health service delivery and access to health information.”</w:t>
            </w:r>
          </w:p>
        </w:tc>
      </w:tr>
      <w:tr w:rsidR="00791C90" w:rsidRPr="00275B0B" w:rsidTr="00427780">
        <w:trPr>
          <w:trHeight w:val="2420"/>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Newman,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&amp; Baum (2012)</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Type 1 technologies</w:t>
            </w:r>
            <w:r w:rsidR="00BE35C8" w:rsidRPr="00275B0B">
              <w:rPr>
                <w:rFonts w:ascii="Times New Roman" w:hAnsi="Times New Roman" w:cs="Times New Roman"/>
                <w:sz w:val="20"/>
                <w:szCs w:val="20"/>
              </w:rPr>
              <w:t>.</w:t>
            </w:r>
            <w:r w:rsidRPr="00275B0B">
              <w:rPr>
                <w:rFonts w:ascii="Times New Roman" w:hAnsi="Times New Roman" w:cs="Times New Roman"/>
                <w:sz w:val="20"/>
                <w:szCs w:val="20"/>
              </w:rPr>
              <w:t xml:space="preserve"> Similar trends to those presented in Baum, Newman, &amp;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xml:space="preserve"> (2014). Here with SES as a measure of inequality. </w:t>
            </w:r>
          </w:p>
        </w:tc>
        <w:tc>
          <w:tcPr>
            <w:tcW w:w="4855"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“Despite the almost universal ownership of mobile phones, many in our study perceived they had insufficient income to make mobile calls, limiting mobiles as a reliable communication option. For example, until 1800 numbers become free from mobile phones, services could consider how to support mobile </w:t>
            </w:r>
            <w:proofErr w:type="spellStart"/>
            <w:r w:rsidRPr="00275B0B">
              <w:rPr>
                <w:rFonts w:ascii="Times New Roman" w:hAnsi="Times New Roman" w:cs="Times New Roman"/>
                <w:sz w:val="20"/>
                <w:szCs w:val="20"/>
              </w:rPr>
              <w:t>freecalling</w:t>
            </w:r>
            <w:proofErr w:type="spellEnd"/>
            <w:r w:rsidRPr="00275B0B">
              <w:rPr>
                <w:rFonts w:ascii="Times New Roman" w:hAnsi="Times New Roman" w:cs="Times New Roman"/>
                <w:sz w:val="20"/>
                <w:szCs w:val="20"/>
              </w:rPr>
              <w:t xml:space="preserve"> such that a 1800 Smoking </w:t>
            </w:r>
            <w:proofErr w:type="spellStart"/>
            <w:r w:rsidRPr="00275B0B">
              <w:rPr>
                <w:rFonts w:ascii="Times New Roman" w:hAnsi="Times New Roman" w:cs="Times New Roman"/>
                <w:sz w:val="20"/>
                <w:szCs w:val="20"/>
              </w:rPr>
              <w:t>Quitline</w:t>
            </w:r>
            <w:proofErr w:type="spellEnd"/>
            <w:r w:rsidRPr="00275B0B">
              <w:rPr>
                <w:rFonts w:ascii="Times New Roman" w:hAnsi="Times New Roman" w:cs="Times New Roman"/>
                <w:sz w:val="20"/>
                <w:szCs w:val="20"/>
              </w:rPr>
              <w:t>, for example, is affordable for the mobile-only population. Otherwise, such strategies will disproportionately affect lower SES groups, who are more likely to smoke.”</w:t>
            </w:r>
          </w:p>
        </w:tc>
      </w:tr>
      <w:tr w:rsidR="00791C90" w:rsidRPr="00275B0B" w:rsidTr="00427780">
        <w:trPr>
          <w:trHeight w:val="1736"/>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Gonzales, Ems, &amp; Suri (2016)</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1 technology. Similar trends to those presented in Baum, Newman, &amp;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xml:space="preserve"> (2014) and Newman,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&amp; Baum (2012). Here with income as a measure of inequality.</w:t>
            </w:r>
          </w:p>
        </w:tc>
        <w:tc>
          <w:tcPr>
            <w:tcW w:w="4855" w:type="dxa"/>
          </w:tcPr>
          <w:p w:rsidR="00791C90" w:rsidRPr="00275B0B" w:rsidRDefault="003C471B" w:rsidP="00791C90">
            <w:pPr>
              <w:rPr>
                <w:rFonts w:ascii="Times New Roman" w:hAnsi="Times New Roman" w:cs="Times New Roman"/>
                <w:sz w:val="20"/>
                <w:szCs w:val="20"/>
              </w:rPr>
            </w:pPr>
            <w:r>
              <w:rPr>
                <w:rFonts w:ascii="Times New Roman" w:hAnsi="Times New Roman" w:cs="Times New Roman"/>
                <w:sz w:val="20"/>
                <w:szCs w:val="20"/>
              </w:rPr>
              <w:t>“</w:t>
            </w:r>
            <w:r w:rsidR="00791C90" w:rsidRPr="00275B0B">
              <w:rPr>
                <w:rFonts w:ascii="Times New Roman" w:hAnsi="Times New Roman" w:cs="Times New Roman"/>
                <w:sz w:val="20"/>
                <w:szCs w:val="20"/>
              </w:rPr>
              <w:t>These findings support technology maintenance predictions that low-income populations struggle to maintain digital access after ownership and public availability of new technologies are realized.</w:t>
            </w:r>
            <w:r>
              <w:rPr>
                <w:rFonts w:ascii="Times New Roman" w:hAnsi="Times New Roman" w:cs="Times New Roman"/>
                <w:sz w:val="20"/>
                <w:szCs w:val="20"/>
              </w:rPr>
              <w:t>”</w:t>
            </w:r>
          </w:p>
        </w:tc>
      </w:tr>
      <w:tr w:rsidR="00791C90" w:rsidRPr="00275B0B" w:rsidTr="00427780">
        <w:trPr>
          <w:trHeight w:val="2186"/>
        </w:trPr>
        <w:tc>
          <w:tcPr>
            <w:tcW w:w="1705" w:type="dxa"/>
          </w:tcPr>
          <w:p w:rsidR="00791C90"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Perez et al. (2016)</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1 technology. Similar trends to those presented in Baum, Newman, &amp;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xml:space="preserve"> (2014), Newman, </w:t>
            </w:r>
            <w:proofErr w:type="spellStart"/>
            <w:r w:rsidRPr="00275B0B">
              <w:rPr>
                <w:rFonts w:ascii="Times New Roman" w:hAnsi="Times New Roman" w:cs="Times New Roman"/>
                <w:sz w:val="20"/>
                <w:szCs w:val="20"/>
              </w:rPr>
              <w:t>Biedrzycki</w:t>
            </w:r>
            <w:proofErr w:type="spellEnd"/>
            <w:r w:rsidRPr="00275B0B">
              <w:rPr>
                <w:rFonts w:ascii="Times New Roman" w:hAnsi="Times New Roman" w:cs="Times New Roman"/>
                <w:sz w:val="20"/>
                <w:szCs w:val="20"/>
              </w:rPr>
              <w:t>, &amp; Baum (2012) and Gonzales, Ems, &amp; Suri (2016). Here with education as a measure of inequality.</w:t>
            </w:r>
          </w:p>
        </w:tc>
        <w:tc>
          <w:tcPr>
            <w:tcW w:w="4855" w:type="dxa"/>
          </w:tcPr>
          <w:p w:rsidR="00791C90" w:rsidRPr="00275B0B" w:rsidRDefault="003C471B" w:rsidP="00791C90">
            <w:pPr>
              <w:rPr>
                <w:rFonts w:ascii="Times New Roman" w:hAnsi="Times New Roman" w:cs="Times New Roman"/>
                <w:sz w:val="20"/>
                <w:szCs w:val="20"/>
              </w:rPr>
            </w:pPr>
            <w:r>
              <w:rPr>
                <w:rFonts w:ascii="Times New Roman" w:hAnsi="Times New Roman" w:cs="Times New Roman"/>
                <w:sz w:val="20"/>
                <w:szCs w:val="20"/>
              </w:rPr>
              <w:t>“</w:t>
            </w:r>
            <w:r w:rsidR="00791C90" w:rsidRPr="00275B0B">
              <w:rPr>
                <w:rFonts w:ascii="Times New Roman" w:hAnsi="Times New Roman" w:cs="Times New Roman"/>
                <w:sz w:val="20"/>
                <w:szCs w:val="20"/>
              </w:rPr>
              <w:t>When confronted with a specific set of symptoms,</w:t>
            </w:r>
          </w:p>
          <w:p w:rsidR="00791C90" w:rsidRPr="00275B0B" w:rsidRDefault="00791C90" w:rsidP="00791C90">
            <w:pPr>
              <w:rPr>
                <w:rFonts w:ascii="Times New Roman" w:hAnsi="Times New Roman" w:cs="Times New Roman"/>
                <w:sz w:val="20"/>
                <w:szCs w:val="20"/>
              </w:rPr>
            </w:pPr>
            <w:r w:rsidRPr="00275B0B">
              <w:rPr>
                <w:rFonts w:ascii="Times New Roman" w:hAnsi="Times New Roman" w:cs="Times New Roman"/>
                <w:sz w:val="20"/>
                <w:szCs w:val="20"/>
              </w:rPr>
              <w:t>higher-SES participants tended to use search strategies that branch out—the exploration of conditions they expect contribute to the symptoms and systematically exploring offshoots of that condition, such as related conditions or symptoms. Lower-SES participants used heuristics to prune the scope of their Internet search—i.e., heuristics to ignore or remove search topics believed to be superfluous to the condition.</w:t>
            </w:r>
            <w:r w:rsidR="003C471B">
              <w:rPr>
                <w:rFonts w:ascii="Times New Roman" w:hAnsi="Times New Roman" w:cs="Times New Roman"/>
                <w:sz w:val="20"/>
                <w:szCs w:val="20"/>
              </w:rPr>
              <w:t>”</w:t>
            </w:r>
          </w:p>
        </w:tc>
      </w:tr>
      <w:tr w:rsidR="00791C90" w:rsidRPr="00275B0B" w:rsidTr="00427780">
        <w:trPr>
          <w:trHeight w:val="1988"/>
        </w:trPr>
        <w:tc>
          <w:tcPr>
            <w:tcW w:w="1705" w:type="dxa"/>
          </w:tcPr>
          <w:p w:rsidR="00791C90" w:rsidRDefault="00791C90" w:rsidP="00791C90">
            <w:pPr>
              <w:rPr>
                <w:rFonts w:ascii="Times New Roman" w:hAnsi="Times New Roman" w:cs="Times New Roman"/>
                <w:sz w:val="20"/>
                <w:szCs w:val="20"/>
              </w:rPr>
            </w:pPr>
            <w:proofErr w:type="spellStart"/>
            <w:r w:rsidRPr="00275B0B">
              <w:rPr>
                <w:rFonts w:ascii="Times New Roman" w:hAnsi="Times New Roman" w:cs="Times New Roman"/>
                <w:sz w:val="20"/>
                <w:szCs w:val="20"/>
              </w:rPr>
              <w:t>Glied</w:t>
            </w:r>
            <w:proofErr w:type="spellEnd"/>
            <w:r w:rsidRPr="00275B0B">
              <w:rPr>
                <w:rFonts w:ascii="Times New Roman" w:hAnsi="Times New Roman" w:cs="Times New Roman"/>
                <w:sz w:val="20"/>
                <w:szCs w:val="20"/>
              </w:rPr>
              <w:t xml:space="preserve"> &amp; </w:t>
            </w:r>
            <w:proofErr w:type="spellStart"/>
            <w:r w:rsidRPr="00275B0B">
              <w:rPr>
                <w:rFonts w:ascii="Times New Roman" w:hAnsi="Times New Roman" w:cs="Times New Roman"/>
                <w:sz w:val="20"/>
                <w:szCs w:val="20"/>
              </w:rPr>
              <w:t>Lleras-Muney</w:t>
            </w:r>
            <w:proofErr w:type="spellEnd"/>
            <w:r w:rsidRPr="00275B0B">
              <w:rPr>
                <w:rFonts w:ascii="Times New Roman" w:hAnsi="Times New Roman" w:cs="Times New Roman"/>
                <w:sz w:val="20"/>
                <w:szCs w:val="20"/>
              </w:rPr>
              <w:t xml:space="preserve"> (2008)</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91C90" w:rsidRPr="00275B0B" w:rsidRDefault="007D7B77"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2 technologies. </w:t>
            </w:r>
            <w:r w:rsidR="00BE35C8" w:rsidRPr="00275B0B">
              <w:rPr>
                <w:rFonts w:ascii="Times New Roman" w:hAnsi="Times New Roman" w:cs="Times New Roman"/>
                <w:sz w:val="20"/>
                <w:szCs w:val="20"/>
              </w:rPr>
              <w:t>Innovative technologies increase education-based social inequalities, s</w:t>
            </w:r>
            <w:r w:rsidRPr="00275B0B">
              <w:rPr>
                <w:rFonts w:ascii="Times New Roman" w:hAnsi="Times New Roman" w:cs="Times New Roman"/>
                <w:sz w:val="20"/>
                <w:szCs w:val="20"/>
              </w:rPr>
              <w:t>upport</w:t>
            </w:r>
            <w:r w:rsidR="00BE35C8" w:rsidRPr="00275B0B">
              <w:rPr>
                <w:rFonts w:ascii="Times New Roman" w:hAnsi="Times New Roman" w:cs="Times New Roman"/>
                <w:sz w:val="20"/>
                <w:szCs w:val="20"/>
              </w:rPr>
              <w:t xml:space="preserve">ing </w:t>
            </w:r>
            <w:r w:rsidRPr="00275B0B">
              <w:rPr>
                <w:rFonts w:ascii="Times New Roman" w:hAnsi="Times New Roman" w:cs="Times New Roman"/>
                <w:sz w:val="20"/>
                <w:szCs w:val="20"/>
              </w:rPr>
              <w:t xml:space="preserve">fundamental cause theory and diffusion of innovations theory. </w:t>
            </w:r>
          </w:p>
        </w:tc>
        <w:tc>
          <w:tcPr>
            <w:tcW w:w="4855" w:type="dxa"/>
          </w:tcPr>
          <w:p w:rsidR="00791C90" w:rsidRPr="00275B0B" w:rsidRDefault="007D7B77" w:rsidP="00791C90">
            <w:pPr>
              <w:rPr>
                <w:rFonts w:ascii="Times New Roman" w:hAnsi="Times New Roman" w:cs="Times New Roman"/>
                <w:sz w:val="20"/>
                <w:szCs w:val="20"/>
              </w:rPr>
            </w:pPr>
            <w:r w:rsidRPr="00275B0B">
              <w:rPr>
                <w:rFonts w:ascii="Times New Roman" w:hAnsi="Times New Roman" w:cs="Times New Roman"/>
                <w:sz w:val="20"/>
                <w:szCs w:val="20"/>
              </w:rPr>
              <w:t>“Studies of technological diffusion in other contexts consistently point to education as a factor that increases the diffusion rate… We relate education gradients in mortality to two measures of health related innovation and show that education gradients become larger for diseases with more innovation. We find that the pattern holds for mortality rates from all causes and for cancer mortality conditional on diagnosis.”</w:t>
            </w:r>
          </w:p>
        </w:tc>
      </w:tr>
      <w:tr w:rsidR="007D7B77" w:rsidRPr="00275B0B" w:rsidTr="00427780">
        <w:trPr>
          <w:trHeight w:val="1493"/>
        </w:trPr>
        <w:tc>
          <w:tcPr>
            <w:tcW w:w="1705" w:type="dxa"/>
          </w:tcPr>
          <w:p w:rsidR="007D7B77" w:rsidRDefault="00BE35C8" w:rsidP="00791C90">
            <w:pPr>
              <w:rPr>
                <w:rFonts w:ascii="Times New Roman" w:hAnsi="Times New Roman" w:cs="Times New Roman"/>
                <w:sz w:val="20"/>
                <w:szCs w:val="20"/>
              </w:rPr>
            </w:pPr>
            <w:proofErr w:type="spellStart"/>
            <w:r w:rsidRPr="00275B0B">
              <w:rPr>
                <w:rFonts w:ascii="Times New Roman" w:hAnsi="Times New Roman" w:cs="Times New Roman"/>
                <w:sz w:val="20"/>
                <w:szCs w:val="20"/>
              </w:rPr>
              <w:t>Zibrik</w:t>
            </w:r>
            <w:proofErr w:type="spellEnd"/>
            <w:r w:rsidRPr="00275B0B">
              <w:rPr>
                <w:rFonts w:ascii="Times New Roman" w:hAnsi="Times New Roman" w:cs="Times New Roman"/>
                <w:sz w:val="20"/>
                <w:szCs w:val="20"/>
              </w:rPr>
              <w:t xml:space="preserve"> et al. (2015)</w:t>
            </w:r>
          </w:p>
          <w:p w:rsidR="003C471B" w:rsidRDefault="003C471B" w:rsidP="00791C90">
            <w:pPr>
              <w:rPr>
                <w:rFonts w:ascii="Times New Roman" w:hAnsi="Times New Roman" w:cs="Times New Roman"/>
                <w:sz w:val="20"/>
                <w:szCs w:val="20"/>
              </w:rPr>
            </w:pPr>
          </w:p>
          <w:p w:rsidR="003C471B" w:rsidRPr="00275B0B" w:rsidRDefault="003C471B" w:rsidP="00791C90">
            <w:pPr>
              <w:rPr>
                <w:rFonts w:ascii="Times New Roman" w:hAnsi="Times New Roman" w:cs="Times New Roman"/>
                <w:sz w:val="20"/>
                <w:szCs w:val="20"/>
              </w:rPr>
            </w:pPr>
          </w:p>
        </w:tc>
        <w:tc>
          <w:tcPr>
            <w:tcW w:w="2790" w:type="dxa"/>
          </w:tcPr>
          <w:p w:rsidR="007D7B77" w:rsidRPr="00275B0B" w:rsidRDefault="00BE35C8" w:rsidP="00E643C6">
            <w:pPr>
              <w:rPr>
                <w:rFonts w:ascii="Times New Roman" w:hAnsi="Times New Roman" w:cs="Times New Roman"/>
                <w:sz w:val="20"/>
                <w:szCs w:val="20"/>
              </w:rPr>
            </w:pPr>
            <w:r w:rsidRPr="00275B0B">
              <w:rPr>
                <w:rFonts w:ascii="Times New Roman" w:hAnsi="Times New Roman" w:cs="Times New Roman"/>
                <w:sz w:val="20"/>
                <w:szCs w:val="20"/>
              </w:rPr>
              <w:t xml:space="preserve">Type 1 technologies. Perceived accessibility may mask the effects of (re)producing inequalities in health through unequal adoption </w:t>
            </w:r>
            <w:r w:rsidR="00E643C6" w:rsidRPr="00275B0B">
              <w:rPr>
                <w:rFonts w:ascii="Times New Roman" w:hAnsi="Times New Roman" w:cs="Times New Roman"/>
                <w:sz w:val="20"/>
                <w:szCs w:val="20"/>
              </w:rPr>
              <w:t xml:space="preserve">processes. </w:t>
            </w:r>
          </w:p>
        </w:tc>
        <w:tc>
          <w:tcPr>
            <w:tcW w:w="4855" w:type="dxa"/>
          </w:tcPr>
          <w:p w:rsidR="007D7B77" w:rsidRPr="00275B0B" w:rsidRDefault="00BE35C8" w:rsidP="00BE35C8">
            <w:pPr>
              <w:rPr>
                <w:rFonts w:ascii="Times New Roman" w:hAnsi="Times New Roman" w:cs="Times New Roman"/>
                <w:sz w:val="20"/>
                <w:szCs w:val="20"/>
              </w:rPr>
            </w:pPr>
            <w:r w:rsidRPr="00275B0B">
              <w:rPr>
                <w:rFonts w:ascii="Times New Roman" w:hAnsi="Times New Roman" w:cs="Times New Roman"/>
                <w:sz w:val="20"/>
                <w:szCs w:val="20"/>
              </w:rPr>
              <w:t>“…eHealth literacy and eHealth uptake are lowest in immigrant groups, ethnic minorities and seniors… While important, accessibility alone does not guarantee utilization; it is essential to consider the way in which culture, social determinants, language, interest and attitudes factor into optimal eHealth resource use.”</w:t>
            </w:r>
          </w:p>
        </w:tc>
      </w:tr>
      <w:tr w:rsidR="007D7B77" w:rsidRPr="00275B0B" w:rsidTr="00545A17">
        <w:tc>
          <w:tcPr>
            <w:tcW w:w="1705" w:type="dxa"/>
          </w:tcPr>
          <w:p w:rsidR="007D7B77" w:rsidRPr="00275B0B" w:rsidRDefault="007D7B77" w:rsidP="00791C90">
            <w:pPr>
              <w:rPr>
                <w:rFonts w:ascii="Times New Roman" w:hAnsi="Times New Roman" w:cs="Times New Roman"/>
                <w:sz w:val="20"/>
                <w:szCs w:val="20"/>
              </w:rPr>
            </w:pPr>
            <w:proofErr w:type="spellStart"/>
            <w:r w:rsidRPr="00275B0B">
              <w:rPr>
                <w:rFonts w:ascii="Times New Roman" w:hAnsi="Times New Roman" w:cs="Times New Roman"/>
                <w:sz w:val="20"/>
                <w:szCs w:val="20"/>
              </w:rPr>
              <w:t>Bekelis</w:t>
            </w:r>
            <w:proofErr w:type="spellEnd"/>
            <w:r w:rsidRPr="00275B0B">
              <w:rPr>
                <w:rFonts w:ascii="Times New Roman" w:hAnsi="Times New Roman" w:cs="Times New Roman"/>
                <w:sz w:val="20"/>
                <w:szCs w:val="20"/>
              </w:rPr>
              <w:t xml:space="preserve">, </w:t>
            </w:r>
            <w:proofErr w:type="spellStart"/>
            <w:r w:rsidRPr="00275B0B">
              <w:rPr>
                <w:rFonts w:ascii="Times New Roman" w:hAnsi="Times New Roman" w:cs="Times New Roman"/>
                <w:sz w:val="20"/>
                <w:szCs w:val="20"/>
              </w:rPr>
              <w:t>Missios</w:t>
            </w:r>
            <w:proofErr w:type="spellEnd"/>
            <w:r w:rsidRPr="00275B0B">
              <w:rPr>
                <w:rFonts w:ascii="Times New Roman" w:hAnsi="Times New Roman" w:cs="Times New Roman"/>
                <w:sz w:val="20"/>
                <w:szCs w:val="20"/>
              </w:rPr>
              <w:t xml:space="preserve"> &amp; </w:t>
            </w:r>
            <w:proofErr w:type="spellStart"/>
            <w:r w:rsidRPr="00275B0B">
              <w:rPr>
                <w:rFonts w:ascii="Times New Roman" w:hAnsi="Times New Roman" w:cs="Times New Roman"/>
                <w:sz w:val="20"/>
                <w:szCs w:val="20"/>
              </w:rPr>
              <w:t>Labropoulos</w:t>
            </w:r>
            <w:proofErr w:type="spellEnd"/>
            <w:r w:rsidRPr="00275B0B">
              <w:rPr>
                <w:rFonts w:ascii="Times New Roman" w:hAnsi="Times New Roman" w:cs="Times New Roman"/>
                <w:sz w:val="20"/>
                <w:szCs w:val="20"/>
              </w:rPr>
              <w:t xml:space="preserve"> (2014</w:t>
            </w:r>
            <w:r w:rsidR="007E4254">
              <w:rPr>
                <w:rFonts w:ascii="Times New Roman" w:hAnsi="Times New Roman" w:cs="Times New Roman"/>
                <w:sz w:val="20"/>
                <w:szCs w:val="20"/>
              </w:rPr>
              <w:t>)</w:t>
            </w:r>
          </w:p>
        </w:tc>
        <w:tc>
          <w:tcPr>
            <w:tcW w:w="2790" w:type="dxa"/>
          </w:tcPr>
          <w:p w:rsidR="007D7B77" w:rsidRPr="00275B0B" w:rsidRDefault="002C0CF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3 technology. Personal financial resources act as a fundamental cause of </w:t>
            </w:r>
            <w:r w:rsidRPr="00275B0B">
              <w:rPr>
                <w:rFonts w:ascii="Times New Roman" w:hAnsi="Times New Roman" w:cs="Times New Roman"/>
                <w:sz w:val="20"/>
                <w:szCs w:val="20"/>
              </w:rPr>
              <w:lastRenderedPageBreak/>
              <w:t xml:space="preserve">increasing inequalities in health by way of unequal adoption and diffusion. </w:t>
            </w:r>
          </w:p>
        </w:tc>
        <w:tc>
          <w:tcPr>
            <w:tcW w:w="4855" w:type="dxa"/>
          </w:tcPr>
          <w:p w:rsidR="007D7B77" w:rsidRPr="00275B0B" w:rsidRDefault="002C0CF0" w:rsidP="00791C90">
            <w:pPr>
              <w:rPr>
                <w:rFonts w:ascii="Times New Roman" w:hAnsi="Times New Roman" w:cs="Times New Roman"/>
                <w:sz w:val="20"/>
                <w:szCs w:val="20"/>
              </w:rPr>
            </w:pPr>
            <w:r w:rsidRPr="00275B0B">
              <w:rPr>
                <w:rFonts w:ascii="Times New Roman" w:hAnsi="Times New Roman" w:cs="Times New Roman"/>
                <w:sz w:val="20"/>
                <w:szCs w:val="20"/>
              </w:rPr>
              <w:lastRenderedPageBreak/>
              <w:t>“At the patient level we demonstrated that increasing income was related to a higher rate of [the novel technology of cerebral aneurysm] coiling.”</w:t>
            </w:r>
          </w:p>
        </w:tc>
      </w:tr>
      <w:tr w:rsidR="007D7B77" w:rsidRPr="00275B0B" w:rsidTr="00427780">
        <w:trPr>
          <w:trHeight w:val="2330"/>
        </w:trPr>
        <w:tc>
          <w:tcPr>
            <w:tcW w:w="1705" w:type="dxa"/>
          </w:tcPr>
          <w:p w:rsidR="007D7B77" w:rsidRDefault="007D7B77" w:rsidP="00791C90">
            <w:pPr>
              <w:rPr>
                <w:rFonts w:ascii="Times New Roman" w:hAnsi="Times New Roman" w:cs="Times New Roman"/>
                <w:sz w:val="20"/>
                <w:szCs w:val="20"/>
              </w:rPr>
            </w:pPr>
            <w:r w:rsidRPr="00275B0B">
              <w:rPr>
                <w:rFonts w:ascii="Times New Roman" w:hAnsi="Times New Roman" w:cs="Times New Roman"/>
                <w:sz w:val="20"/>
                <w:szCs w:val="20"/>
              </w:rPr>
              <w:t>Cheng et al. (2012)</w:t>
            </w:r>
          </w:p>
          <w:p w:rsidR="006E30F9" w:rsidRDefault="006E30F9" w:rsidP="00791C90">
            <w:pPr>
              <w:rPr>
                <w:rFonts w:ascii="Times New Roman" w:hAnsi="Times New Roman" w:cs="Times New Roman"/>
                <w:sz w:val="20"/>
                <w:szCs w:val="20"/>
              </w:rPr>
            </w:pPr>
          </w:p>
          <w:p w:rsidR="006E30F9" w:rsidRPr="00275B0B" w:rsidRDefault="006E30F9" w:rsidP="00791C90">
            <w:pPr>
              <w:rPr>
                <w:rFonts w:ascii="Times New Roman" w:hAnsi="Times New Roman" w:cs="Times New Roman"/>
                <w:sz w:val="20"/>
                <w:szCs w:val="20"/>
              </w:rPr>
            </w:pPr>
          </w:p>
        </w:tc>
        <w:tc>
          <w:tcPr>
            <w:tcW w:w="2790" w:type="dxa"/>
          </w:tcPr>
          <w:p w:rsidR="007D7B77" w:rsidRPr="00275B0B" w:rsidRDefault="002C0CF0" w:rsidP="00791C90">
            <w:pPr>
              <w:rPr>
                <w:rFonts w:ascii="Times New Roman" w:hAnsi="Times New Roman" w:cs="Times New Roman"/>
                <w:sz w:val="20"/>
                <w:szCs w:val="20"/>
              </w:rPr>
            </w:pPr>
            <w:r w:rsidRPr="00275B0B">
              <w:rPr>
                <w:rFonts w:ascii="Times New Roman" w:hAnsi="Times New Roman" w:cs="Times New Roman"/>
                <w:sz w:val="20"/>
                <w:szCs w:val="20"/>
              </w:rPr>
              <w:t xml:space="preserve">Type 3 technology. </w:t>
            </w:r>
            <w:r w:rsidR="00D8446A" w:rsidRPr="00275B0B">
              <w:rPr>
                <w:rFonts w:ascii="Times New Roman" w:hAnsi="Times New Roman" w:cs="Times New Roman"/>
                <w:sz w:val="20"/>
                <w:szCs w:val="20"/>
              </w:rPr>
              <w:t xml:space="preserve">Race (and SES) can have a direct effect on the healthcare resources an individual has access to, which then affect the access to innovative technologies through gatekeepers at these institutions.  </w:t>
            </w:r>
          </w:p>
        </w:tc>
        <w:tc>
          <w:tcPr>
            <w:tcW w:w="4855" w:type="dxa"/>
          </w:tcPr>
          <w:p w:rsidR="007D7B77" w:rsidRPr="00275B0B" w:rsidRDefault="003C471B" w:rsidP="002C0CF0">
            <w:pPr>
              <w:rPr>
                <w:rFonts w:ascii="Times New Roman" w:hAnsi="Times New Roman" w:cs="Times New Roman"/>
                <w:sz w:val="20"/>
                <w:szCs w:val="20"/>
              </w:rPr>
            </w:pPr>
            <w:r>
              <w:rPr>
                <w:rFonts w:ascii="Times New Roman" w:hAnsi="Times New Roman" w:cs="Times New Roman"/>
                <w:sz w:val="20"/>
                <w:szCs w:val="20"/>
              </w:rPr>
              <w:t>“</w:t>
            </w:r>
            <w:r w:rsidR="002C0CF0" w:rsidRPr="00275B0B">
              <w:rPr>
                <w:rFonts w:ascii="Times New Roman" w:hAnsi="Times New Roman" w:cs="Times New Roman"/>
                <w:sz w:val="20"/>
                <w:szCs w:val="20"/>
              </w:rPr>
              <w:t>Patients admitted to non-minority-serving hospitals were more likely to receive carotid artery imaging than patients admitted to minority-serving hospitals…the predicted probabilities of receiving carotid artery imaging were similar between white patients and black patients at non-minority-serving hospitals…However, the predicted probabilities among white patients and black patients at minority-serving hospitals were both significantly lower than white patients at non-minority-serving hospitals.”</w:t>
            </w:r>
          </w:p>
        </w:tc>
      </w:tr>
    </w:tbl>
    <w:p w:rsidR="00431839" w:rsidRPr="00275B0B" w:rsidRDefault="00A54CFB" w:rsidP="00A54CFB">
      <w:pPr>
        <w:rPr>
          <w:rFonts w:ascii="Times New Roman" w:hAnsi="Times New Roman" w:cs="Times New Roman"/>
          <w:sz w:val="20"/>
          <w:szCs w:val="20"/>
        </w:rPr>
      </w:pPr>
      <w:r w:rsidRPr="00275B0B">
        <w:rPr>
          <w:rFonts w:ascii="Times New Roman" w:hAnsi="Times New Roman" w:cs="Times New Roman"/>
          <w:sz w:val="20"/>
          <w:szCs w:val="20"/>
          <w:vertAlign w:val="superscript"/>
        </w:rPr>
        <w:t>†</w:t>
      </w:r>
      <w:r w:rsidRPr="00275B0B">
        <w:rPr>
          <w:rFonts w:ascii="Times New Roman" w:hAnsi="Times New Roman" w:cs="Times New Roman"/>
          <w:sz w:val="20"/>
          <w:szCs w:val="20"/>
        </w:rPr>
        <w:t>More information on the specific technologies found in these studies can be found in Table 3 under “Technological innovation measured or addressed.”</w:t>
      </w:r>
    </w:p>
    <w:sectPr w:rsidR="00431839" w:rsidRPr="00275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EC4"/>
    <w:multiLevelType w:val="hybridMultilevel"/>
    <w:tmpl w:val="A78AE16C"/>
    <w:lvl w:ilvl="0" w:tplc="EEE45AA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CE7BA7"/>
    <w:multiLevelType w:val="hybridMultilevel"/>
    <w:tmpl w:val="744AB648"/>
    <w:lvl w:ilvl="0" w:tplc="47920EF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60"/>
    <w:rsid w:val="00115CFB"/>
    <w:rsid w:val="002709AF"/>
    <w:rsid w:val="00275B0B"/>
    <w:rsid w:val="00287A65"/>
    <w:rsid w:val="002C0CF0"/>
    <w:rsid w:val="002C38B3"/>
    <w:rsid w:val="00386D73"/>
    <w:rsid w:val="003C471B"/>
    <w:rsid w:val="00427780"/>
    <w:rsid w:val="00431839"/>
    <w:rsid w:val="00471D29"/>
    <w:rsid w:val="004E4F3C"/>
    <w:rsid w:val="00534648"/>
    <w:rsid w:val="00545A17"/>
    <w:rsid w:val="006C3FE4"/>
    <w:rsid w:val="006E30F9"/>
    <w:rsid w:val="0072151E"/>
    <w:rsid w:val="007547DA"/>
    <w:rsid w:val="00791C90"/>
    <w:rsid w:val="007D7B77"/>
    <w:rsid w:val="007E4254"/>
    <w:rsid w:val="007E4C34"/>
    <w:rsid w:val="008C2B01"/>
    <w:rsid w:val="00A3716F"/>
    <w:rsid w:val="00A51F23"/>
    <w:rsid w:val="00A54CFB"/>
    <w:rsid w:val="00B3476A"/>
    <w:rsid w:val="00BA6AFC"/>
    <w:rsid w:val="00BE29D1"/>
    <w:rsid w:val="00BE35C8"/>
    <w:rsid w:val="00D6016E"/>
    <w:rsid w:val="00D75860"/>
    <w:rsid w:val="00D8446A"/>
    <w:rsid w:val="00DB6D47"/>
    <w:rsid w:val="00E6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0AA0"/>
  <w15:chartTrackingRefBased/>
  <w15:docId w15:val="{3710973C-7495-4109-B842-126125B0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Weiss</dc:creator>
  <cp:keywords/>
  <dc:description/>
  <cp:lastModifiedBy>Daniel Weiss</cp:lastModifiedBy>
  <cp:revision>17</cp:revision>
  <dcterms:created xsi:type="dcterms:W3CDTF">2018-03-02T10:24:00Z</dcterms:created>
  <dcterms:modified xsi:type="dcterms:W3CDTF">2018-03-21T07:34:00Z</dcterms:modified>
</cp:coreProperties>
</file>