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31" w:rsidRPr="00EA1028" w:rsidRDefault="00FB25C0" w:rsidP="00A42631">
      <w:pPr>
        <w:pStyle w:val="Caption"/>
        <w:keepNext/>
        <w:rPr>
          <w:color w:val="auto"/>
          <w:sz w:val="20"/>
        </w:rPr>
      </w:pPr>
      <w:bookmarkStart w:id="0" w:name="_GoBack"/>
      <w:r w:rsidRPr="00EA1028">
        <w:rPr>
          <w:bCs w:val="0"/>
          <w:iCs/>
          <w:color w:val="auto"/>
          <w:sz w:val="20"/>
        </w:rPr>
        <w:t xml:space="preserve">S5 </w:t>
      </w:r>
      <w:r w:rsidR="00284F4C" w:rsidRPr="00EA1028">
        <w:rPr>
          <w:bCs w:val="0"/>
          <w:iCs/>
          <w:color w:val="auto"/>
          <w:sz w:val="20"/>
        </w:rPr>
        <w:t xml:space="preserve">Table. </w:t>
      </w:r>
      <w:r w:rsidR="00A42631" w:rsidRPr="00EA1028">
        <w:rPr>
          <w:color w:val="auto"/>
          <w:sz w:val="20"/>
        </w:rPr>
        <w:t xml:space="preserve">The distilled quotes, condensed meaning units, codes, sub-categories and categories within the theme of </w:t>
      </w:r>
      <w:r w:rsidR="00A42631" w:rsidRPr="00EA1028">
        <w:rPr>
          <w:i/>
          <w:color w:val="auto"/>
          <w:sz w:val="20"/>
        </w:rPr>
        <w:t>To Succeed.</w:t>
      </w:r>
    </w:p>
    <w:tbl>
      <w:tblPr>
        <w:tblStyle w:val="TableGrid"/>
        <w:tblW w:w="13892" w:type="dxa"/>
        <w:tblLayout w:type="fixed"/>
        <w:tblLook w:val="04A0" w:firstRow="1" w:lastRow="0" w:firstColumn="1" w:lastColumn="0" w:noHBand="0" w:noVBand="1"/>
      </w:tblPr>
      <w:tblGrid>
        <w:gridCol w:w="2805"/>
        <w:gridCol w:w="2863"/>
        <w:gridCol w:w="2605"/>
        <w:gridCol w:w="2806"/>
        <w:gridCol w:w="2806"/>
        <w:gridCol w:w="7"/>
      </w:tblGrid>
      <w:tr w:rsidR="00A42631" w:rsidRPr="00AD4976" w:rsidTr="00A42631">
        <w:tc>
          <w:tcPr>
            <w:tcW w:w="13892" w:type="dxa"/>
            <w:gridSpan w:val="6"/>
          </w:tcPr>
          <w:bookmarkEnd w:id="0"/>
          <w:p w:rsidR="00A42631" w:rsidRPr="00AD4976" w:rsidRDefault="00A42631" w:rsidP="00A4263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t>Theme 3: To Succeed</w:t>
            </w:r>
          </w:p>
        </w:tc>
      </w:tr>
      <w:tr w:rsidR="00A42631" w:rsidRPr="00AD4976" w:rsidTr="00A42631">
        <w:trPr>
          <w:gridAfter w:val="1"/>
          <w:wAfter w:w="7" w:type="dxa"/>
        </w:trPr>
        <w:tc>
          <w:tcPr>
            <w:tcW w:w="2805" w:type="dxa"/>
          </w:tcPr>
          <w:p w:rsidR="00A42631" w:rsidRPr="00AD4976" w:rsidRDefault="00A42631" w:rsidP="00A4263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t>Illustrative quotes</w:t>
            </w:r>
          </w:p>
        </w:tc>
        <w:tc>
          <w:tcPr>
            <w:tcW w:w="2863" w:type="dxa"/>
          </w:tcPr>
          <w:p w:rsidR="00A42631" w:rsidRPr="00AD4976" w:rsidRDefault="00A42631" w:rsidP="00A4263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t>Condensed Meaning Unit</w:t>
            </w:r>
          </w:p>
          <w:p w:rsidR="00A42631" w:rsidRPr="00AD4976" w:rsidRDefault="00A42631" w:rsidP="00A4263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t>(Focus Group Number)</w:t>
            </w:r>
          </w:p>
        </w:tc>
        <w:tc>
          <w:tcPr>
            <w:tcW w:w="2605" w:type="dxa"/>
          </w:tcPr>
          <w:p w:rsidR="00A42631" w:rsidRPr="00AD4976" w:rsidRDefault="00A42631" w:rsidP="00A4263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t>Code</w:t>
            </w:r>
          </w:p>
          <w:p w:rsidR="00A42631" w:rsidRPr="00AD4976" w:rsidRDefault="00A42631" w:rsidP="00A4263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t>ICF Constructs</w:t>
            </w:r>
          </w:p>
        </w:tc>
        <w:tc>
          <w:tcPr>
            <w:tcW w:w="2806" w:type="dxa"/>
          </w:tcPr>
          <w:p w:rsidR="00A42631" w:rsidRPr="00AD4976" w:rsidRDefault="00A42631" w:rsidP="00A4263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t>Sub-category</w:t>
            </w:r>
          </w:p>
          <w:p w:rsidR="00A42631" w:rsidRPr="00AD4976" w:rsidRDefault="00A42631" w:rsidP="00A4263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t>ICF Single Level Constructs</w:t>
            </w:r>
          </w:p>
        </w:tc>
        <w:tc>
          <w:tcPr>
            <w:tcW w:w="2806" w:type="dxa"/>
          </w:tcPr>
          <w:p w:rsidR="00A42631" w:rsidRPr="00AD4976" w:rsidRDefault="00A42631" w:rsidP="00A4263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t>Category</w:t>
            </w:r>
          </w:p>
        </w:tc>
      </w:tr>
      <w:tr w:rsidR="00A42631" w:rsidRPr="00AD4976" w:rsidTr="00A42631">
        <w:trPr>
          <w:gridAfter w:val="1"/>
          <w:wAfter w:w="7" w:type="dxa"/>
        </w:trPr>
        <w:tc>
          <w:tcPr>
            <w:tcW w:w="2805" w:type="dxa"/>
          </w:tcPr>
          <w:p w:rsidR="00A42631" w:rsidRPr="00AD4976" w:rsidRDefault="00A42631" w:rsidP="00A42631">
            <w:pPr>
              <w:contextualSpacing/>
              <w:rPr>
                <w:rStyle w:val="titleclass"/>
                <w:i/>
                <w:szCs w:val="20"/>
              </w:rPr>
            </w:pPr>
            <w:r w:rsidRPr="00AD4976">
              <w:rPr>
                <w:rFonts w:cs="Times New Roman"/>
                <w:i/>
                <w:szCs w:val="20"/>
              </w:rPr>
              <w:t>You know, her narrow interests.  Very specialised, very good, very good – you know.  It would be great if someone paid her to do all that.</w:t>
            </w:r>
          </w:p>
        </w:tc>
        <w:tc>
          <w:tcPr>
            <w:tcW w:w="2863" w:type="dxa"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Job matching with interest and skills 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Matching interest to occupation (2)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Matching interest to education (2)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Identify motivational drives (2)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Open to ideas for training - using abilities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Finding their niche and using it to foster involvement + confidence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Focus and matching strengths and capabilities to environments (4)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Tapping into their interests (4)</w:t>
            </w:r>
          </w:p>
          <w:p w:rsidR="00A42631" w:rsidRPr="00AD4976" w:rsidRDefault="00A42631" w:rsidP="00A42631">
            <w:pPr>
              <w:pStyle w:val="ListParagraph"/>
              <w:ind w:left="360"/>
              <w:rPr>
                <w:rStyle w:val="titleclass"/>
                <w:rFonts w:asciiTheme="minorHAnsi" w:hAnsiTheme="minorHAnsi"/>
                <w:szCs w:val="20"/>
              </w:rPr>
            </w:pPr>
          </w:p>
        </w:tc>
        <w:tc>
          <w:tcPr>
            <w:tcW w:w="2605" w:type="dxa"/>
          </w:tcPr>
          <w:p w:rsidR="00A42631" w:rsidRPr="00AD4976" w:rsidRDefault="00A42631" w:rsidP="00A42631">
            <w:pPr>
              <w:spacing w:after="0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t xml:space="preserve">Identifying motivational drives 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eastAsia="Times New Roman" w:hAnsiTheme="minorHAnsi"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Motivation (b1301)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eastAsia="Times New Roman" w:hAnsiTheme="minorHAnsi"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Higher-level cognitive functions, other specified (b1648)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/>
                <w:szCs w:val="20"/>
                <w:lang w:eastAsia="en-AU"/>
              </w:rPr>
            </w:pPr>
            <w:r w:rsidRPr="00AD4976">
              <w:rPr>
                <w:rFonts w:asciiTheme="minorHAnsi" w:eastAsia="Times New Roman" w:hAnsiTheme="minorHAnsi"/>
                <w:szCs w:val="20"/>
                <w:lang w:eastAsia="en-AU"/>
              </w:rPr>
              <w:t>Major life areas (d8)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eastAsia="Times New Roman" w:hAnsiTheme="minorHAnsi"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Preschool education (d815)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eastAsia="Times New Roman" w:hAnsiTheme="minorHAnsi"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School education (d820)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eastAsia="Times New Roman" w:hAnsiTheme="minorHAnsi"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Vocational training (d825)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Higher education (d830)</w:t>
            </w:r>
          </w:p>
        </w:tc>
        <w:tc>
          <w:tcPr>
            <w:tcW w:w="2806" w:type="dxa"/>
            <w:vMerge w:val="restart"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Mental functions (b1) Major life areas (d8)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Services, systems and policies (e5)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 xml:space="preserve">Learning and applying knowledge (d1) 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Support and relationships (e3)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Major life areas (d8) Services, systems and policies (e5)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 xml:space="preserve">Domestic life (d6) 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Support and relationships (e3)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Major life areas (d8) Support and relationships (e3)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Services, systems and policies (e5)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Services, systems and policies (e5)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Services, systems and policies (e5)</w:t>
            </w:r>
          </w:p>
        </w:tc>
        <w:tc>
          <w:tcPr>
            <w:tcW w:w="2806" w:type="dxa"/>
            <w:vMerge w:val="restart"/>
          </w:tcPr>
          <w:p w:rsidR="00A42631" w:rsidRPr="00AD4976" w:rsidRDefault="00A42631" w:rsidP="00A42631">
            <w:pPr>
              <w:rPr>
                <w:szCs w:val="20"/>
              </w:rPr>
            </w:pPr>
            <w:r w:rsidRPr="00AD4976">
              <w:rPr>
                <w:szCs w:val="20"/>
              </w:rPr>
              <w:t>Planning for success</w:t>
            </w:r>
          </w:p>
        </w:tc>
      </w:tr>
      <w:tr w:rsidR="00A42631" w:rsidRPr="00AD4976" w:rsidTr="00A42631">
        <w:trPr>
          <w:gridAfter w:val="1"/>
          <w:wAfter w:w="7" w:type="dxa"/>
        </w:trPr>
        <w:tc>
          <w:tcPr>
            <w:tcW w:w="2805" w:type="dxa"/>
          </w:tcPr>
          <w:p w:rsidR="00A42631" w:rsidRPr="00AD4976" w:rsidRDefault="00A42631" w:rsidP="00A42631">
            <w:pPr>
              <w:contextualSpacing/>
              <w:rPr>
                <w:rStyle w:val="titleclass"/>
                <w:i/>
                <w:szCs w:val="20"/>
              </w:rPr>
            </w:pPr>
            <w:r w:rsidRPr="00AD4976">
              <w:rPr>
                <w:rFonts w:eastAsia="Times New Roman" w:cs="Times New Roman"/>
                <w:i/>
                <w:szCs w:val="20"/>
                <w:lang w:eastAsia="en-AU"/>
              </w:rPr>
              <w:t>Schools need to get more involved in the students transition</w:t>
            </w:r>
          </w:p>
        </w:tc>
        <w:tc>
          <w:tcPr>
            <w:tcW w:w="2863" w:type="dxa"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Forward planning 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Ongoing planning 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Future planning (2)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Provide hope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Supported living - having a budget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lastRenderedPageBreak/>
              <w:t>Being proactive is important (4)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Inclusive planning processes which included people outside of the disability sector (4)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Planning for adult life early (4)</w:t>
            </w:r>
          </w:p>
        </w:tc>
        <w:tc>
          <w:tcPr>
            <w:tcW w:w="2605" w:type="dxa"/>
          </w:tcPr>
          <w:p w:rsidR="00A42631" w:rsidRPr="00AD4976" w:rsidRDefault="00A42631" w:rsidP="00A42631">
            <w:pPr>
              <w:spacing w:after="0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lastRenderedPageBreak/>
              <w:t xml:space="preserve">Planning for adult life 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 w:val="24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 xml:space="preserve">Solving problems (d175) 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eastAsia="Times New Roman" w:hAnsiTheme="minorHAnsi"/>
                <w:szCs w:val="20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Making decisions (d177)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lastRenderedPageBreak/>
              <w:t>Education and training services, systems and policies (e585)</w:t>
            </w:r>
          </w:p>
        </w:tc>
        <w:tc>
          <w:tcPr>
            <w:tcW w:w="2806" w:type="dxa"/>
            <w:vMerge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</w:p>
        </w:tc>
        <w:tc>
          <w:tcPr>
            <w:tcW w:w="2806" w:type="dxa"/>
            <w:vMerge/>
          </w:tcPr>
          <w:p w:rsidR="00A42631" w:rsidRPr="00AD4976" w:rsidRDefault="00A42631" w:rsidP="00A42631">
            <w:pPr>
              <w:rPr>
                <w:szCs w:val="20"/>
              </w:rPr>
            </w:pPr>
          </w:p>
        </w:tc>
      </w:tr>
      <w:tr w:rsidR="00A42631" w:rsidRPr="00AD4976" w:rsidTr="00A42631">
        <w:trPr>
          <w:gridAfter w:val="1"/>
          <w:wAfter w:w="7" w:type="dxa"/>
        </w:trPr>
        <w:tc>
          <w:tcPr>
            <w:tcW w:w="2805" w:type="dxa"/>
          </w:tcPr>
          <w:p w:rsidR="00A42631" w:rsidRPr="00AD4976" w:rsidRDefault="00A42631" w:rsidP="00A42631">
            <w:pPr>
              <w:contextualSpacing/>
              <w:rPr>
                <w:rStyle w:val="titleclass"/>
                <w:i/>
                <w:szCs w:val="20"/>
              </w:rPr>
            </w:pPr>
            <w:r w:rsidRPr="00AD4976">
              <w:rPr>
                <w:rFonts w:cs="Times New Roman"/>
                <w:i/>
                <w:szCs w:val="20"/>
              </w:rPr>
              <w:t>I certainly need to think differently about how she can make her own decisions and come to her own conclusions, and perhaps facilitate it rather than direct.  So facilitating is as – there’s a temptation to jump straight to this direction.</w:t>
            </w:r>
          </w:p>
        </w:tc>
        <w:tc>
          <w:tcPr>
            <w:tcW w:w="2863" w:type="dxa"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Facilitating decision making (2)</w:t>
            </w:r>
          </w:p>
        </w:tc>
        <w:tc>
          <w:tcPr>
            <w:tcW w:w="2605" w:type="dxa"/>
          </w:tcPr>
          <w:p w:rsidR="00A42631" w:rsidRPr="00AD4976" w:rsidRDefault="00A42631" w:rsidP="00A42631">
            <w:pPr>
              <w:spacing w:after="0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t>Facilitating decision making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eastAsia="Times New Roman" w:hAnsiTheme="minorHAnsi"/>
                <w:szCs w:val="20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Making decisions (d177)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Support and relationships, unspecified (e399)</w:t>
            </w:r>
          </w:p>
          <w:p w:rsidR="00A42631" w:rsidRPr="00AD4976" w:rsidRDefault="00A42631" w:rsidP="00A42631">
            <w:pPr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2806" w:type="dxa"/>
            <w:vMerge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</w:p>
        </w:tc>
        <w:tc>
          <w:tcPr>
            <w:tcW w:w="2806" w:type="dxa"/>
            <w:vMerge/>
          </w:tcPr>
          <w:p w:rsidR="00A42631" w:rsidRPr="00AD4976" w:rsidRDefault="00A42631" w:rsidP="00A42631">
            <w:pPr>
              <w:rPr>
                <w:szCs w:val="20"/>
              </w:rPr>
            </w:pPr>
          </w:p>
        </w:tc>
      </w:tr>
      <w:tr w:rsidR="00A42631" w:rsidRPr="00AD4976" w:rsidTr="00A42631">
        <w:trPr>
          <w:gridAfter w:val="1"/>
          <w:wAfter w:w="7" w:type="dxa"/>
        </w:trPr>
        <w:tc>
          <w:tcPr>
            <w:tcW w:w="2805" w:type="dxa"/>
          </w:tcPr>
          <w:p w:rsidR="00A42631" w:rsidRPr="00AD4976" w:rsidRDefault="00A42631" w:rsidP="00A42631">
            <w:pPr>
              <w:contextualSpacing/>
              <w:rPr>
                <w:rStyle w:val="titleclass"/>
                <w:i/>
                <w:szCs w:val="20"/>
              </w:rPr>
            </w:pPr>
            <w:r w:rsidRPr="00AD4976">
              <w:rPr>
                <w:rFonts w:eastAsia="Times New Roman" w:cs="Times New Roman"/>
                <w:i/>
                <w:szCs w:val="20"/>
                <w:lang w:eastAsia="en-AU"/>
              </w:rPr>
              <w:t>The school based apprenticeship with a support of an employment coordinator was working really well, it was a really gentle transition. She had the social trainers from school and an employment coordinator that checked on her.</w:t>
            </w:r>
          </w:p>
        </w:tc>
        <w:tc>
          <w:tcPr>
            <w:tcW w:w="2863" w:type="dxa"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Gentle staged transition 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School involvement in the transition 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Specialist School Environments 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Stepwise independence program (2)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Start the transition as early as possible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 xml:space="preserve">Let them make their own mistakes up to some point - it is part of </w:t>
            </w:r>
            <w:r w:rsidRPr="00AD4976">
              <w:rPr>
                <w:rStyle w:val="titleclass"/>
                <w:rFonts w:asciiTheme="minorHAnsi" w:hAnsiTheme="minorHAnsi"/>
                <w:szCs w:val="20"/>
              </w:rPr>
              <w:lastRenderedPageBreak/>
              <w:t>learning. To their own level and steady increments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Gradual independence. Foster practical skills - For the day to day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Self-confidence - giving him the confidence to do it again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Everyone involved knowing the transition plan (4)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Mainstream School Environments (4)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Supported transition programs that gradually withdraw (4)</w:t>
            </w:r>
          </w:p>
          <w:p w:rsidR="00A42631" w:rsidRPr="00AD4976" w:rsidRDefault="00A42631" w:rsidP="00A42631">
            <w:pPr>
              <w:pStyle w:val="ListParagraph"/>
              <w:ind w:left="360"/>
              <w:rPr>
                <w:rStyle w:val="titleclass"/>
                <w:rFonts w:asciiTheme="minorHAnsi" w:hAnsiTheme="minorHAnsi"/>
                <w:szCs w:val="20"/>
              </w:rPr>
            </w:pPr>
          </w:p>
        </w:tc>
        <w:tc>
          <w:tcPr>
            <w:tcW w:w="2605" w:type="dxa"/>
          </w:tcPr>
          <w:p w:rsidR="00A42631" w:rsidRPr="00AD4976" w:rsidRDefault="00A42631" w:rsidP="00A42631">
            <w:pPr>
              <w:spacing w:after="0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lastRenderedPageBreak/>
              <w:t>Stepwise independences programs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Major life areas (d8)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Education and training services, systems and policies (e585)</w:t>
            </w:r>
          </w:p>
        </w:tc>
        <w:tc>
          <w:tcPr>
            <w:tcW w:w="2806" w:type="dxa"/>
            <w:vMerge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</w:p>
        </w:tc>
        <w:tc>
          <w:tcPr>
            <w:tcW w:w="2806" w:type="dxa"/>
            <w:vMerge w:val="restart"/>
          </w:tcPr>
          <w:p w:rsidR="00A42631" w:rsidRPr="00AD4976" w:rsidRDefault="00A42631" w:rsidP="00A42631">
            <w:pPr>
              <w:rPr>
                <w:szCs w:val="20"/>
              </w:rPr>
            </w:pPr>
            <w:r w:rsidRPr="00AD4976">
              <w:rPr>
                <w:szCs w:val="20"/>
              </w:rPr>
              <w:t>Gradual progress towards success</w:t>
            </w:r>
          </w:p>
        </w:tc>
      </w:tr>
      <w:tr w:rsidR="00A42631" w:rsidRPr="00AD4976" w:rsidTr="00A42631">
        <w:trPr>
          <w:gridAfter w:val="1"/>
          <w:wAfter w:w="7" w:type="dxa"/>
        </w:trPr>
        <w:tc>
          <w:tcPr>
            <w:tcW w:w="2805" w:type="dxa"/>
          </w:tcPr>
          <w:p w:rsidR="00A42631" w:rsidRPr="00AD4976" w:rsidRDefault="00A42631" w:rsidP="00A42631">
            <w:pPr>
              <w:contextualSpacing/>
              <w:rPr>
                <w:rStyle w:val="titleclass"/>
                <w:i/>
                <w:szCs w:val="20"/>
              </w:rPr>
            </w:pPr>
            <w:r w:rsidRPr="00AD4976">
              <w:rPr>
                <w:rFonts w:cs="Times New Roman"/>
                <w:i/>
                <w:noProof/>
                <w:szCs w:val="20"/>
                <w:lang w:eastAsia="en-AU"/>
              </w:rPr>
              <w:t>A</w:t>
            </w:r>
            <w:r w:rsidRPr="00AD4976">
              <w:rPr>
                <w:i/>
                <w:szCs w:val="20"/>
              </w:rPr>
              <w:t xml:space="preserve"> couple of years ago, I thought the best thing we could do maybe is have [build] a duplex.</w:t>
            </w:r>
          </w:p>
        </w:tc>
        <w:tc>
          <w:tcPr>
            <w:tcW w:w="2863" w:type="dxa"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Option to live independently 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Matching housing/accommodation to needs 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‘Granny flat solution’(1)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Housing transition 'duplex concept' (2)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Granny flat living - cottage on the side. Adult children are living at home but they should live alone (3)</w:t>
            </w:r>
          </w:p>
          <w:p w:rsidR="00A42631" w:rsidRPr="00AD4976" w:rsidRDefault="00A42631" w:rsidP="00A42631">
            <w:pPr>
              <w:pStyle w:val="ListParagraph"/>
              <w:ind w:left="360"/>
              <w:rPr>
                <w:rStyle w:val="titleclass"/>
                <w:rFonts w:asciiTheme="minorHAnsi" w:hAnsiTheme="minorHAnsi"/>
                <w:szCs w:val="20"/>
              </w:rPr>
            </w:pPr>
          </w:p>
        </w:tc>
        <w:tc>
          <w:tcPr>
            <w:tcW w:w="2605" w:type="dxa"/>
          </w:tcPr>
          <w:p w:rsidR="00A42631" w:rsidRPr="00AD4976" w:rsidRDefault="00A42631" w:rsidP="00A42631">
            <w:pPr>
              <w:spacing w:after="0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t>Housing transitions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eastAsia="Times New Roman" w:hAnsiTheme="minorHAnsi"/>
                <w:szCs w:val="20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Domestic life (d6)</w:t>
            </w:r>
          </w:p>
          <w:p w:rsidR="00A42631" w:rsidRPr="00AD4976" w:rsidRDefault="00A42631" w:rsidP="00A42631">
            <w:pPr>
              <w:pStyle w:val="CommentText"/>
              <w:numPr>
                <w:ilvl w:val="0"/>
                <w:numId w:val="2"/>
              </w:numPr>
              <w:spacing w:after="0"/>
              <w:rPr>
                <w:rStyle w:val="titleclass"/>
                <w:rFonts w:eastAsia="Times New Roman" w:cs="Times New Roman"/>
                <w:sz w:val="22"/>
              </w:rPr>
            </w:pPr>
            <w:r w:rsidRPr="00AD4976">
              <w:rPr>
                <w:rStyle w:val="titleclass"/>
                <w:rFonts w:eastAsia="Times New Roman" w:cs="Times New Roman"/>
                <w:sz w:val="22"/>
              </w:rPr>
              <w:t>Housing services, systems and policies (e525)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eastAsia="Times New Roman" w:hAnsiTheme="minorHAnsi"/>
                <w:szCs w:val="20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Immediate family (e310)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Extended family (e315)</w:t>
            </w:r>
          </w:p>
        </w:tc>
        <w:tc>
          <w:tcPr>
            <w:tcW w:w="2806" w:type="dxa"/>
            <w:vMerge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</w:p>
        </w:tc>
        <w:tc>
          <w:tcPr>
            <w:tcW w:w="2806" w:type="dxa"/>
            <w:vMerge/>
          </w:tcPr>
          <w:p w:rsidR="00A42631" w:rsidRPr="00AD4976" w:rsidRDefault="00A42631" w:rsidP="00A42631">
            <w:pPr>
              <w:rPr>
                <w:szCs w:val="20"/>
              </w:rPr>
            </w:pPr>
          </w:p>
        </w:tc>
      </w:tr>
      <w:tr w:rsidR="00A42631" w:rsidRPr="00AD4976" w:rsidTr="00A42631">
        <w:trPr>
          <w:gridAfter w:val="1"/>
          <w:wAfter w:w="7" w:type="dxa"/>
        </w:trPr>
        <w:tc>
          <w:tcPr>
            <w:tcW w:w="2805" w:type="dxa"/>
          </w:tcPr>
          <w:p w:rsidR="00A42631" w:rsidRPr="00AD4976" w:rsidRDefault="00A42631" w:rsidP="00A42631">
            <w:pPr>
              <w:contextualSpacing/>
              <w:rPr>
                <w:rStyle w:val="titleclass"/>
                <w:i/>
                <w:szCs w:val="20"/>
              </w:rPr>
            </w:pPr>
            <w:r w:rsidRPr="00AD4976">
              <w:rPr>
                <w:rFonts w:cs="Times New Roman"/>
                <w:i/>
                <w:szCs w:val="20"/>
              </w:rPr>
              <w:lastRenderedPageBreak/>
              <w:t>I would say, you know, you have got to have roles that can accommodate people, and as a process of selection, that doesn’t rely on traditional mechanisms, because selecting someone based on interview – you are not selecting them because they are good at interviewing, you are selecting them because they are good at whatever the job is.</w:t>
            </w:r>
          </w:p>
        </w:tc>
        <w:tc>
          <w:tcPr>
            <w:tcW w:w="2863" w:type="dxa"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Government decision to employ people with disabilities 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Supported employment services 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Opportunities for open employment 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Centre for young adults 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Assistance to find work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Adaptive job recruitment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ASD adapted recruitment processes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Untraditional framing of job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Apprenticeship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Work / practical experience (4)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Having people who will create jobs for young adults with Autism (4)</w:t>
            </w:r>
          </w:p>
          <w:p w:rsidR="00A42631" w:rsidRPr="00AD4976" w:rsidRDefault="00A42631" w:rsidP="00A42631">
            <w:pPr>
              <w:pStyle w:val="ListParagraph"/>
              <w:ind w:left="360"/>
              <w:rPr>
                <w:rStyle w:val="titleclass"/>
                <w:rFonts w:asciiTheme="minorHAnsi" w:hAnsiTheme="minorHAnsi"/>
                <w:szCs w:val="20"/>
              </w:rPr>
            </w:pPr>
          </w:p>
        </w:tc>
        <w:tc>
          <w:tcPr>
            <w:tcW w:w="2605" w:type="dxa"/>
          </w:tcPr>
          <w:p w:rsidR="00A42631" w:rsidRPr="00AD4976" w:rsidRDefault="00A42631" w:rsidP="00A42631">
            <w:pPr>
              <w:spacing w:after="0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t xml:space="preserve">Specialised employment services 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eastAsia="Times New Roman" w:hAnsiTheme="minorHAnsi"/>
                <w:bCs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Acquiring, keeping and terminating a job (d845)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eastAsia="Times New Roman" w:hAnsiTheme="minorHAnsi"/>
                <w:bCs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Remunerative employment (d850)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eastAsia="Times New Roman" w:hAnsiTheme="minorHAnsi"/>
                <w:szCs w:val="20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Health professionals (e355)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eastAsia="Times New Roman" w:hAnsiTheme="minorHAnsi"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Other professionals (e360)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Labour and employment services, systems and policies (e590)</w:t>
            </w:r>
          </w:p>
        </w:tc>
        <w:tc>
          <w:tcPr>
            <w:tcW w:w="2806" w:type="dxa"/>
            <w:vMerge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</w:p>
        </w:tc>
        <w:tc>
          <w:tcPr>
            <w:tcW w:w="2806" w:type="dxa"/>
            <w:vMerge/>
          </w:tcPr>
          <w:p w:rsidR="00A42631" w:rsidRPr="00AD4976" w:rsidRDefault="00A42631" w:rsidP="00A42631">
            <w:pPr>
              <w:rPr>
                <w:szCs w:val="20"/>
              </w:rPr>
            </w:pPr>
          </w:p>
        </w:tc>
      </w:tr>
      <w:tr w:rsidR="00A42631" w:rsidRPr="00AD4976" w:rsidTr="00A42631">
        <w:trPr>
          <w:gridAfter w:val="1"/>
          <w:wAfter w:w="7" w:type="dxa"/>
        </w:trPr>
        <w:tc>
          <w:tcPr>
            <w:tcW w:w="2805" w:type="dxa"/>
          </w:tcPr>
          <w:p w:rsidR="00A42631" w:rsidRPr="00AD4976" w:rsidRDefault="00A42631" w:rsidP="00A42631">
            <w:pPr>
              <w:contextualSpacing/>
              <w:rPr>
                <w:rStyle w:val="titleclass"/>
                <w:i/>
                <w:szCs w:val="20"/>
              </w:rPr>
            </w:pPr>
            <w:r w:rsidRPr="00AD4976">
              <w:rPr>
                <w:rFonts w:cs="Times New Roman"/>
                <w:i/>
                <w:szCs w:val="20"/>
              </w:rPr>
              <w:t>I am learning all the time as to what is available and what isn’t available, because it is – it is very changeable, and – you know, it is good to have current information.</w:t>
            </w:r>
          </w:p>
        </w:tc>
        <w:tc>
          <w:tcPr>
            <w:tcW w:w="2863" w:type="dxa"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Information centre 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Information about service (2)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Opportunities to gain knowledge about services for adult life (4)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Access to information (4)</w:t>
            </w:r>
          </w:p>
          <w:p w:rsidR="00A42631" w:rsidRPr="00AD4976" w:rsidRDefault="00A42631" w:rsidP="00A42631">
            <w:pPr>
              <w:pStyle w:val="ListParagraph"/>
              <w:ind w:left="360"/>
              <w:rPr>
                <w:rStyle w:val="titleclass"/>
                <w:rFonts w:asciiTheme="minorHAnsi" w:hAnsiTheme="minorHAnsi"/>
                <w:szCs w:val="20"/>
              </w:rPr>
            </w:pPr>
          </w:p>
        </w:tc>
        <w:tc>
          <w:tcPr>
            <w:tcW w:w="2605" w:type="dxa"/>
          </w:tcPr>
          <w:p w:rsidR="00A42631" w:rsidRPr="00AD4976" w:rsidRDefault="00A42631" w:rsidP="00A42631">
            <w:pPr>
              <w:spacing w:after="0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t>Access to information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Services</w:t>
            </w:r>
            <w:r w:rsidRPr="00AD4976">
              <w:rPr>
                <w:rFonts w:asciiTheme="minorHAnsi" w:eastAsia="Times New Roman" w:hAnsiTheme="minorHAnsi"/>
                <w:szCs w:val="20"/>
                <w:lang w:eastAsia="en-AU"/>
              </w:rPr>
              <w:t>, systems and policies (e5)</w:t>
            </w:r>
          </w:p>
          <w:p w:rsidR="00A42631" w:rsidRPr="00AD4976" w:rsidRDefault="00A42631" w:rsidP="00A42631">
            <w:pPr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2806" w:type="dxa"/>
            <w:vMerge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</w:p>
        </w:tc>
        <w:tc>
          <w:tcPr>
            <w:tcW w:w="2806" w:type="dxa"/>
            <w:vMerge w:val="restart"/>
          </w:tcPr>
          <w:p w:rsidR="00A42631" w:rsidRPr="00AD4976" w:rsidRDefault="00A42631" w:rsidP="00A42631">
            <w:pPr>
              <w:rPr>
                <w:szCs w:val="20"/>
              </w:rPr>
            </w:pPr>
            <w:r w:rsidRPr="00AD4976">
              <w:rPr>
                <w:szCs w:val="20"/>
              </w:rPr>
              <w:t>Services to maintain success</w:t>
            </w:r>
          </w:p>
        </w:tc>
      </w:tr>
      <w:tr w:rsidR="00A42631" w:rsidRPr="00AD4976" w:rsidTr="00A42631">
        <w:trPr>
          <w:gridAfter w:val="1"/>
          <w:wAfter w:w="7" w:type="dxa"/>
        </w:trPr>
        <w:tc>
          <w:tcPr>
            <w:tcW w:w="2805" w:type="dxa"/>
          </w:tcPr>
          <w:p w:rsidR="00A42631" w:rsidRPr="00AD4976" w:rsidRDefault="00A42631" w:rsidP="00A42631">
            <w:pPr>
              <w:contextualSpacing/>
              <w:rPr>
                <w:rFonts w:cs="Times New Roman"/>
                <w:i/>
                <w:szCs w:val="20"/>
              </w:rPr>
            </w:pPr>
            <w:r w:rsidRPr="00AD4976">
              <w:rPr>
                <w:rFonts w:cs="Times New Roman"/>
                <w:i/>
                <w:szCs w:val="20"/>
              </w:rPr>
              <w:lastRenderedPageBreak/>
              <w:t>[Services] meeting the individual needs of the person.</w:t>
            </w:r>
          </w:p>
          <w:p w:rsidR="00A42631" w:rsidRPr="00AD4976" w:rsidRDefault="00A42631" w:rsidP="00A42631">
            <w:pPr>
              <w:contextualSpacing/>
              <w:rPr>
                <w:rFonts w:cs="Times New Roman"/>
                <w:i/>
                <w:szCs w:val="20"/>
              </w:rPr>
            </w:pPr>
          </w:p>
          <w:p w:rsidR="00A42631" w:rsidRPr="00AD4976" w:rsidRDefault="00A42631" w:rsidP="00A42631">
            <w:pPr>
              <w:contextualSpacing/>
              <w:rPr>
                <w:rStyle w:val="titleclass"/>
                <w:i/>
                <w:szCs w:val="20"/>
              </w:rPr>
            </w:pPr>
            <w:r w:rsidRPr="00AD4976">
              <w:rPr>
                <w:rFonts w:cs="Times New Roman"/>
                <w:i/>
                <w:szCs w:val="20"/>
              </w:rPr>
              <w:t>There was no funding, and I – with an Asperger’s diagnosis</w:t>
            </w:r>
          </w:p>
        </w:tc>
        <w:tc>
          <w:tcPr>
            <w:tcW w:w="2863" w:type="dxa"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Tailored government support 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Full time support - government recognition (1)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Respite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Consistency is important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Consistency in service providers is important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Consistent Services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Services need to focus on the individual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Tailor services/strategies to the person (3)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Access to Funding (4)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  <w:r w:rsidRPr="00AD4976">
              <w:rPr>
                <w:rStyle w:val="titleclass"/>
                <w:rFonts w:asciiTheme="minorHAnsi" w:hAnsiTheme="minorHAnsi"/>
                <w:szCs w:val="20"/>
              </w:rPr>
              <w:t>Knowing other parents (4)</w:t>
            </w:r>
          </w:p>
        </w:tc>
        <w:tc>
          <w:tcPr>
            <w:tcW w:w="2605" w:type="dxa"/>
          </w:tcPr>
          <w:p w:rsidR="00A42631" w:rsidRPr="00AD4976" w:rsidRDefault="00A42631" w:rsidP="00A42631">
            <w:pPr>
              <w:spacing w:after="0"/>
              <w:rPr>
                <w:rFonts w:eastAsia="Times New Roman" w:cs="Times New Roman"/>
                <w:b/>
                <w:szCs w:val="20"/>
                <w:lang w:eastAsia="en-AU"/>
              </w:rPr>
            </w:pPr>
            <w:r w:rsidRPr="00AD4976">
              <w:rPr>
                <w:rFonts w:eastAsia="Times New Roman" w:cs="Times New Roman"/>
                <w:b/>
                <w:szCs w:val="20"/>
                <w:lang w:eastAsia="en-AU"/>
              </w:rPr>
              <w:t>Financial implications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eastAsia="Times New Roman" w:hAnsiTheme="minorHAnsi"/>
                <w:szCs w:val="20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Economic services, systems and policies (e565)</w:t>
            </w:r>
          </w:p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/>
                <w:szCs w:val="20"/>
                <w:lang w:eastAsia="en-AU"/>
              </w:rPr>
            </w:pPr>
            <w:r w:rsidRPr="00AD4976">
              <w:rPr>
                <w:rStyle w:val="titleclass"/>
                <w:rFonts w:asciiTheme="minorHAnsi" w:eastAsia="Times New Roman" w:hAnsiTheme="minorHAnsi"/>
                <w:szCs w:val="20"/>
              </w:rPr>
              <w:t>Social security services, systems and policies (e570)</w:t>
            </w:r>
          </w:p>
        </w:tc>
        <w:tc>
          <w:tcPr>
            <w:tcW w:w="2806" w:type="dxa"/>
            <w:vMerge/>
          </w:tcPr>
          <w:p w:rsidR="00A42631" w:rsidRPr="00AD4976" w:rsidRDefault="00A42631" w:rsidP="00A42631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titleclass"/>
                <w:rFonts w:asciiTheme="minorHAnsi" w:hAnsiTheme="minorHAnsi"/>
                <w:szCs w:val="20"/>
              </w:rPr>
            </w:pPr>
          </w:p>
        </w:tc>
        <w:tc>
          <w:tcPr>
            <w:tcW w:w="2806" w:type="dxa"/>
            <w:vMerge/>
          </w:tcPr>
          <w:p w:rsidR="00A42631" w:rsidRPr="00AD4976" w:rsidRDefault="00A42631" w:rsidP="00A42631">
            <w:pPr>
              <w:rPr>
                <w:szCs w:val="20"/>
              </w:rPr>
            </w:pPr>
          </w:p>
        </w:tc>
      </w:tr>
    </w:tbl>
    <w:p w:rsidR="009078E5" w:rsidRDefault="009078E5"/>
    <w:sectPr w:rsidR="009078E5" w:rsidSect="00A42631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568E"/>
    <w:multiLevelType w:val="hybridMultilevel"/>
    <w:tmpl w:val="A65A5E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12B06"/>
    <w:multiLevelType w:val="hybridMultilevel"/>
    <w:tmpl w:val="B9846DB4"/>
    <w:lvl w:ilvl="0" w:tplc="153292A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45D20"/>
    <w:multiLevelType w:val="hybridMultilevel"/>
    <w:tmpl w:val="D6E0E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E5"/>
    <w:rsid w:val="00284F4C"/>
    <w:rsid w:val="004A04FD"/>
    <w:rsid w:val="004D39EF"/>
    <w:rsid w:val="00646C9F"/>
    <w:rsid w:val="009078E5"/>
    <w:rsid w:val="00A42631"/>
    <w:rsid w:val="00A46012"/>
    <w:rsid w:val="00BD4BBA"/>
    <w:rsid w:val="00CC62A1"/>
    <w:rsid w:val="00EA1028"/>
    <w:rsid w:val="00FB25C0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2A2AD-1097-4B4D-97F7-37F29A0B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E5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90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078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42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631"/>
    <w:rPr>
      <w:sz w:val="20"/>
      <w:szCs w:val="20"/>
    </w:rPr>
  </w:style>
  <w:style w:type="character" w:customStyle="1" w:styleId="titleclass">
    <w:name w:val="titleclass"/>
    <w:basedOn w:val="DefaultParagraphFont"/>
    <w:rsid w:val="00A4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Thompson</dc:creator>
  <cp:keywords/>
  <dc:description/>
  <cp:lastModifiedBy>Craig Thompson</cp:lastModifiedBy>
  <cp:revision>3</cp:revision>
  <dcterms:created xsi:type="dcterms:W3CDTF">2018-03-14T01:10:00Z</dcterms:created>
  <dcterms:modified xsi:type="dcterms:W3CDTF">2018-03-14T01:15:00Z</dcterms:modified>
</cp:coreProperties>
</file>