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BF" w:rsidRPr="003A5ECB" w:rsidRDefault="00780EBF" w:rsidP="00780EBF">
      <w:pPr>
        <w:rPr>
          <w:b/>
          <w:sz w:val="24"/>
          <w:lang w:val="en-US"/>
        </w:rPr>
      </w:pPr>
      <w:r w:rsidRPr="003A5ECB">
        <w:rPr>
          <w:b/>
          <w:sz w:val="24"/>
          <w:lang w:val="en-US"/>
        </w:rPr>
        <w:t>S</w:t>
      </w:r>
      <w:r>
        <w:rPr>
          <w:b/>
          <w:sz w:val="24"/>
          <w:lang w:val="en-US"/>
        </w:rPr>
        <w:t xml:space="preserve">1 Table </w:t>
      </w:r>
    </w:p>
    <w:p w:rsidR="00780EBF" w:rsidRPr="003A5ECB" w:rsidRDefault="00780EBF" w:rsidP="00780EBF">
      <w:pPr>
        <w:pStyle w:val="Ttuloprincipal"/>
        <w:spacing w:after="200"/>
        <w:rPr>
          <w:sz w:val="24"/>
          <w:szCs w:val="24"/>
          <w:lang w:val="en-GB"/>
        </w:rPr>
      </w:pPr>
      <w:r w:rsidRPr="003A5ECB">
        <w:rPr>
          <w:sz w:val="24"/>
          <w:szCs w:val="24"/>
          <w:shd w:val="clear" w:color="auto" w:fill="FFFFFF"/>
          <w:lang w:val="en-GB"/>
        </w:rPr>
        <w:t>Wildlife-vehicle collisions in Lanzarote Biosphere Reserve, Canary Islands</w:t>
      </w:r>
    </w:p>
    <w:p w:rsidR="00780EBF" w:rsidRPr="003A5ECB" w:rsidRDefault="00780EBF" w:rsidP="00780EBF">
      <w:pPr>
        <w:rPr>
          <w:sz w:val="24"/>
          <w:vertAlign w:val="superscript"/>
        </w:rPr>
      </w:pPr>
      <w:r w:rsidRPr="003A5ECB">
        <w:rPr>
          <w:sz w:val="24"/>
        </w:rPr>
        <w:t>Gustavo Tejera</w:t>
      </w:r>
      <w:r w:rsidRPr="003A5ECB">
        <w:rPr>
          <w:sz w:val="24"/>
          <w:vertAlign w:val="superscript"/>
        </w:rPr>
        <w:t>1</w:t>
      </w:r>
      <w:r w:rsidRPr="003A5ECB">
        <w:rPr>
          <w:sz w:val="24"/>
        </w:rPr>
        <w:t>, Beneharo Rodríguez</w:t>
      </w:r>
      <w:r w:rsidRPr="003A5ECB">
        <w:rPr>
          <w:sz w:val="24"/>
          <w:vertAlign w:val="superscript"/>
        </w:rPr>
        <w:t>1*</w:t>
      </w:r>
      <w:r w:rsidRPr="003A5ECB">
        <w:rPr>
          <w:sz w:val="24"/>
        </w:rPr>
        <w:t>, Carlos Armas</w:t>
      </w:r>
      <w:r w:rsidRPr="003A5ECB">
        <w:rPr>
          <w:sz w:val="24"/>
          <w:vertAlign w:val="superscript"/>
        </w:rPr>
        <w:t>2</w:t>
      </w:r>
      <w:r w:rsidRPr="003A5ECB">
        <w:rPr>
          <w:sz w:val="24"/>
        </w:rPr>
        <w:t>&amp; Airam Rodríguez</w:t>
      </w:r>
      <w:r w:rsidRPr="003A5ECB">
        <w:rPr>
          <w:sz w:val="24"/>
          <w:vertAlign w:val="superscript"/>
        </w:rPr>
        <w:t>3</w:t>
      </w:r>
    </w:p>
    <w:p w:rsidR="00780EBF" w:rsidRPr="003A5ECB" w:rsidRDefault="00780EBF" w:rsidP="00780EBF">
      <w:pPr>
        <w:spacing w:line="240" w:lineRule="auto"/>
        <w:rPr>
          <w:i/>
          <w:sz w:val="24"/>
          <w:lang w:val="en-GB"/>
        </w:rPr>
      </w:pPr>
      <w:r w:rsidRPr="003A5ECB">
        <w:rPr>
          <w:sz w:val="24"/>
          <w:vertAlign w:val="superscript"/>
          <w:lang w:val="en-GB"/>
        </w:rPr>
        <w:t>1</w:t>
      </w:r>
      <w:r w:rsidRPr="003A5ECB">
        <w:rPr>
          <w:i/>
          <w:sz w:val="24"/>
          <w:lang w:val="en-GB"/>
        </w:rPr>
        <w:t xml:space="preserve"> Canary Islands’ Ornithology and Natural History Group (GOHNIC), La Malecita s/n, 38480 Buenavista del Norte, Tenerife, Canary Islands, Spain </w:t>
      </w:r>
    </w:p>
    <w:p w:rsidR="00780EBF" w:rsidRPr="003A5ECB" w:rsidRDefault="00780EBF" w:rsidP="00780EBF">
      <w:pPr>
        <w:spacing w:line="240" w:lineRule="auto"/>
        <w:rPr>
          <w:i/>
          <w:sz w:val="24"/>
        </w:rPr>
      </w:pPr>
      <w:r w:rsidRPr="003A5ECB">
        <w:rPr>
          <w:sz w:val="24"/>
          <w:vertAlign w:val="superscript"/>
        </w:rPr>
        <w:t>2</w:t>
      </w:r>
      <w:r w:rsidRPr="003A5ECB">
        <w:rPr>
          <w:i/>
          <w:sz w:val="24"/>
        </w:rPr>
        <w:t>Piedra Viva 26, 35559 San Bartolomé, Lanzarote, CanaryIslands, Spain</w:t>
      </w:r>
    </w:p>
    <w:p w:rsidR="00780EBF" w:rsidRPr="003A5ECB" w:rsidRDefault="00780EBF" w:rsidP="00780EBF">
      <w:pPr>
        <w:spacing w:line="240" w:lineRule="auto"/>
        <w:rPr>
          <w:i/>
          <w:sz w:val="24"/>
        </w:rPr>
      </w:pPr>
      <w:r w:rsidRPr="003A5ECB">
        <w:rPr>
          <w:sz w:val="24"/>
          <w:vertAlign w:val="superscript"/>
        </w:rPr>
        <w:t>3</w:t>
      </w:r>
      <w:r w:rsidRPr="003A5ECB">
        <w:rPr>
          <w:i/>
          <w:sz w:val="24"/>
        </w:rPr>
        <w:t>Department of Evolutionary</w:t>
      </w:r>
      <w:r>
        <w:rPr>
          <w:i/>
          <w:sz w:val="24"/>
        </w:rPr>
        <w:t xml:space="preserve"> </w:t>
      </w:r>
      <w:r w:rsidRPr="003A5ECB">
        <w:rPr>
          <w:i/>
          <w:sz w:val="24"/>
        </w:rPr>
        <w:t>Ecology, Estación Biológica de Doñana (CSIC), Avda. Américo Vespucio 26, 41092 Seville, Spain</w:t>
      </w:r>
    </w:p>
    <w:p w:rsidR="00780EBF" w:rsidRPr="003A5ECB" w:rsidRDefault="00780EBF" w:rsidP="00780EBF">
      <w:pPr>
        <w:spacing w:line="240" w:lineRule="auto"/>
        <w:rPr>
          <w:i/>
          <w:sz w:val="24"/>
          <w:lang w:val="en-GB"/>
        </w:rPr>
      </w:pPr>
      <w:r w:rsidRPr="003A5ECB">
        <w:rPr>
          <w:sz w:val="24"/>
          <w:lang w:val="en-GB"/>
        </w:rPr>
        <w:t>*corresponding author: Beneharo Rodríguez, email: benerguez@gmail.com</w:t>
      </w:r>
    </w:p>
    <w:p w:rsidR="00780EBF" w:rsidRDefault="00780EBF" w:rsidP="00FA0F66">
      <w:pPr>
        <w:spacing w:line="240" w:lineRule="auto"/>
        <w:rPr>
          <w:sz w:val="24"/>
          <w:lang w:val="en-GB"/>
        </w:rPr>
      </w:pPr>
    </w:p>
    <w:p w:rsidR="00780EBF" w:rsidRDefault="00780EBF" w:rsidP="00FA0F66">
      <w:pPr>
        <w:spacing w:line="240" w:lineRule="auto"/>
        <w:rPr>
          <w:sz w:val="24"/>
          <w:lang w:val="en-GB"/>
        </w:rPr>
      </w:pPr>
    </w:p>
    <w:p w:rsidR="00FA0F66" w:rsidRPr="00780EBF" w:rsidRDefault="00FA0F66" w:rsidP="00FA0F66">
      <w:pPr>
        <w:spacing w:line="240" w:lineRule="auto"/>
        <w:rPr>
          <w:b/>
          <w:sz w:val="24"/>
          <w:lang w:val="en-GB"/>
        </w:rPr>
      </w:pPr>
      <w:r w:rsidRPr="00780EBF">
        <w:rPr>
          <w:b/>
          <w:sz w:val="24"/>
          <w:lang w:val="en-GB"/>
        </w:rPr>
        <w:t xml:space="preserve">Number of carcasses (roadkills) found on Lanzarote, Canary Islands (November 2010-October 2011). Mortality was estimated by considering carcass removal time (PT) and probability of observer detectability (D) of each species according to bibliography </w:t>
      </w:r>
      <w:r w:rsidR="00844F50" w:rsidRPr="00780EBF">
        <w:rPr>
          <w:b/>
          <w:sz w:val="24"/>
          <w:lang w:val="en-GB"/>
        </w:rPr>
        <w:fldChar w:fldCharType="begin" w:fldLock="1"/>
      </w:r>
      <w:r w:rsidRPr="00780EBF">
        <w:rPr>
          <w:b/>
          <w:sz w:val="24"/>
          <w:lang w:val="en-GB"/>
        </w:rPr>
        <w:instrText>ADDIN CSL_CITATION { "citationItems" : [ { "id" : "ITEM-1", "itemData" : { "DOI" : "10.1371/journal.pone.0025383", "ISBN" : "1932-6203 (Electronic)\\r1932-6203 (Linking)", "ISSN" : "19326203", "PMID" : "21980437", "abstract" : "BACKGROUND: Road mortality is probably the best-known and visible impact of roads upon wildlife. Although several factors influence road-kill counts, carcass persistence time is considered the most important determinant underlying underestimates of road mortality. The present study aims to describe and model carcass persistence variability on the road for different taxonomic groups under different environmental conditions throughout the year; and also to assess the effect of sampling frequency on the relative variation in road-kill estimates registered within a survey.\\n\\nMETHODOLOGY/PRINCIPAL FINDINGS: Daily surveys of road-killed vertebrates were conducted over one year along four road sections with different traffic volumes. Survival analysis was then used to i) describe carcass persistence timings for overall and for specific animal groups; ii) assess optimal sampling designs according to research objectives; and iii) model the influence of road, animal and weather factors on carcass persistence probabilities. Most animal carcasses persisted on the road for the first day only, with some groups disappearing at very high rates. The advisable periodicity of road monitoring that minimizes bias in road mortality estimates is daily monitoring for bats (in the morning) and lizards (in the afternoon), daily monitoring for toads, small birds, small mammals, snakes, salamanders, and lagomorphs; 1 day-interval (alternate days) for large birds, birds of prey, hedgehogs, and freshwater turtles; and 2 day-interval for carnivores. Multiple factors influenced the persistence probabilities of vertebrate carcasses on the road. Overall, the persistence was much lower for small animals, on roads with lower traffic volumes, for carcasses located on road lanes, and during humid conditions and high temperatures during the wet season and dry seasons, respectively.\\n\\nCONCLUSION/SIGNIFICANCE: The guidance given here on monitoring frequencies is particularly relevant to provide conservation and transportation agencies with accurate numbers of road-kills, realistic mitigation measures, and detailed designs for road monitoring programs.", "author" : [ { "dropping-particle" : "", "family" : "Santos", "given" : "Sara M.", "non-dropping-particle" : "", "parse-names" : false, "suffix" : "" }, { "dropping-particle" : "", "family" : "Carvalho", "given" : "Filipe", "non-dropping-particle" : "", "parse-names" : false, "suffix" : "" }, { "dropping-particle" : "", "family" : "Mira", "given" : "Ant\u00f3nio", "non-dropping-particle" : "", "parse-names" : false, "suffix" : "" } ], "container-title" : "PLoS ONE", "id" : "ITEM-1", "issue" : "9", "issued" : { "date-parts" : [ [ "2011" ] ] }, "title" : "How long do the dead survive on the road? Carcass persistence probability and implications for road-kill monitoring surveys", "type" : "article-journal", "volume" : "6" }, "uris" : [ "http://www.mendeley.com/documents/?uuid=1418c3f5-112d-47a0-b3f8-e33c75c5fd4e" ] } ], "mendeley" : { "formattedCitation" : "[1]", "plainTextFormattedCitation" : "[1]", "previouslyFormattedCitation" : "[1]" }, "properties" : {  }, "schema" : "https://github.com/citation-style-language/schema/raw/master/csl-citation.json" }</w:instrText>
      </w:r>
      <w:r w:rsidR="00844F50" w:rsidRPr="00780EBF">
        <w:rPr>
          <w:b/>
          <w:sz w:val="24"/>
          <w:lang w:val="en-GB"/>
        </w:rPr>
        <w:fldChar w:fldCharType="separate"/>
      </w:r>
      <w:r w:rsidRPr="00780EBF">
        <w:rPr>
          <w:b/>
          <w:noProof/>
          <w:sz w:val="24"/>
          <w:lang w:val="en-GB"/>
        </w:rPr>
        <w:t>[1]</w:t>
      </w:r>
      <w:r w:rsidR="00844F50" w:rsidRPr="00780EBF">
        <w:rPr>
          <w:b/>
          <w:sz w:val="24"/>
          <w:lang w:val="en-GB"/>
        </w:rPr>
        <w:fldChar w:fldCharType="end"/>
      </w:r>
    </w:p>
    <w:p w:rsidR="00956B56" w:rsidRDefault="00956B56" w:rsidP="002F7618">
      <w:pPr>
        <w:spacing w:line="240" w:lineRule="auto"/>
        <w:rPr>
          <w:sz w:val="24"/>
          <w:lang w:val="en-GB"/>
        </w:rPr>
      </w:pPr>
      <w:bookmarkStart w:id="0" w:name="_GoBack"/>
      <w:bookmarkEnd w:id="0"/>
    </w:p>
    <w:p w:rsidR="00FA0F66" w:rsidRPr="00713DD0" w:rsidRDefault="00FA0F66" w:rsidP="002F7618">
      <w:pPr>
        <w:spacing w:line="240" w:lineRule="auto"/>
        <w:rPr>
          <w:sz w:val="24"/>
          <w:lang w:val="en-GB"/>
        </w:rPr>
      </w:pPr>
    </w:p>
    <w:tbl>
      <w:tblPr>
        <w:tblW w:w="8931" w:type="dxa"/>
        <w:jc w:val="center"/>
        <w:tblCellMar>
          <w:left w:w="70" w:type="dxa"/>
          <w:right w:w="70" w:type="dxa"/>
        </w:tblCellMar>
        <w:tblLook w:val="04A0"/>
      </w:tblPr>
      <w:tblGrid>
        <w:gridCol w:w="2963"/>
        <w:gridCol w:w="796"/>
        <w:gridCol w:w="696"/>
        <w:gridCol w:w="674"/>
        <w:gridCol w:w="818"/>
        <w:gridCol w:w="563"/>
        <w:gridCol w:w="640"/>
        <w:gridCol w:w="440"/>
        <w:gridCol w:w="1373"/>
      </w:tblGrid>
      <w:tr w:rsidR="00956B56" w:rsidRPr="00956B56" w:rsidTr="00471F2F">
        <w:trPr>
          <w:trHeight w:val="20"/>
          <w:jc w:val="center"/>
        </w:trPr>
        <w:tc>
          <w:tcPr>
            <w:tcW w:w="2963" w:type="dxa"/>
            <w:vMerge w:val="restart"/>
            <w:tcBorders>
              <w:top w:val="single" w:sz="8" w:space="0" w:color="auto"/>
              <w:left w:val="nil"/>
              <w:bottom w:val="single" w:sz="8" w:space="0" w:color="000000"/>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Species</w:t>
            </w:r>
          </w:p>
        </w:tc>
        <w:tc>
          <w:tcPr>
            <w:tcW w:w="3522" w:type="dxa"/>
            <w:gridSpan w:val="5"/>
            <w:tcBorders>
              <w:top w:val="single" w:sz="8" w:space="0" w:color="auto"/>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Roadkills</w:t>
            </w:r>
          </w:p>
        </w:tc>
        <w:tc>
          <w:tcPr>
            <w:tcW w:w="636" w:type="dxa"/>
            <w:tcBorders>
              <w:top w:val="single" w:sz="8" w:space="0" w:color="auto"/>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PT</w:t>
            </w:r>
          </w:p>
        </w:tc>
        <w:tc>
          <w:tcPr>
            <w:tcW w:w="437" w:type="dxa"/>
            <w:tcBorders>
              <w:top w:val="single" w:sz="8" w:space="0" w:color="auto"/>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D</w:t>
            </w:r>
          </w:p>
        </w:tc>
        <w:tc>
          <w:tcPr>
            <w:tcW w:w="1373" w:type="dxa"/>
            <w:vMerge w:val="restart"/>
            <w:tcBorders>
              <w:top w:val="single" w:sz="8" w:space="0" w:color="auto"/>
              <w:left w:val="nil"/>
              <w:bottom w:val="single" w:sz="8" w:space="0" w:color="000000"/>
              <w:right w:val="nil"/>
            </w:tcBorders>
            <w:shd w:val="clear" w:color="auto" w:fill="auto"/>
            <w:noWrap/>
            <w:vAlign w:val="bottom"/>
            <w:hideMark/>
          </w:tcPr>
          <w:p w:rsidR="00956B56" w:rsidRPr="00956B56" w:rsidRDefault="00FF3744" w:rsidP="00E12CCE">
            <w:pPr>
              <w:suppressAutoHyphens w:val="0"/>
              <w:spacing w:line="240" w:lineRule="auto"/>
              <w:jc w:val="center"/>
              <w:rPr>
                <w:rFonts w:eastAsia="Times New Roman"/>
                <w:color w:val="000000"/>
                <w:kern w:val="0"/>
                <w:sz w:val="20"/>
                <w:szCs w:val="20"/>
                <w:lang w:val="es-ES" w:eastAsia="es-ES"/>
              </w:rPr>
            </w:pPr>
            <w:r>
              <w:rPr>
                <w:rFonts w:eastAsia="Times New Roman"/>
                <w:color w:val="000000"/>
                <w:kern w:val="0"/>
                <w:sz w:val="20"/>
                <w:szCs w:val="20"/>
                <w:lang w:val="en-GB" w:eastAsia="es-ES"/>
              </w:rPr>
              <w:t>Mortality</w:t>
            </w:r>
          </w:p>
        </w:tc>
      </w:tr>
      <w:tr w:rsidR="00E12CCE" w:rsidRPr="00956B56" w:rsidTr="00471F2F">
        <w:trPr>
          <w:trHeight w:val="20"/>
          <w:jc w:val="center"/>
        </w:trPr>
        <w:tc>
          <w:tcPr>
            <w:tcW w:w="2963" w:type="dxa"/>
            <w:vMerge/>
            <w:tcBorders>
              <w:top w:val="single" w:sz="8" w:space="0" w:color="auto"/>
              <w:left w:val="nil"/>
              <w:bottom w:val="single" w:sz="8" w:space="0" w:color="000000"/>
              <w:right w:val="nil"/>
            </w:tcBorders>
            <w:vAlign w:val="center"/>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p>
        </w:tc>
        <w:tc>
          <w:tcPr>
            <w:tcW w:w="791"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Aut</w:t>
            </w:r>
            <w:r w:rsidR="00E12CCE" w:rsidRPr="00E12CCE">
              <w:rPr>
                <w:rFonts w:eastAsia="Times New Roman"/>
                <w:color w:val="000000"/>
                <w:kern w:val="0"/>
                <w:sz w:val="20"/>
                <w:szCs w:val="20"/>
                <w:lang w:val="en-GB" w:eastAsia="es-ES"/>
              </w:rPr>
              <w:t>umn</w:t>
            </w:r>
          </w:p>
        </w:tc>
        <w:tc>
          <w:tcPr>
            <w:tcW w:w="691"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Win</w:t>
            </w:r>
            <w:r w:rsidR="00E12CCE" w:rsidRPr="00E12CCE">
              <w:rPr>
                <w:rFonts w:eastAsia="Times New Roman"/>
                <w:color w:val="000000"/>
                <w:kern w:val="0"/>
                <w:sz w:val="20"/>
                <w:szCs w:val="20"/>
                <w:lang w:val="en-GB" w:eastAsia="es-ES"/>
              </w:rPr>
              <w:t>ter</w:t>
            </w:r>
          </w:p>
        </w:tc>
        <w:tc>
          <w:tcPr>
            <w:tcW w:w="669"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Spr</w:t>
            </w:r>
            <w:r w:rsidR="00E12CCE" w:rsidRPr="00E12CCE">
              <w:rPr>
                <w:rFonts w:eastAsia="Times New Roman"/>
                <w:color w:val="000000"/>
                <w:kern w:val="0"/>
                <w:sz w:val="20"/>
                <w:szCs w:val="20"/>
                <w:lang w:val="en-GB" w:eastAsia="es-ES"/>
              </w:rPr>
              <w:t>ing</w:t>
            </w:r>
          </w:p>
        </w:tc>
        <w:tc>
          <w:tcPr>
            <w:tcW w:w="812"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Sum</w:t>
            </w:r>
            <w:r w:rsidR="00E12CCE" w:rsidRPr="00E12CCE">
              <w:rPr>
                <w:rFonts w:eastAsia="Times New Roman"/>
                <w:color w:val="000000"/>
                <w:kern w:val="0"/>
                <w:sz w:val="20"/>
                <w:szCs w:val="20"/>
                <w:lang w:val="en-GB" w:eastAsia="es-ES"/>
              </w:rPr>
              <w:t>mer</w:t>
            </w:r>
          </w:p>
        </w:tc>
        <w:tc>
          <w:tcPr>
            <w:tcW w:w="559"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Total</w:t>
            </w:r>
          </w:p>
        </w:tc>
        <w:tc>
          <w:tcPr>
            <w:tcW w:w="636"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(days)</w:t>
            </w:r>
          </w:p>
        </w:tc>
        <w:tc>
          <w:tcPr>
            <w:tcW w:w="437" w:type="dxa"/>
            <w:tcBorders>
              <w:top w:val="nil"/>
              <w:left w:val="nil"/>
              <w:bottom w:val="single" w:sz="8" w:space="0" w:color="auto"/>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w:t>
            </w:r>
          </w:p>
        </w:tc>
        <w:tc>
          <w:tcPr>
            <w:tcW w:w="1373" w:type="dxa"/>
            <w:vMerge/>
            <w:tcBorders>
              <w:top w:val="single" w:sz="8" w:space="0" w:color="auto"/>
              <w:left w:val="nil"/>
              <w:bottom w:val="single" w:sz="8" w:space="0" w:color="000000"/>
              <w:right w:val="nil"/>
            </w:tcBorders>
            <w:vAlign w:val="center"/>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Fam. Phasianidae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Alectoris</w:t>
            </w:r>
            <w:r w:rsidR="00FE7D05">
              <w:rPr>
                <w:rFonts w:eastAsia="Times New Roman"/>
                <w:i/>
                <w:iCs/>
                <w:color w:val="000000"/>
                <w:kern w:val="0"/>
                <w:sz w:val="20"/>
                <w:szCs w:val="20"/>
                <w:lang w:eastAsia="es-ES"/>
              </w:rPr>
              <w:t xml:space="preserve"> </w:t>
            </w:r>
            <w:r w:rsidRPr="00956B56">
              <w:rPr>
                <w:rFonts w:eastAsia="Times New Roman"/>
                <w:i/>
                <w:iCs/>
                <w:color w:val="000000"/>
                <w:kern w:val="0"/>
                <w:sz w:val="20"/>
                <w:szCs w:val="20"/>
                <w:lang w:eastAsia="es-ES"/>
              </w:rPr>
              <w:t>barbara</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5</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5</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4</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28</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Fam. Procellariidae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Bulweria</w:t>
            </w:r>
            <w:r w:rsidR="00FE7D05">
              <w:rPr>
                <w:rFonts w:eastAsia="Times New Roman"/>
                <w:i/>
                <w:iCs/>
                <w:color w:val="000000"/>
                <w:kern w:val="0"/>
                <w:sz w:val="20"/>
                <w:szCs w:val="20"/>
                <w:lang w:eastAsia="es-ES"/>
              </w:rPr>
              <w:t xml:space="preserve"> </w:t>
            </w:r>
            <w:r w:rsidRPr="00956B56">
              <w:rPr>
                <w:rFonts w:eastAsia="Times New Roman"/>
                <w:i/>
                <w:iCs/>
                <w:color w:val="000000"/>
                <w:kern w:val="0"/>
                <w:sz w:val="20"/>
                <w:szCs w:val="20"/>
                <w:lang w:eastAsia="es-ES"/>
              </w:rPr>
              <w:t>bulwerii</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112</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Fam. Ardeidae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Bubulcus ibis</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5</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8</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21</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4</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118</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Fam. Falconidae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Falco tinnunculus</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3</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7</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4</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39</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Fam. Otidae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Chlamydotis</w:t>
            </w:r>
            <w:r w:rsidR="00FE7D05">
              <w:rPr>
                <w:rFonts w:eastAsia="Times New Roman"/>
                <w:i/>
                <w:iCs/>
                <w:color w:val="000000"/>
                <w:kern w:val="0"/>
                <w:sz w:val="20"/>
                <w:szCs w:val="20"/>
                <w:lang w:eastAsia="es-ES"/>
              </w:rPr>
              <w:t xml:space="preserve"> </w:t>
            </w:r>
            <w:r w:rsidRPr="00956B56">
              <w:rPr>
                <w:rFonts w:eastAsia="Times New Roman"/>
                <w:i/>
                <w:iCs/>
                <w:color w:val="000000"/>
                <w:kern w:val="0"/>
                <w:sz w:val="20"/>
                <w:szCs w:val="20"/>
                <w:lang w:eastAsia="es-ES"/>
              </w:rPr>
              <w:t>undulata</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7</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Fam. Burhinidae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Burhinus</w:t>
            </w:r>
            <w:r w:rsidR="00FE7D05">
              <w:rPr>
                <w:rFonts w:eastAsia="Times New Roman"/>
                <w:i/>
                <w:iCs/>
                <w:color w:val="000000"/>
                <w:kern w:val="0"/>
                <w:sz w:val="20"/>
                <w:szCs w:val="20"/>
                <w:lang w:eastAsia="es-ES"/>
              </w:rPr>
              <w:t xml:space="preserve"> </w:t>
            </w:r>
            <w:r w:rsidRPr="00956B56">
              <w:rPr>
                <w:rFonts w:eastAsia="Times New Roman"/>
                <w:i/>
                <w:iCs/>
                <w:color w:val="000000"/>
                <w:kern w:val="0"/>
                <w:sz w:val="20"/>
                <w:szCs w:val="20"/>
                <w:lang w:eastAsia="es-ES"/>
              </w:rPr>
              <w:t>oedicnemus</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9</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10</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7</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32</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4</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179</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Fam. Charadriidae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Charadrius</w:t>
            </w:r>
            <w:r w:rsidR="00FE7D05">
              <w:rPr>
                <w:rFonts w:eastAsia="Times New Roman"/>
                <w:i/>
                <w:iCs/>
                <w:color w:val="000000"/>
                <w:kern w:val="0"/>
                <w:sz w:val="20"/>
                <w:szCs w:val="20"/>
                <w:lang w:eastAsia="es-ES"/>
              </w:rPr>
              <w:t xml:space="preserve"> </w:t>
            </w:r>
            <w:r w:rsidRPr="00956B56">
              <w:rPr>
                <w:rFonts w:eastAsia="Times New Roman"/>
                <w:i/>
                <w:iCs/>
                <w:color w:val="000000"/>
                <w:kern w:val="0"/>
                <w:sz w:val="20"/>
                <w:szCs w:val="20"/>
                <w:lang w:eastAsia="es-ES"/>
              </w:rPr>
              <w:t>hiaticula</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56</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Charadrius</w:t>
            </w:r>
            <w:r w:rsidR="00FE7D05">
              <w:rPr>
                <w:rFonts w:eastAsia="Times New Roman"/>
                <w:i/>
                <w:iCs/>
                <w:color w:val="000000"/>
                <w:kern w:val="0"/>
                <w:sz w:val="20"/>
                <w:szCs w:val="20"/>
                <w:lang w:eastAsia="es-ES"/>
              </w:rPr>
              <w:t xml:space="preserve"> </w:t>
            </w:r>
            <w:r w:rsidRPr="00956B56">
              <w:rPr>
                <w:rFonts w:eastAsia="Times New Roman"/>
                <w:color w:val="000000"/>
                <w:kern w:val="0"/>
                <w:sz w:val="20"/>
                <w:szCs w:val="20"/>
                <w:lang w:eastAsia="es-ES"/>
              </w:rPr>
              <w:t>sp.</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56</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Fam. Laridae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i/>
                <w:iCs/>
                <w:color w:val="000000"/>
                <w:kern w:val="0"/>
                <w:sz w:val="20"/>
                <w:szCs w:val="20"/>
                <w:lang w:val="es-ES" w:eastAsia="es-ES"/>
              </w:rPr>
            </w:pPr>
            <w:r w:rsidRPr="00956B56">
              <w:rPr>
                <w:rFonts w:eastAsia="Times New Roman"/>
                <w:i/>
                <w:iCs/>
                <w:color w:val="000000"/>
                <w:kern w:val="0"/>
                <w:sz w:val="20"/>
                <w:szCs w:val="20"/>
                <w:lang w:eastAsia="es-ES"/>
              </w:rPr>
              <w:t>Larus</w:t>
            </w:r>
            <w:r w:rsidR="00FE7D05">
              <w:rPr>
                <w:rFonts w:eastAsia="Times New Roman"/>
                <w:i/>
                <w:iCs/>
                <w:color w:val="000000"/>
                <w:kern w:val="0"/>
                <w:sz w:val="20"/>
                <w:szCs w:val="20"/>
                <w:lang w:eastAsia="es-ES"/>
              </w:rPr>
              <w:t xml:space="preserve"> </w:t>
            </w:r>
            <w:r w:rsidRPr="00956B56">
              <w:rPr>
                <w:rFonts w:eastAsia="Times New Roman"/>
                <w:i/>
                <w:iCs/>
                <w:color w:val="000000"/>
                <w:kern w:val="0"/>
                <w:sz w:val="20"/>
                <w:szCs w:val="20"/>
                <w:lang w:eastAsia="es-ES"/>
              </w:rPr>
              <w:t>fuscus</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4</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6</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i/>
                <w:iCs/>
                <w:color w:val="000000"/>
                <w:kern w:val="0"/>
                <w:sz w:val="20"/>
                <w:szCs w:val="20"/>
                <w:lang w:val="es-ES" w:eastAsia="es-ES"/>
              </w:rPr>
            </w:pPr>
            <w:r w:rsidRPr="00956B56">
              <w:rPr>
                <w:rFonts w:eastAsia="Times New Roman"/>
                <w:i/>
                <w:iCs/>
                <w:color w:val="000000"/>
                <w:kern w:val="0"/>
                <w:sz w:val="20"/>
                <w:szCs w:val="20"/>
                <w:lang w:eastAsia="es-ES"/>
              </w:rPr>
              <w:t>Larus</w:t>
            </w:r>
            <w:r w:rsidR="00FE7D05">
              <w:rPr>
                <w:rFonts w:eastAsia="Times New Roman"/>
                <w:i/>
                <w:iCs/>
                <w:color w:val="000000"/>
                <w:kern w:val="0"/>
                <w:sz w:val="20"/>
                <w:szCs w:val="20"/>
                <w:lang w:eastAsia="es-ES"/>
              </w:rPr>
              <w:t xml:space="preserve"> </w:t>
            </w:r>
            <w:r w:rsidRPr="00956B56">
              <w:rPr>
                <w:rFonts w:eastAsia="Times New Roman"/>
                <w:i/>
                <w:iCs/>
                <w:color w:val="000000"/>
                <w:kern w:val="0"/>
                <w:sz w:val="20"/>
                <w:szCs w:val="20"/>
                <w:lang w:eastAsia="es-ES"/>
              </w:rPr>
              <w:t>michahellis</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5</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4</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11</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4</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62</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Fam. Columbidae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Columba livia</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10</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8</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20</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4</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112</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i/>
                <w:iCs/>
                <w:color w:val="000000"/>
                <w:kern w:val="0"/>
                <w:sz w:val="20"/>
                <w:szCs w:val="20"/>
                <w:lang w:val="es-ES" w:eastAsia="es-ES"/>
              </w:rPr>
            </w:pPr>
            <w:r w:rsidRPr="00956B56">
              <w:rPr>
                <w:rFonts w:eastAsia="Times New Roman"/>
                <w:i/>
                <w:iCs/>
                <w:color w:val="000000"/>
                <w:kern w:val="0"/>
                <w:sz w:val="20"/>
                <w:szCs w:val="20"/>
                <w:lang w:eastAsia="es-ES"/>
              </w:rPr>
              <w:t>Streptopelia</w:t>
            </w:r>
            <w:r w:rsidR="00FE7D05">
              <w:rPr>
                <w:rFonts w:eastAsia="Times New Roman"/>
                <w:i/>
                <w:iCs/>
                <w:color w:val="000000"/>
                <w:kern w:val="0"/>
                <w:sz w:val="20"/>
                <w:szCs w:val="20"/>
                <w:lang w:eastAsia="es-ES"/>
              </w:rPr>
              <w:t xml:space="preserve"> </w:t>
            </w:r>
            <w:r w:rsidRPr="00956B56">
              <w:rPr>
                <w:rFonts w:eastAsia="Times New Roman"/>
                <w:i/>
                <w:iCs/>
                <w:color w:val="000000"/>
                <w:kern w:val="0"/>
                <w:sz w:val="20"/>
                <w:szCs w:val="20"/>
                <w:lang w:eastAsia="es-ES"/>
              </w:rPr>
              <w:t>decaocto</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5</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7</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12</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269</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i/>
                <w:iCs/>
                <w:color w:val="000000"/>
                <w:kern w:val="0"/>
                <w:sz w:val="20"/>
                <w:szCs w:val="20"/>
                <w:lang w:val="es-ES" w:eastAsia="es-ES"/>
              </w:rPr>
            </w:pPr>
            <w:r w:rsidRPr="00956B56">
              <w:rPr>
                <w:rFonts w:eastAsia="Times New Roman"/>
                <w:i/>
                <w:iCs/>
                <w:color w:val="000000"/>
                <w:kern w:val="0"/>
                <w:sz w:val="20"/>
                <w:szCs w:val="20"/>
                <w:lang w:eastAsia="es-ES"/>
              </w:rPr>
              <w:t>Streptopelia</w:t>
            </w:r>
            <w:r w:rsidR="00FE7D05">
              <w:rPr>
                <w:rFonts w:eastAsia="Times New Roman"/>
                <w:i/>
                <w:iCs/>
                <w:color w:val="000000"/>
                <w:kern w:val="0"/>
                <w:sz w:val="20"/>
                <w:szCs w:val="20"/>
                <w:lang w:eastAsia="es-ES"/>
              </w:rPr>
              <w:t xml:space="preserve"> </w:t>
            </w:r>
            <w:r w:rsidRPr="00956B56">
              <w:rPr>
                <w:rFonts w:eastAsia="Times New Roman"/>
                <w:i/>
                <w:iCs/>
                <w:color w:val="000000"/>
                <w:kern w:val="0"/>
                <w:sz w:val="20"/>
                <w:szCs w:val="20"/>
                <w:lang w:eastAsia="es-ES"/>
              </w:rPr>
              <w:t>turtur</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45</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Streptopelia</w:t>
            </w:r>
            <w:r w:rsidR="00FE7D05">
              <w:rPr>
                <w:rFonts w:eastAsia="Times New Roman"/>
                <w:i/>
                <w:iCs/>
                <w:color w:val="000000"/>
                <w:kern w:val="0"/>
                <w:sz w:val="20"/>
                <w:szCs w:val="20"/>
                <w:lang w:eastAsia="es-ES"/>
              </w:rPr>
              <w:t xml:space="preserve"> </w:t>
            </w:r>
            <w:r w:rsidRPr="00956B56">
              <w:rPr>
                <w:rFonts w:eastAsia="Times New Roman"/>
                <w:color w:val="000000"/>
                <w:kern w:val="0"/>
                <w:sz w:val="20"/>
                <w:szCs w:val="20"/>
                <w:lang w:eastAsia="es-ES"/>
              </w:rPr>
              <w:t>sp.</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4</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5</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7</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17</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381</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Fam. Tytonidae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Tyto alba</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3</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3</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134</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Fam. Upupidae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Upupa epops</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5</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8</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446</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Fam. Alaudidae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Callandrella</w:t>
            </w:r>
            <w:r w:rsidR="00FE7D05">
              <w:rPr>
                <w:rFonts w:eastAsia="Times New Roman"/>
                <w:i/>
                <w:iCs/>
                <w:color w:val="000000"/>
                <w:kern w:val="0"/>
                <w:sz w:val="20"/>
                <w:szCs w:val="20"/>
                <w:lang w:eastAsia="es-ES"/>
              </w:rPr>
              <w:t xml:space="preserve"> </w:t>
            </w:r>
            <w:r w:rsidRPr="00956B56">
              <w:rPr>
                <w:rFonts w:eastAsia="Times New Roman"/>
                <w:i/>
                <w:iCs/>
                <w:color w:val="000000"/>
                <w:kern w:val="0"/>
                <w:sz w:val="20"/>
                <w:szCs w:val="20"/>
                <w:lang w:eastAsia="es-ES"/>
              </w:rPr>
              <w:t>rufescens</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3</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3</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167</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Fam. Motacillidae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Anthus</w:t>
            </w:r>
            <w:r w:rsidR="00FE7D05">
              <w:rPr>
                <w:rFonts w:eastAsia="Times New Roman"/>
                <w:i/>
                <w:iCs/>
                <w:color w:val="000000"/>
                <w:kern w:val="0"/>
                <w:sz w:val="20"/>
                <w:szCs w:val="20"/>
                <w:lang w:eastAsia="es-ES"/>
              </w:rPr>
              <w:t xml:space="preserve"> </w:t>
            </w:r>
            <w:r w:rsidRPr="00956B56">
              <w:rPr>
                <w:rFonts w:eastAsia="Times New Roman"/>
                <w:i/>
                <w:iCs/>
                <w:color w:val="000000"/>
                <w:kern w:val="0"/>
                <w:sz w:val="20"/>
                <w:szCs w:val="20"/>
                <w:lang w:eastAsia="es-ES"/>
              </w:rPr>
              <w:t>berthelotii</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3</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167</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Motacilla flava</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56</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Fam. Turdidae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Erithacus</w:t>
            </w:r>
            <w:r w:rsidR="00FE7D05">
              <w:rPr>
                <w:rFonts w:eastAsia="Times New Roman"/>
                <w:i/>
                <w:iCs/>
                <w:color w:val="000000"/>
                <w:kern w:val="0"/>
                <w:sz w:val="20"/>
                <w:szCs w:val="20"/>
                <w:lang w:eastAsia="es-ES"/>
              </w:rPr>
              <w:t xml:space="preserve"> </w:t>
            </w:r>
            <w:r w:rsidRPr="00956B56">
              <w:rPr>
                <w:rFonts w:eastAsia="Times New Roman"/>
                <w:i/>
                <w:iCs/>
                <w:color w:val="000000"/>
                <w:kern w:val="0"/>
                <w:sz w:val="20"/>
                <w:szCs w:val="20"/>
                <w:lang w:eastAsia="es-ES"/>
              </w:rPr>
              <w:t>rubecula</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112</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Fam. Sylviidae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DF27BF">
            <w:pPr>
              <w:suppressAutoHyphens w:val="0"/>
              <w:spacing w:line="240" w:lineRule="auto"/>
              <w:ind w:left="507"/>
              <w:rPr>
                <w:rFonts w:eastAsia="Times New Roman"/>
                <w:i/>
                <w:iCs/>
                <w:color w:val="000000"/>
                <w:kern w:val="0"/>
                <w:sz w:val="20"/>
                <w:szCs w:val="20"/>
                <w:lang w:val="es-ES" w:eastAsia="es-ES"/>
              </w:rPr>
            </w:pPr>
            <w:r w:rsidRPr="00956B56">
              <w:rPr>
                <w:rFonts w:eastAsia="Times New Roman"/>
                <w:i/>
                <w:iCs/>
                <w:color w:val="000000"/>
                <w:kern w:val="0"/>
                <w:sz w:val="20"/>
                <w:szCs w:val="20"/>
                <w:lang w:eastAsia="es-ES"/>
              </w:rPr>
              <w:lastRenderedPageBreak/>
              <w:t xml:space="preserve"> Sylvia conspicillata</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3</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3</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167</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Sylvia</w:t>
            </w:r>
            <w:r w:rsidR="00DF27BF">
              <w:rPr>
                <w:rFonts w:eastAsia="Times New Roman"/>
                <w:i/>
                <w:iCs/>
                <w:color w:val="000000"/>
                <w:kern w:val="0"/>
                <w:sz w:val="20"/>
                <w:szCs w:val="20"/>
                <w:lang w:eastAsia="es-ES"/>
              </w:rPr>
              <w:t xml:space="preserve"> </w:t>
            </w:r>
            <w:r w:rsidRPr="00956B56">
              <w:rPr>
                <w:rFonts w:eastAsia="Times New Roman"/>
                <w:color w:val="000000"/>
                <w:kern w:val="0"/>
                <w:sz w:val="20"/>
                <w:szCs w:val="20"/>
                <w:lang w:eastAsia="es-ES"/>
              </w:rPr>
              <w:t>sp.</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56</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Phylloscopus</w:t>
            </w:r>
            <w:r w:rsidR="00FE7D05">
              <w:rPr>
                <w:rFonts w:eastAsia="Times New Roman"/>
                <w:i/>
                <w:iCs/>
                <w:color w:val="000000"/>
                <w:kern w:val="0"/>
                <w:sz w:val="20"/>
                <w:szCs w:val="20"/>
                <w:lang w:eastAsia="es-ES"/>
              </w:rPr>
              <w:t xml:space="preserve"> </w:t>
            </w:r>
            <w:r w:rsidRPr="00956B56">
              <w:rPr>
                <w:rFonts w:eastAsia="Times New Roman"/>
                <w:i/>
                <w:iCs/>
                <w:color w:val="000000"/>
                <w:kern w:val="0"/>
                <w:sz w:val="20"/>
                <w:szCs w:val="20"/>
                <w:lang w:eastAsia="es-ES"/>
              </w:rPr>
              <w:t>trochilus</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3</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3</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167</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Fam. Muscicapidae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Ficedula</w:t>
            </w:r>
            <w:r w:rsidR="00FE7D05">
              <w:rPr>
                <w:rFonts w:eastAsia="Times New Roman"/>
                <w:i/>
                <w:iCs/>
                <w:color w:val="000000"/>
                <w:kern w:val="0"/>
                <w:sz w:val="20"/>
                <w:szCs w:val="20"/>
                <w:lang w:eastAsia="es-ES"/>
              </w:rPr>
              <w:t xml:space="preserve"> </w:t>
            </w:r>
            <w:r w:rsidRPr="00956B56">
              <w:rPr>
                <w:rFonts w:eastAsia="Times New Roman"/>
                <w:i/>
                <w:iCs/>
                <w:color w:val="000000"/>
                <w:kern w:val="0"/>
                <w:sz w:val="20"/>
                <w:szCs w:val="20"/>
                <w:lang w:eastAsia="es-ES"/>
              </w:rPr>
              <w:t>hypoleuca</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4</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4</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223</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Fam. Laniidae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Lanius</w:t>
            </w:r>
            <w:r w:rsidR="00FE7D05">
              <w:rPr>
                <w:rFonts w:eastAsia="Times New Roman"/>
                <w:i/>
                <w:iCs/>
                <w:color w:val="000000"/>
                <w:kern w:val="0"/>
                <w:sz w:val="20"/>
                <w:szCs w:val="20"/>
                <w:lang w:eastAsia="es-ES"/>
              </w:rPr>
              <w:t xml:space="preserve"> </w:t>
            </w:r>
            <w:r w:rsidRPr="00956B56">
              <w:rPr>
                <w:rFonts w:eastAsia="Times New Roman"/>
                <w:i/>
                <w:iCs/>
                <w:color w:val="000000"/>
                <w:kern w:val="0"/>
                <w:sz w:val="20"/>
                <w:szCs w:val="20"/>
                <w:lang w:eastAsia="es-ES"/>
              </w:rPr>
              <w:t>meridionalis</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5</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7</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15</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836</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Fam. Passeridae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Passer</w:t>
            </w:r>
            <w:r w:rsidR="00FE7D05">
              <w:rPr>
                <w:rFonts w:eastAsia="Times New Roman"/>
                <w:i/>
                <w:iCs/>
                <w:color w:val="000000"/>
                <w:kern w:val="0"/>
                <w:sz w:val="20"/>
                <w:szCs w:val="20"/>
                <w:lang w:eastAsia="es-ES"/>
              </w:rPr>
              <w:t xml:space="preserve"> </w:t>
            </w:r>
            <w:r w:rsidRPr="00956B56">
              <w:rPr>
                <w:rFonts w:eastAsia="Times New Roman"/>
                <w:i/>
                <w:iCs/>
                <w:color w:val="000000"/>
                <w:kern w:val="0"/>
                <w:sz w:val="20"/>
                <w:szCs w:val="20"/>
                <w:lang w:eastAsia="es-ES"/>
              </w:rPr>
              <w:t>hispaniolensis</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4</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4</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11</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613</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Fam. Fringillidae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Bucanetes</w:t>
            </w:r>
            <w:r w:rsidR="00FE7D05">
              <w:rPr>
                <w:rFonts w:eastAsia="Times New Roman"/>
                <w:i/>
                <w:iCs/>
                <w:color w:val="000000"/>
                <w:kern w:val="0"/>
                <w:sz w:val="20"/>
                <w:szCs w:val="20"/>
                <w:lang w:eastAsia="es-ES"/>
              </w:rPr>
              <w:t xml:space="preserve"> </w:t>
            </w:r>
            <w:r w:rsidRPr="00956B56">
              <w:rPr>
                <w:rFonts w:eastAsia="Times New Roman"/>
                <w:i/>
                <w:iCs/>
                <w:color w:val="000000"/>
                <w:kern w:val="0"/>
                <w:sz w:val="20"/>
                <w:szCs w:val="20"/>
                <w:lang w:eastAsia="es-ES"/>
              </w:rPr>
              <w:t>githagineus</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3</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167</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Passerine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11</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7</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14</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32</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1,784</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Unidentified</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8</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3</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9</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5</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25</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560</w:t>
            </w:r>
          </w:p>
        </w:tc>
      </w:tr>
      <w:tr w:rsidR="00E12CCE" w:rsidRPr="00956B56" w:rsidTr="00471F2F">
        <w:trPr>
          <w:trHeight w:val="20"/>
          <w:jc w:val="center"/>
        </w:trPr>
        <w:tc>
          <w:tcPr>
            <w:tcW w:w="2963"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TOTAL birds</w:t>
            </w:r>
          </w:p>
        </w:tc>
        <w:tc>
          <w:tcPr>
            <w:tcW w:w="791"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r w:rsidRPr="00956B56">
              <w:rPr>
                <w:rFonts w:ascii="Calibri" w:eastAsia="Times New Roman" w:hAnsi="Calibri" w:cs="Calibri"/>
                <w:color w:val="000000"/>
                <w:kern w:val="0"/>
                <w:szCs w:val="22"/>
                <w:lang w:val="es-ES" w:eastAsia="es-ES"/>
              </w:rPr>
              <w:t> </w:t>
            </w:r>
          </w:p>
        </w:tc>
        <w:tc>
          <w:tcPr>
            <w:tcW w:w="691"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r w:rsidRPr="00956B56">
              <w:rPr>
                <w:rFonts w:ascii="Calibri" w:eastAsia="Times New Roman" w:hAnsi="Calibri" w:cs="Calibri"/>
                <w:color w:val="000000"/>
                <w:kern w:val="0"/>
                <w:szCs w:val="22"/>
                <w:lang w:val="es-ES" w:eastAsia="es-ES"/>
              </w:rPr>
              <w:t> </w:t>
            </w:r>
          </w:p>
        </w:tc>
        <w:tc>
          <w:tcPr>
            <w:tcW w:w="669"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r w:rsidRPr="00956B56">
              <w:rPr>
                <w:rFonts w:ascii="Calibri" w:eastAsia="Times New Roman" w:hAnsi="Calibri" w:cs="Calibri"/>
                <w:color w:val="000000"/>
                <w:kern w:val="0"/>
                <w:szCs w:val="22"/>
                <w:lang w:val="es-ES" w:eastAsia="es-ES"/>
              </w:rPr>
              <w:t> </w:t>
            </w:r>
          </w:p>
        </w:tc>
        <w:tc>
          <w:tcPr>
            <w:tcW w:w="812"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r w:rsidRPr="00956B56">
              <w:rPr>
                <w:rFonts w:ascii="Calibri" w:eastAsia="Times New Roman" w:hAnsi="Calibri" w:cs="Calibri"/>
                <w:color w:val="000000"/>
                <w:kern w:val="0"/>
                <w:szCs w:val="22"/>
                <w:lang w:val="es-ES" w:eastAsia="es-ES"/>
              </w:rPr>
              <w:t> </w:t>
            </w:r>
          </w:p>
        </w:tc>
        <w:tc>
          <w:tcPr>
            <w:tcW w:w="559"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254</w:t>
            </w:r>
          </w:p>
        </w:tc>
        <w:tc>
          <w:tcPr>
            <w:tcW w:w="636"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r w:rsidRPr="00956B56">
              <w:rPr>
                <w:rFonts w:ascii="Calibri" w:eastAsia="Times New Roman" w:hAnsi="Calibri" w:cs="Calibri"/>
                <w:color w:val="000000"/>
                <w:kern w:val="0"/>
                <w:szCs w:val="22"/>
                <w:lang w:val="es-ES" w:eastAsia="es-ES"/>
              </w:rPr>
              <w:t> </w:t>
            </w:r>
          </w:p>
        </w:tc>
        <w:tc>
          <w:tcPr>
            <w:tcW w:w="437" w:type="dxa"/>
            <w:tcBorders>
              <w:top w:val="nil"/>
              <w:left w:val="nil"/>
              <w:bottom w:val="single" w:sz="8" w:space="0" w:color="auto"/>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 </w:t>
            </w:r>
          </w:p>
        </w:tc>
        <w:tc>
          <w:tcPr>
            <w:tcW w:w="1373"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eastAsia="es-ES"/>
              </w:rPr>
              <w:t>7,124</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Fam. Erinaceidae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i/>
                <w:iCs/>
                <w:color w:val="000000"/>
                <w:kern w:val="0"/>
                <w:sz w:val="20"/>
                <w:szCs w:val="20"/>
                <w:lang w:val="es-ES" w:eastAsia="es-ES"/>
              </w:rPr>
            </w:pPr>
            <w:r w:rsidRPr="00956B56">
              <w:rPr>
                <w:rFonts w:eastAsia="Times New Roman"/>
                <w:i/>
                <w:iCs/>
                <w:color w:val="000000"/>
                <w:kern w:val="0"/>
                <w:sz w:val="20"/>
                <w:szCs w:val="20"/>
                <w:lang w:eastAsia="es-ES"/>
              </w:rPr>
              <w:t>Atelerix</w:t>
            </w:r>
            <w:r w:rsidR="00FE7D05">
              <w:rPr>
                <w:rFonts w:eastAsia="Times New Roman"/>
                <w:i/>
                <w:iCs/>
                <w:color w:val="000000"/>
                <w:kern w:val="0"/>
                <w:sz w:val="20"/>
                <w:szCs w:val="20"/>
                <w:lang w:eastAsia="es-ES"/>
              </w:rPr>
              <w:t xml:space="preserve"> </w:t>
            </w:r>
            <w:r w:rsidRPr="00956B56">
              <w:rPr>
                <w:rFonts w:eastAsia="Times New Roman"/>
                <w:i/>
                <w:iCs/>
                <w:color w:val="000000"/>
                <w:kern w:val="0"/>
                <w:sz w:val="20"/>
                <w:szCs w:val="20"/>
                <w:lang w:eastAsia="es-ES"/>
              </w:rPr>
              <w:t>algirus</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25</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25</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40</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66</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156</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4,5</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776</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Fam. Canidae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i/>
                <w:iCs/>
                <w:color w:val="000000"/>
                <w:kern w:val="0"/>
                <w:sz w:val="20"/>
                <w:szCs w:val="20"/>
                <w:lang w:val="es-ES" w:eastAsia="es-ES"/>
              </w:rPr>
            </w:pPr>
            <w:r w:rsidRPr="00956B56">
              <w:rPr>
                <w:rFonts w:eastAsia="Times New Roman"/>
                <w:i/>
                <w:iCs/>
                <w:color w:val="000000"/>
                <w:kern w:val="0"/>
                <w:sz w:val="20"/>
                <w:szCs w:val="20"/>
                <w:lang w:eastAsia="es-ES"/>
              </w:rPr>
              <w:t>Canis lupus familiaris</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3</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3</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3</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9</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9</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22</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Fam. Felidae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Felis</w:t>
            </w:r>
            <w:r w:rsidR="00FE7D05">
              <w:rPr>
                <w:rFonts w:eastAsia="Times New Roman"/>
                <w:i/>
                <w:iCs/>
                <w:color w:val="000000"/>
                <w:kern w:val="0"/>
                <w:sz w:val="20"/>
                <w:szCs w:val="20"/>
                <w:lang w:eastAsia="es-ES"/>
              </w:rPr>
              <w:t xml:space="preserve"> </w:t>
            </w:r>
            <w:r w:rsidRPr="00956B56">
              <w:rPr>
                <w:rFonts w:eastAsia="Times New Roman"/>
                <w:i/>
                <w:iCs/>
                <w:color w:val="000000"/>
                <w:kern w:val="0"/>
                <w:sz w:val="20"/>
                <w:szCs w:val="20"/>
                <w:lang w:eastAsia="es-ES"/>
              </w:rPr>
              <w:t>catus</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31</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22</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33</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38</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124</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9</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308</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FE7D05">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Mustela furo</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22</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Fam. Muridae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Rattus</w:t>
            </w:r>
            <w:r w:rsidR="00FE7D05">
              <w:rPr>
                <w:rFonts w:eastAsia="Times New Roman"/>
                <w:i/>
                <w:iCs/>
                <w:color w:val="000000"/>
                <w:kern w:val="0"/>
                <w:sz w:val="20"/>
                <w:szCs w:val="20"/>
                <w:lang w:eastAsia="es-ES"/>
              </w:rPr>
              <w:t xml:space="preserve"> </w:t>
            </w:r>
            <w:r w:rsidRPr="00956B56">
              <w:rPr>
                <w:rFonts w:eastAsia="Times New Roman"/>
                <w:color w:val="000000"/>
                <w:kern w:val="0"/>
                <w:sz w:val="20"/>
                <w:szCs w:val="20"/>
                <w:lang w:eastAsia="es-ES"/>
              </w:rPr>
              <w:t>sp.</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3</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4</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90</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Fam. Leporidae</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ind w:left="507"/>
              <w:rPr>
                <w:rFonts w:eastAsia="Times New Roman"/>
                <w:color w:val="000000"/>
                <w:kern w:val="0"/>
                <w:sz w:val="20"/>
                <w:szCs w:val="20"/>
                <w:lang w:val="es-ES" w:eastAsia="es-ES"/>
              </w:rPr>
            </w:pPr>
            <w:r w:rsidRPr="00956B56">
              <w:rPr>
                <w:rFonts w:eastAsia="Times New Roman"/>
                <w:i/>
                <w:iCs/>
                <w:color w:val="000000"/>
                <w:kern w:val="0"/>
                <w:sz w:val="20"/>
                <w:szCs w:val="20"/>
                <w:lang w:eastAsia="es-ES"/>
              </w:rPr>
              <w:t>Oryctolagus</w:t>
            </w:r>
            <w:r w:rsidR="00FE7D05">
              <w:rPr>
                <w:rFonts w:eastAsia="Times New Roman"/>
                <w:i/>
                <w:iCs/>
                <w:color w:val="000000"/>
                <w:kern w:val="0"/>
                <w:sz w:val="20"/>
                <w:szCs w:val="20"/>
                <w:lang w:eastAsia="es-ES"/>
              </w:rPr>
              <w:t xml:space="preserve"> </w:t>
            </w:r>
            <w:r w:rsidRPr="00956B56">
              <w:rPr>
                <w:rFonts w:eastAsia="Times New Roman"/>
                <w:i/>
                <w:iCs/>
                <w:color w:val="000000"/>
                <w:kern w:val="0"/>
                <w:sz w:val="20"/>
                <w:szCs w:val="20"/>
                <w:lang w:eastAsia="es-ES"/>
              </w:rPr>
              <w:t>cuniculus</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28</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12</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20</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45</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105</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1,175</w:t>
            </w:r>
          </w:p>
        </w:tc>
      </w:tr>
      <w:tr w:rsidR="00E12CCE" w:rsidRPr="00956B56" w:rsidTr="00471F2F">
        <w:trPr>
          <w:trHeight w:val="20"/>
          <w:jc w:val="center"/>
        </w:trPr>
        <w:tc>
          <w:tcPr>
            <w:tcW w:w="296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Unidentified</w:t>
            </w:r>
          </w:p>
        </w:tc>
        <w:tc>
          <w:tcPr>
            <w:tcW w:w="7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w:t>
            </w:r>
          </w:p>
        </w:tc>
        <w:tc>
          <w:tcPr>
            <w:tcW w:w="691"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0</w:t>
            </w:r>
          </w:p>
        </w:tc>
        <w:tc>
          <w:tcPr>
            <w:tcW w:w="66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3</w:t>
            </w:r>
          </w:p>
        </w:tc>
        <w:tc>
          <w:tcPr>
            <w:tcW w:w="812"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8</w:t>
            </w:r>
          </w:p>
        </w:tc>
        <w:tc>
          <w:tcPr>
            <w:tcW w:w="559"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13</w:t>
            </w:r>
          </w:p>
        </w:tc>
        <w:tc>
          <w:tcPr>
            <w:tcW w:w="636"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w:t>
            </w:r>
          </w:p>
        </w:tc>
        <w:tc>
          <w:tcPr>
            <w:tcW w:w="437" w:type="dxa"/>
            <w:tcBorders>
              <w:top w:val="nil"/>
              <w:left w:val="nil"/>
              <w:bottom w:val="nil"/>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67</w:t>
            </w:r>
          </w:p>
        </w:tc>
        <w:tc>
          <w:tcPr>
            <w:tcW w:w="1373" w:type="dxa"/>
            <w:tcBorders>
              <w:top w:val="nil"/>
              <w:left w:val="nil"/>
              <w:bottom w:val="nil"/>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146</w:t>
            </w:r>
          </w:p>
        </w:tc>
      </w:tr>
      <w:tr w:rsidR="00E12CCE" w:rsidRPr="00956B56" w:rsidTr="00471F2F">
        <w:trPr>
          <w:trHeight w:val="20"/>
          <w:jc w:val="center"/>
        </w:trPr>
        <w:tc>
          <w:tcPr>
            <w:tcW w:w="2963"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TOTAL mammals</w:t>
            </w:r>
          </w:p>
        </w:tc>
        <w:tc>
          <w:tcPr>
            <w:tcW w:w="791"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r w:rsidRPr="00956B56">
              <w:rPr>
                <w:rFonts w:ascii="Calibri" w:eastAsia="Times New Roman" w:hAnsi="Calibri" w:cs="Calibri"/>
                <w:color w:val="000000"/>
                <w:kern w:val="0"/>
                <w:szCs w:val="22"/>
                <w:lang w:val="es-ES" w:eastAsia="es-ES"/>
              </w:rPr>
              <w:t> </w:t>
            </w:r>
          </w:p>
        </w:tc>
        <w:tc>
          <w:tcPr>
            <w:tcW w:w="691"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r w:rsidRPr="00956B56">
              <w:rPr>
                <w:rFonts w:ascii="Calibri" w:eastAsia="Times New Roman" w:hAnsi="Calibri" w:cs="Calibri"/>
                <w:color w:val="000000"/>
                <w:kern w:val="0"/>
                <w:szCs w:val="22"/>
                <w:lang w:val="es-ES" w:eastAsia="es-ES"/>
              </w:rPr>
              <w:t> </w:t>
            </w:r>
          </w:p>
        </w:tc>
        <w:tc>
          <w:tcPr>
            <w:tcW w:w="669"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r w:rsidRPr="00956B56">
              <w:rPr>
                <w:rFonts w:ascii="Calibri" w:eastAsia="Times New Roman" w:hAnsi="Calibri" w:cs="Calibri"/>
                <w:color w:val="000000"/>
                <w:kern w:val="0"/>
                <w:szCs w:val="22"/>
                <w:lang w:val="es-ES" w:eastAsia="es-ES"/>
              </w:rPr>
              <w:t> </w:t>
            </w:r>
          </w:p>
        </w:tc>
        <w:tc>
          <w:tcPr>
            <w:tcW w:w="812"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r w:rsidRPr="00956B56">
              <w:rPr>
                <w:rFonts w:ascii="Calibri" w:eastAsia="Times New Roman" w:hAnsi="Calibri" w:cs="Calibri"/>
                <w:color w:val="000000"/>
                <w:kern w:val="0"/>
                <w:szCs w:val="22"/>
                <w:lang w:val="es-ES" w:eastAsia="es-ES"/>
              </w:rPr>
              <w:t> </w:t>
            </w:r>
          </w:p>
        </w:tc>
        <w:tc>
          <w:tcPr>
            <w:tcW w:w="559"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412</w:t>
            </w:r>
          </w:p>
        </w:tc>
        <w:tc>
          <w:tcPr>
            <w:tcW w:w="636"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r w:rsidRPr="00956B56">
              <w:rPr>
                <w:rFonts w:ascii="Calibri" w:eastAsia="Times New Roman" w:hAnsi="Calibri" w:cs="Calibri"/>
                <w:color w:val="000000"/>
                <w:kern w:val="0"/>
                <w:szCs w:val="22"/>
                <w:lang w:val="es-ES" w:eastAsia="es-ES"/>
              </w:rPr>
              <w:t> </w:t>
            </w:r>
          </w:p>
        </w:tc>
        <w:tc>
          <w:tcPr>
            <w:tcW w:w="437" w:type="dxa"/>
            <w:tcBorders>
              <w:top w:val="nil"/>
              <w:left w:val="nil"/>
              <w:bottom w:val="single" w:sz="8" w:space="0" w:color="auto"/>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 </w:t>
            </w:r>
          </w:p>
        </w:tc>
        <w:tc>
          <w:tcPr>
            <w:tcW w:w="1373"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2,54</w:t>
            </w:r>
            <w:r w:rsidR="005A4EF9">
              <w:rPr>
                <w:rFonts w:eastAsia="Times New Roman"/>
                <w:color w:val="000000"/>
                <w:kern w:val="0"/>
                <w:sz w:val="20"/>
                <w:szCs w:val="20"/>
                <w:lang w:val="en-GB" w:eastAsia="es-ES"/>
              </w:rPr>
              <w:t>0</w:t>
            </w:r>
          </w:p>
        </w:tc>
      </w:tr>
      <w:tr w:rsidR="00E12CCE" w:rsidRPr="00956B56" w:rsidTr="00471F2F">
        <w:trPr>
          <w:trHeight w:val="20"/>
          <w:jc w:val="center"/>
        </w:trPr>
        <w:tc>
          <w:tcPr>
            <w:tcW w:w="2963"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TOTAL</w:t>
            </w:r>
          </w:p>
        </w:tc>
        <w:tc>
          <w:tcPr>
            <w:tcW w:w="791"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r w:rsidRPr="00956B56">
              <w:rPr>
                <w:rFonts w:ascii="Calibri" w:eastAsia="Times New Roman" w:hAnsi="Calibri" w:cs="Calibri"/>
                <w:color w:val="000000"/>
                <w:kern w:val="0"/>
                <w:szCs w:val="22"/>
                <w:lang w:val="es-ES" w:eastAsia="es-ES"/>
              </w:rPr>
              <w:t> </w:t>
            </w:r>
          </w:p>
        </w:tc>
        <w:tc>
          <w:tcPr>
            <w:tcW w:w="691"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r w:rsidRPr="00956B56">
              <w:rPr>
                <w:rFonts w:ascii="Calibri" w:eastAsia="Times New Roman" w:hAnsi="Calibri" w:cs="Calibri"/>
                <w:color w:val="000000"/>
                <w:kern w:val="0"/>
                <w:szCs w:val="22"/>
                <w:lang w:val="es-ES" w:eastAsia="es-ES"/>
              </w:rPr>
              <w:t> </w:t>
            </w:r>
          </w:p>
        </w:tc>
        <w:tc>
          <w:tcPr>
            <w:tcW w:w="669"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r w:rsidRPr="00956B56">
              <w:rPr>
                <w:rFonts w:ascii="Calibri" w:eastAsia="Times New Roman" w:hAnsi="Calibri" w:cs="Calibri"/>
                <w:color w:val="000000"/>
                <w:kern w:val="0"/>
                <w:szCs w:val="22"/>
                <w:lang w:val="es-ES" w:eastAsia="es-ES"/>
              </w:rPr>
              <w:t> </w:t>
            </w:r>
          </w:p>
        </w:tc>
        <w:tc>
          <w:tcPr>
            <w:tcW w:w="812"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r w:rsidRPr="00956B56">
              <w:rPr>
                <w:rFonts w:ascii="Calibri" w:eastAsia="Times New Roman" w:hAnsi="Calibri" w:cs="Calibri"/>
                <w:color w:val="000000"/>
                <w:kern w:val="0"/>
                <w:szCs w:val="22"/>
                <w:lang w:val="es-ES" w:eastAsia="es-ES"/>
              </w:rPr>
              <w:t> </w:t>
            </w:r>
          </w:p>
        </w:tc>
        <w:tc>
          <w:tcPr>
            <w:tcW w:w="559"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666</w:t>
            </w:r>
          </w:p>
        </w:tc>
        <w:tc>
          <w:tcPr>
            <w:tcW w:w="636"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rPr>
                <w:rFonts w:ascii="Calibri" w:eastAsia="Times New Roman" w:hAnsi="Calibri" w:cs="Calibri"/>
                <w:color w:val="000000"/>
                <w:kern w:val="0"/>
                <w:lang w:val="es-ES" w:eastAsia="es-ES"/>
              </w:rPr>
            </w:pPr>
            <w:r w:rsidRPr="00956B56">
              <w:rPr>
                <w:rFonts w:ascii="Calibri" w:eastAsia="Times New Roman" w:hAnsi="Calibri" w:cs="Calibri"/>
                <w:color w:val="000000"/>
                <w:kern w:val="0"/>
                <w:szCs w:val="22"/>
                <w:lang w:val="es-ES" w:eastAsia="es-ES"/>
              </w:rPr>
              <w:t> </w:t>
            </w:r>
          </w:p>
        </w:tc>
        <w:tc>
          <w:tcPr>
            <w:tcW w:w="437" w:type="dxa"/>
            <w:tcBorders>
              <w:top w:val="nil"/>
              <w:left w:val="nil"/>
              <w:bottom w:val="single" w:sz="8" w:space="0" w:color="auto"/>
              <w:right w:val="nil"/>
            </w:tcBorders>
            <w:shd w:val="clear" w:color="auto" w:fill="auto"/>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 </w:t>
            </w:r>
          </w:p>
        </w:tc>
        <w:tc>
          <w:tcPr>
            <w:tcW w:w="1373" w:type="dxa"/>
            <w:tcBorders>
              <w:top w:val="nil"/>
              <w:left w:val="nil"/>
              <w:bottom w:val="single" w:sz="8" w:space="0" w:color="auto"/>
              <w:right w:val="nil"/>
            </w:tcBorders>
            <w:shd w:val="clear" w:color="auto" w:fill="auto"/>
            <w:noWrap/>
            <w:vAlign w:val="bottom"/>
            <w:hideMark/>
          </w:tcPr>
          <w:p w:rsidR="00956B56" w:rsidRPr="00956B56" w:rsidRDefault="00956B56" w:rsidP="00E12CCE">
            <w:pPr>
              <w:suppressAutoHyphens w:val="0"/>
              <w:spacing w:line="240" w:lineRule="auto"/>
              <w:jc w:val="center"/>
              <w:rPr>
                <w:rFonts w:eastAsia="Times New Roman"/>
                <w:color w:val="000000"/>
                <w:kern w:val="0"/>
                <w:sz w:val="20"/>
                <w:szCs w:val="20"/>
                <w:lang w:val="es-ES" w:eastAsia="es-ES"/>
              </w:rPr>
            </w:pPr>
            <w:r w:rsidRPr="00956B56">
              <w:rPr>
                <w:rFonts w:eastAsia="Times New Roman"/>
                <w:color w:val="000000"/>
                <w:kern w:val="0"/>
                <w:sz w:val="20"/>
                <w:szCs w:val="20"/>
                <w:lang w:val="en-GB" w:eastAsia="es-ES"/>
              </w:rPr>
              <w:t>9,664</w:t>
            </w:r>
          </w:p>
        </w:tc>
      </w:tr>
    </w:tbl>
    <w:p w:rsidR="002F7618" w:rsidRPr="00713DD0" w:rsidRDefault="002F7618" w:rsidP="002F7618">
      <w:pPr>
        <w:spacing w:line="240" w:lineRule="auto"/>
        <w:rPr>
          <w:sz w:val="24"/>
          <w:lang w:val="en-GB"/>
        </w:rPr>
      </w:pPr>
    </w:p>
    <w:p w:rsidR="002F7618" w:rsidRPr="00713DD0" w:rsidRDefault="002F7618" w:rsidP="002F7618">
      <w:pPr>
        <w:spacing w:line="240" w:lineRule="auto"/>
        <w:rPr>
          <w:sz w:val="24"/>
          <w:lang w:val="en-GB"/>
        </w:rPr>
      </w:pPr>
    </w:p>
    <w:p w:rsidR="002F7618" w:rsidRPr="0081486B" w:rsidRDefault="002F7618" w:rsidP="002F7618">
      <w:pPr>
        <w:rPr>
          <w:sz w:val="24"/>
          <w:lang w:val="en-GB"/>
        </w:rPr>
      </w:pPr>
    </w:p>
    <w:p w:rsidR="00CC19AA" w:rsidRDefault="00FA0F66">
      <w:pPr>
        <w:rPr>
          <w:lang w:val="en-US"/>
        </w:rPr>
      </w:pPr>
      <w:r w:rsidRPr="00FA0F66">
        <w:rPr>
          <w:sz w:val="24"/>
          <w:lang w:val="en-US"/>
        </w:rPr>
        <w:t>References</w:t>
      </w:r>
    </w:p>
    <w:p w:rsidR="00FA0F66" w:rsidRDefault="00FA0F66">
      <w:pPr>
        <w:rPr>
          <w:lang w:val="en-US"/>
        </w:rPr>
      </w:pPr>
    </w:p>
    <w:p w:rsidR="00FA0F66" w:rsidRPr="00FA0F66" w:rsidRDefault="00844F50" w:rsidP="00FA0F66">
      <w:pPr>
        <w:widowControl w:val="0"/>
        <w:autoSpaceDE w:val="0"/>
        <w:autoSpaceDN w:val="0"/>
        <w:adjustRightInd w:val="0"/>
        <w:ind w:left="640" w:hanging="640"/>
        <w:rPr>
          <w:noProof/>
        </w:rPr>
      </w:pPr>
      <w:r>
        <w:rPr>
          <w:lang w:val="en-US"/>
        </w:rPr>
        <w:fldChar w:fldCharType="begin" w:fldLock="1"/>
      </w:r>
      <w:r w:rsidR="00FA0F66">
        <w:rPr>
          <w:lang w:val="en-US"/>
        </w:rPr>
        <w:instrText xml:space="preserve">ADDIN Mendeley Bibliography CSL_BIBLIOGRAPHY </w:instrText>
      </w:r>
      <w:r>
        <w:rPr>
          <w:lang w:val="en-US"/>
        </w:rPr>
        <w:fldChar w:fldCharType="separate"/>
      </w:r>
      <w:r w:rsidR="00FA0F66" w:rsidRPr="00FE7D05">
        <w:rPr>
          <w:noProof/>
          <w:lang w:val="en-US"/>
        </w:rPr>
        <w:t xml:space="preserve">1. </w:t>
      </w:r>
      <w:r w:rsidR="00FA0F66" w:rsidRPr="00FE7D05">
        <w:rPr>
          <w:noProof/>
          <w:lang w:val="en-US"/>
        </w:rPr>
        <w:tab/>
        <w:t xml:space="preserve">Santos SM, Carvalho F, Mira A. How long do the dead survive on the road? Carcass persistence probability and implications for road-kill monitoring surveys. </w:t>
      </w:r>
      <w:r w:rsidR="00FA0F66" w:rsidRPr="00FA0F66">
        <w:rPr>
          <w:noProof/>
        </w:rPr>
        <w:t>PLoS ONE. 2011;6. doi:10.1371/journal.pone.0025383</w:t>
      </w:r>
    </w:p>
    <w:p w:rsidR="00FA0F66" w:rsidRPr="00956B56" w:rsidRDefault="00844F50">
      <w:pPr>
        <w:rPr>
          <w:lang w:val="en-US"/>
        </w:rPr>
      </w:pPr>
      <w:r>
        <w:rPr>
          <w:lang w:val="en-US"/>
        </w:rPr>
        <w:fldChar w:fldCharType="end"/>
      </w:r>
    </w:p>
    <w:sectPr w:rsidR="00FA0F66" w:rsidRPr="00956B56" w:rsidSect="0019745D">
      <w:footerReference w:type="default" r:id="rId7"/>
      <w:footnotePr>
        <w:pos w:val="beneathText"/>
      </w:footnotePr>
      <w:pgSz w:w="11905" w:h="16837"/>
      <w:pgMar w:top="1417" w:right="1557" w:bottom="1417" w:left="1560" w:header="720" w:footer="720" w:gutter="0"/>
      <w:cols w:space="720"/>
      <w:docGrid w:linePitch="299" w:charSpace="36864"/>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CE15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E0E" w:rsidRDefault="005D6E0E" w:rsidP="00E70AAE">
      <w:pPr>
        <w:spacing w:line="240" w:lineRule="auto"/>
      </w:pPr>
      <w:r>
        <w:separator/>
      </w:r>
    </w:p>
  </w:endnote>
  <w:endnote w:type="continuationSeparator" w:id="1">
    <w:p w:rsidR="005D6E0E" w:rsidRDefault="005D6E0E" w:rsidP="00E70A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BA" w:rsidRDefault="00844F50">
    <w:pPr>
      <w:pStyle w:val="Piedepgina"/>
      <w:jc w:val="center"/>
    </w:pPr>
    <w:r>
      <w:fldChar w:fldCharType="begin"/>
    </w:r>
    <w:r w:rsidR="002F7618">
      <w:instrText xml:space="preserve"> PAGE   \* MERGEFORMAT </w:instrText>
    </w:r>
    <w:r>
      <w:fldChar w:fldCharType="separate"/>
    </w:r>
    <w:r w:rsidR="00DF27BF">
      <w:rPr>
        <w:noProof/>
      </w:rPr>
      <w:t>2</w:t>
    </w:r>
    <w:r>
      <w:fldChar w:fldCharType="end"/>
    </w:r>
  </w:p>
  <w:p w:rsidR="007F30BA" w:rsidRDefault="005D6E0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E0E" w:rsidRDefault="005D6E0E" w:rsidP="00E70AAE">
      <w:pPr>
        <w:spacing w:line="240" w:lineRule="auto"/>
      </w:pPr>
      <w:r>
        <w:separator/>
      </w:r>
    </w:p>
  </w:footnote>
  <w:footnote w:type="continuationSeparator" w:id="1">
    <w:p w:rsidR="005D6E0E" w:rsidRDefault="005D6E0E" w:rsidP="00E70AAE">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ram">
    <w15:presenceInfo w15:providerId="None" w15:userId="air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10242"/>
  </w:hdrShapeDefaults>
  <w:footnotePr>
    <w:pos w:val="beneathText"/>
    <w:footnote w:id="0"/>
    <w:footnote w:id="1"/>
  </w:footnotePr>
  <w:endnotePr>
    <w:endnote w:id="0"/>
    <w:endnote w:id="1"/>
  </w:endnotePr>
  <w:compat/>
  <w:rsids>
    <w:rsidRoot w:val="002F7618"/>
    <w:rsid w:val="00000BDE"/>
    <w:rsid w:val="00041A8E"/>
    <w:rsid w:val="001067D2"/>
    <w:rsid w:val="0019745D"/>
    <w:rsid w:val="001C4544"/>
    <w:rsid w:val="002902CC"/>
    <w:rsid w:val="002F7618"/>
    <w:rsid w:val="00471F2F"/>
    <w:rsid w:val="004863B2"/>
    <w:rsid w:val="004C13B5"/>
    <w:rsid w:val="004E2FDB"/>
    <w:rsid w:val="00585572"/>
    <w:rsid w:val="005A4EF9"/>
    <w:rsid w:val="005D6E0E"/>
    <w:rsid w:val="005F0513"/>
    <w:rsid w:val="00780EBF"/>
    <w:rsid w:val="007D1AAD"/>
    <w:rsid w:val="008242FE"/>
    <w:rsid w:val="00844F50"/>
    <w:rsid w:val="008C3918"/>
    <w:rsid w:val="008E080D"/>
    <w:rsid w:val="00956B56"/>
    <w:rsid w:val="00AD4F43"/>
    <w:rsid w:val="00AE33EB"/>
    <w:rsid w:val="00B04B9C"/>
    <w:rsid w:val="00BE1BBC"/>
    <w:rsid w:val="00C17677"/>
    <w:rsid w:val="00C52ADE"/>
    <w:rsid w:val="00C6753C"/>
    <w:rsid w:val="00CC19AA"/>
    <w:rsid w:val="00CD3B99"/>
    <w:rsid w:val="00DC5A62"/>
    <w:rsid w:val="00DE3923"/>
    <w:rsid w:val="00DF27BF"/>
    <w:rsid w:val="00E12CCE"/>
    <w:rsid w:val="00E70AAE"/>
    <w:rsid w:val="00E904F5"/>
    <w:rsid w:val="00EA11AA"/>
    <w:rsid w:val="00F0709D"/>
    <w:rsid w:val="00F308C4"/>
    <w:rsid w:val="00F544DE"/>
    <w:rsid w:val="00FA0F66"/>
    <w:rsid w:val="00FC623E"/>
    <w:rsid w:val="00FE7D05"/>
    <w:rsid w:val="00FF374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18"/>
    <w:pPr>
      <w:suppressAutoHyphens/>
      <w:spacing w:after="0" w:line="360" w:lineRule="auto"/>
    </w:pPr>
    <w:rPr>
      <w:rFonts w:ascii="Times New Roman" w:eastAsia="Arial Unicode MS" w:hAnsi="Times New Roman" w:cs="Times New Roman"/>
      <w:kern w:val="1"/>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F7618"/>
    <w:pPr>
      <w:tabs>
        <w:tab w:val="center" w:pos="4252"/>
        <w:tab w:val="right" w:pos="8504"/>
      </w:tabs>
    </w:pPr>
  </w:style>
  <w:style w:type="character" w:customStyle="1" w:styleId="PiedepginaCar">
    <w:name w:val="Pie de página Car"/>
    <w:basedOn w:val="Fuentedeprrafopredeter"/>
    <w:link w:val="Piedepgina"/>
    <w:uiPriority w:val="99"/>
    <w:rsid w:val="002F7618"/>
    <w:rPr>
      <w:rFonts w:ascii="Times New Roman" w:eastAsia="Arial Unicode MS" w:hAnsi="Times New Roman" w:cs="Times New Roman"/>
      <w:kern w:val="1"/>
      <w:szCs w:val="24"/>
      <w:lang w:val="es-ES_tradnl" w:eastAsia="ar-SA"/>
    </w:rPr>
  </w:style>
  <w:style w:type="character" w:styleId="Nmerodelnea">
    <w:name w:val="line number"/>
    <w:basedOn w:val="Fuentedeprrafopredeter"/>
    <w:uiPriority w:val="99"/>
    <w:semiHidden/>
    <w:unhideWhenUsed/>
    <w:rsid w:val="002F7618"/>
  </w:style>
  <w:style w:type="character" w:styleId="Refdecomentario">
    <w:name w:val="annotation reference"/>
    <w:basedOn w:val="Fuentedeprrafopredeter"/>
    <w:uiPriority w:val="99"/>
    <w:semiHidden/>
    <w:unhideWhenUsed/>
    <w:rsid w:val="00585572"/>
    <w:rPr>
      <w:sz w:val="16"/>
      <w:szCs w:val="16"/>
    </w:rPr>
  </w:style>
  <w:style w:type="paragraph" w:styleId="Textocomentario">
    <w:name w:val="annotation text"/>
    <w:basedOn w:val="Normal"/>
    <w:link w:val="TextocomentarioCar"/>
    <w:uiPriority w:val="99"/>
    <w:semiHidden/>
    <w:unhideWhenUsed/>
    <w:rsid w:val="005855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5572"/>
    <w:rPr>
      <w:rFonts w:ascii="Times New Roman" w:eastAsia="Arial Unicode MS" w:hAnsi="Times New Roman" w:cs="Times New Roman"/>
      <w:kern w:val="1"/>
      <w:sz w:val="20"/>
      <w:szCs w:val="20"/>
      <w:lang w:val="es-ES_tradnl" w:eastAsia="ar-SA"/>
    </w:rPr>
  </w:style>
  <w:style w:type="paragraph" w:styleId="Asuntodelcomentario">
    <w:name w:val="annotation subject"/>
    <w:basedOn w:val="Textocomentario"/>
    <w:next w:val="Textocomentario"/>
    <w:link w:val="AsuntodelcomentarioCar"/>
    <w:uiPriority w:val="99"/>
    <w:semiHidden/>
    <w:unhideWhenUsed/>
    <w:rsid w:val="00585572"/>
    <w:rPr>
      <w:b/>
      <w:bCs/>
    </w:rPr>
  </w:style>
  <w:style w:type="character" w:customStyle="1" w:styleId="AsuntodelcomentarioCar">
    <w:name w:val="Asunto del comentario Car"/>
    <w:basedOn w:val="TextocomentarioCar"/>
    <w:link w:val="Asuntodelcomentario"/>
    <w:uiPriority w:val="99"/>
    <w:semiHidden/>
    <w:rsid w:val="00585572"/>
    <w:rPr>
      <w:rFonts w:ascii="Times New Roman" w:eastAsia="Arial Unicode MS" w:hAnsi="Times New Roman" w:cs="Times New Roman"/>
      <w:b/>
      <w:bCs/>
      <w:kern w:val="1"/>
      <w:sz w:val="20"/>
      <w:szCs w:val="20"/>
      <w:lang w:val="es-ES_tradnl" w:eastAsia="ar-SA"/>
    </w:rPr>
  </w:style>
  <w:style w:type="paragraph" w:styleId="Textodeglobo">
    <w:name w:val="Balloon Text"/>
    <w:basedOn w:val="Normal"/>
    <w:link w:val="TextodegloboCar"/>
    <w:uiPriority w:val="99"/>
    <w:semiHidden/>
    <w:unhideWhenUsed/>
    <w:rsid w:val="0058557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5572"/>
    <w:rPr>
      <w:rFonts w:ascii="Segoe UI" w:eastAsia="Arial Unicode MS" w:hAnsi="Segoe UI" w:cs="Segoe UI"/>
      <w:kern w:val="1"/>
      <w:sz w:val="18"/>
      <w:szCs w:val="18"/>
      <w:lang w:val="es-ES_tradnl" w:eastAsia="ar-SA"/>
    </w:rPr>
  </w:style>
  <w:style w:type="paragraph" w:customStyle="1" w:styleId="Ttuloprincipal">
    <w:name w:val="Título principal"/>
    <w:basedOn w:val="Normal"/>
    <w:link w:val="TtuloprincipalCar"/>
    <w:qFormat/>
    <w:rsid w:val="00780EBF"/>
    <w:rPr>
      <w:b/>
      <w:sz w:val="28"/>
      <w:szCs w:val="32"/>
      <w:lang w:val="en-US"/>
    </w:rPr>
  </w:style>
  <w:style w:type="character" w:customStyle="1" w:styleId="TtuloprincipalCar">
    <w:name w:val="Título principal Car"/>
    <w:link w:val="Ttuloprincipal"/>
    <w:rsid w:val="00780EBF"/>
    <w:rPr>
      <w:rFonts w:ascii="Times New Roman" w:eastAsia="Arial Unicode MS" w:hAnsi="Times New Roman" w:cs="Times New Roman"/>
      <w:b/>
      <w:kern w:val="1"/>
      <w:sz w:val="28"/>
      <w:szCs w:val="32"/>
      <w:lang w:val="en-US" w:eastAsia="ar-SA"/>
    </w:rPr>
  </w:style>
</w:styles>
</file>

<file path=word/webSettings.xml><?xml version="1.0" encoding="utf-8"?>
<w:webSettings xmlns:r="http://schemas.openxmlformats.org/officeDocument/2006/relationships" xmlns:w="http://schemas.openxmlformats.org/wordprocessingml/2006/main">
  <w:divs>
    <w:div w:id="243615958">
      <w:bodyDiv w:val="1"/>
      <w:marLeft w:val="0"/>
      <w:marRight w:val="0"/>
      <w:marTop w:val="0"/>
      <w:marBottom w:val="0"/>
      <w:divBdr>
        <w:top w:val="none" w:sz="0" w:space="0" w:color="auto"/>
        <w:left w:val="none" w:sz="0" w:space="0" w:color="auto"/>
        <w:bottom w:val="none" w:sz="0" w:space="0" w:color="auto"/>
        <w:right w:val="none" w:sz="0" w:space="0" w:color="auto"/>
      </w:divBdr>
    </w:div>
    <w:div w:id="16387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9DF70-51A0-45DC-966C-87C5AB29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1028</Words>
  <Characters>5655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Beneharo Rodríguez</dc:creator>
  <cp:lastModifiedBy>Beneharo Rodríguez</cp:lastModifiedBy>
  <cp:revision>7</cp:revision>
  <cp:lastPrinted>2017-12-06T13:01:00Z</cp:lastPrinted>
  <dcterms:created xsi:type="dcterms:W3CDTF">2018-01-16T09:38:00Z</dcterms:created>
  <dcterms:modified xsi:type="dcterms:W3CDTF">2018-01-23T12:17:00Z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http://www.zotero.org/styles/biological-conservation</vt:lpwstr>
  </property>
  <property fmtid="{D5CDD505-2E9C-101B-9397-08002B2CF9AE}" pid="9" name="Mendeley Recent Style Name 3_1">
    <vt:lpwstr>Biological Conservation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16th edition (full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http://csl.mendeley.com/styles/481716961/Plosone-2</vt:lpwstr>
  </property>
  <property fmtid="{D5CDD505-2E9C-101B-9397-08002B2CF9AE}" pid="21" name="Mendeley Recent Style Name 9_1">
    <vt:lpwstr>Public Library of Science - Rodríguez Martín</vt:lpwstr>
  </property>
  <property fmtid="{D5CDD505-2E9C-101B-9397-08002B2CF9AE}" pid="22" name="Mendeley Document_1">
    <vt:lpwstr>True</vt:lpwstr>
  </property>
  <property fmtid="{D5CDD505-2E9C-101B-9397-08002B2CF9AE}" pid="23" name="Mendeley Unique User Id_1">
    <vt:lpwstr>9badce76-2058-305d-b27a-adaea18a2347</vt:lpwstr>
  </property>
  <property fmtid="{D5CDD505-2E9C-101B-9397-08002B2CF9AE}" pid="24" name="Mendeley Citation Style_1">
    <vt:lpwstr>http://csl.mendeley.com/styles/481716961/Plosone-2</vt:lpwstr>
  </property>
</Properties>
</file>