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2EDD" w14:textId="0222A1EC" w:rsidR="00D62279" w:rsidRPr="00607039" w:rsidRDefault="00D62279" w:rsidP="00607039">
      <w:pPr>
        <w:pStyle w:val="MartinsTNR"/>
        <w:rPr>
          <w:b/>
          <w:sz w:val="36"/>
          <w:szCs w:val="36"/>
        </w:rPr>
      </w:pPr>
      <w:r w:rsidRPr="00607039">
        <w:rPr>
          <w:b/>
          <w:sz w:val="36"/>
          <w:szCs w:val="36"/>
        </w:rPr>
        <w:t>Material and Methods</w:t>
      </w:r>
    </w:p>
    <w:p w14:paraId="03C4A7D6" w14:textId="0C1C406B" w:rsidR="00D62279" w:rsidRDefault="00D62279" w:rsidP="004D452E">
      <w:pPr>
        <w:pStyle w:val="MartinsTNR"/>
        <w:spacing w:line="480" w:lineRule="auto"/>
      </w:pPr>
      <w:r>
        <w:t>Stalagmite S1 is ~230 mm long (</w:t>
      </w:r>
      <w:r w:rsidRPr="00760DCB">
        <w:rPr>
          <w:b/>
        </w:rPr>
        <w:t>FIG</w:t>
      </w:r>
      <w:r w:rsidR="008A6EED">
        <w:rPr>
          <w:b/>
        </w:rPr>
        <w:t xml:space="preserve"> 1</w:t>
      </w:r>
      <w:r>
        <w:t xml:space="preserve">). The stalagmite was </w:t>
      </w:r>
      <w:r w:rsidR="004B6A64">
        <w:t>already detached</w:t>
      </w:r>
      <w:r>
        <w:t xml:space="preserve"> when collected from the cave floor in the inner chamber approximately 3</w:t>
      </w:r>
      <w:r w:rsidRPr="00303797">
        <w:t>0 meters</w:t>
      </w:r>
      <w:r>
        <w:t xml:space="preserve"> from the entrance. From the center of the stalagmite, a one-centimeter thick slab was cut parallel to the growth axis. Extraction of samples for st</w:t>
      </w:r>
      <w:bookmarkStart w:id="0" w:name="_GoBack"/>
      <w:bookmarkEnd w:id="0"/>
      <w:r>
        <w:t>able isotope</w:t>
      </w:r>
      <w:r w:rsidR="004D452E">
        <w:t xml:space="preserve"> analysis</w:t>
      </w:r>
      <w:r>
        <w:t xml:space="preserve"> and uranium thorium </w:t>
      </w:r>
      <w:r w:rsidR="004D452E">
        <w:t xml:space="preserve">dating </w:t>
      </w:r>
      <w:r>
        <w:t xml:space="preserve">was done on opposite sides of the thick section. </w:t>
      </w:r>
      <w:r w:rsidRPr="000C2E1F">
        <w:t>A visual inspection of the central slab shows that t</w:t>
      </w:r>
      <w:r>
        <w:t>he position of the growth axis changed several times during the formation. Petrographic thin sections (30 μm) were produced from a side facing the central slab and analyzed under Nikon Optiphot2-Pol under x25 and x100 magnification.</w:t>
      </w:r>
    </w:p>
    <w:p w14:paraId="20C55F5E" w14:textId="04F3378A" w:rsidR="00587D2D" w:rsidRDefault="00587D2D" w:rsidP="004D452E">
      <w:pPr>
        <w:pStyle w:val="MartinsTNR"/>
        <w:spacing w:line="480" w:lineRule="auto"/>
      </w:pPr>
      <w:r>
        <w:t xml:space="preserve">Twenty four subsamples of 50-100 mg were drilled along growth lamina and mixed with a triple-spike </w:t>
      </w:r>
      <w:r w:rsidRPr="00152EAD">
        <w:rPr>
          <w:vertAlign w:val="superscript"/>
        </w:rPr>
        <w:t>229</w:t>
      </w:r>
      <w:r>
        <w:t>Th-</w:t>
      </w:r>
      <w:r w:rsidRPr="00152EAD">
        <w:rPr>
          <w:vertAlign w:val="superscript"/>
        </w:rPr>
        <w:t>23</w:t>
      </w:r>
      <w:r w:rsidRPr="00A87F70">
        <w:rPr>
          <w:vertAlign w:val="superscript"/>
        </w:rPr>
        <w:t>3</w:t>
      </w:r>
      <w:r>
        <w:t>U-</w:t>
      </w:r>
      <w:r w:rsidRPr="00152EAD">
        <w:rPr>
          <w:vertAlign w:val="superscript"/>
        </w:rPr>
        <w:t>236</w:t>
      </w:r>
      <w:r>
        <w:t>U, which was employed for U and Th fractionation correction. Uranium and thorium separation was conducted in a class-10000 clean room (class-100 bench) following the previous chemistry method</w:t>
      </w:r>
      <w:r w:rsidR="007A6C47">
        <w:t xml:space="preserve"> </w:t>
      </w:r>
      <w:r w:rsidR="007A6C47">
        <w:fldChar w:fldCharType="begin"/>
      </w:r>
      <w:r w:rsidR="008F0FF4">
        <w:instrText xml:space="preserve"> ADDIN ZOTERO_ITEM CSL_CITATION {"citationID":"vfelm7aas","properties":{"formattedCitation":"[1]","plainCitation":"[1]"},"citationItems":[{"id":1058,"uris":["http://zotero.org/users/2892676/items/UUZNMHVP"],"uri":["http://zotero.org/users/2892676/items/UUZNMHVP"],"itemData":{"id":1058,"type":"article-journal","title":"238U234U230Th232Th systematics and the precise measurement of time over the past 500,000 years","container-title":"Earth and Planetary Science Letters","page":"175-192","volume":"81","issue":"2-3","source":"CrossRef","DOI":"10.1016/0012-821X(87)90154-3","ISSN":"0012821X","language":"en","author":[{"family":"Edwards","given":"R.L."},{"family":"Chen","given":"J.H."},{"family":"Wasserburg","given":"G.J."}],"issued":{"date-parts":[["1987",1]]}}}],"schema":"https://github.com/citation-style-language/schema/raw/master/csl-citation.json"} </w:instrText>
      </w:r>
      <w:r w:rsidR="007A6C47">
        <w:fldChar w:fldCharType="separate"/>
      </w:r>
      <w:r w:rsidR="008F0FF4" w:rsidRPr="008F0FF4">
        <w:rPr>
          <w:rFonts w:cs="Times New Roman"/>
        </w:rPr>
        <w:t>[1]</w:t>
      </w:r>
      <w:r w:rsidR="007A6C47">
        <w:fldChar w:fldCharType="end"/>
      </w:r>
      <w:r>
        <w:t xml:space="preserve">. </w:t>
      </w:r>
      <w:r w:rsidR="00825410" w:rsidRPr="00FE6414">
        <w:t xml:space="preserve">Chemistry procedure was described in </w:t>
      </w:r>
      <w:r w:rsidR="007F6BEF">
        <w:t>Shen et al.</w:t>
      </w:r>
      <w:r w:rsidR="007A6C47">
        <w:t xml:space="preserve"> </w:t>
      </w:r>
      <w:r w:rsidR="007A6C47">
        <w:fldChar w:fldCharType="begin"/>
      </w:r>
      <w:r w:rsidR="008F0FF4">
        <w:instrText xml:space="preserve"> ADDIN ZOTERO_ITEM CSL_CITATION {"citationID":"1hdfjlol6g","properties":{"formattedCitation":"[2,3]","plainCitation":"[2,3]"},"citationItems":[{"id":1064,"uris":["http://zotero.org/users/2892676/items/33EP6MPJ"],"uri":["http://zotero.org/users/2892676/items/33EP6MPJ"],"itemData":{"id":1064,"type":"article-journal","title":"Uranium and thorium isotopic and concentration measurements by magnetic sector inductively coupled plasma mass spectrometry","container-title":"Chemical Geology","page":"165-178","volume":"185","issue":"3-4","source":"Scopus","archive":"Scopus","abstract":"We have developed techniques by sector-field inductively coupled plasma mass spectrometry (ICP-MS) for measuring the isotopic composition and concentration of uranium and thorium, focusing on the rare isotopes, 230Th and 234U. These isotopes have been widely used as tracers in earth sciences, e.g., chronology, paleoclimatology, archeology, hydrology, geochemistry, and oceanography. Measurements made on reference materials demonstrate that the analytical precision approximates counting statistics and that the accuracy of the measurement is within error of accepted values. Routine measurement times are 20 min for U and 10 min for Th. The sensitivities (ions counted/atoms introduced) are 2-3‰ for U and 1.5-2‰ for Th. Samples of 10-40 ng of 238U (0.5-2.0 pg of 234U) give measurement precisions of 1-2‰ (2σ) for δ234U and U concentration ([U]). Only 0.4 pg of 230Th are needed to achieve [230Th] and 230Th/232Th data with errors less than 5 ‰ even for cases where 230Th/232Th is 10-5 or less. Our ICP-MS data, including uranium standards, thorium standards, 238U-234U-230Th-232Th dating of speleothems and 230Th-232Th in oceanic particulates, replicates measurements made by thermal ionization mass spectrometry (TIMS). Compared to TIMS, the ICP-MS method allows smaller sample size and higher sample throughput due to higher sensitivity, fewer sample preparation steps and shorter measurement times. However, mass biases, intensity biases, spectral interferences and instrumental blanks are significant and must be addressed. © 2002 Elsevier Science B.V. All rights reserved.","DOI":"10.1016/S0009-2541(01)00404-1","author":[{"family":"Shen","given":"C.-C."},{"family":"Lawrence","given":"Edwards"},{"family":"Cheng","given":"H."},{"family":"Dorale","given":"J.A."},{"family":"Thomas","given":"R.B."},{"family":"Bradley","given":"Moran"},{"family":"Weinstein","given":"S.E."},{"family":"Edmonds","given":"H.N."}],"issued":{"date-parts":[["2002"]]}}},{"id":1055,"uris":["http://zotero.org/users/2892676/items/G44GEJQF"],"uri":["http://zotero.org/users/2892676/items/G44GEJQF"],"itemData":{"id":1055,"type":"article-journal","title":"Measurement of Attogram Quantities of &lt;sup&gt;231&lt;/sup&gt; Pa in Dissolved and Particulate Fractions of Seawater by Isotope Dilution Thermal Ionization Mass Spectroscopy","container-title":"Analytical Chemistry","page":"1075-1079","volume":"75","issue":"5","source":"CrossRef","DOI":"10.1021/ac026247r","ISSN":"0003-2700, 1520-6882","language":"en","author":[{"family":"Shen","given":"Chuan-Chou"},{"family":"Cheng","given":"Hai"},{"family":"Edwards","given":"R. Lawrence"},{"family":"Moran","given":"S. Bradley"},{"family":"Edmonds","given":"Henrietta N."},{"family":"Hoff","given":"John A."},{"family":"Thomas","given":"Rebecca B."}],"issued":{"date-parts":[["2003",3]]}}}],"schema":"https://github.com/citation-style-language/schema/raw/master/csl-citation.json"} </w:instrText>
      </w:r>
      <w:r w:rsidR="007A6C47">
        <w:fldChar w:fldCharType="separate"/>
      </w:r>
      <w:r w:rsidR="008F0FF4" w:rsidRPr="008F0FF4">
        <w:rPr>
          <w:rFonts w:cs="Times New Roman"/>
        </w:rPr>
        <w:t>[2,3]</w:t>
      </w:r>
      <w:r w:rsidR="007A6C47">
        <w:fldChar w:fldCharType="end"/>
      </w:r>
      <w:r w:rsidR="00825410" w:rsidRPr="00FE6414">
        <w:t xml:space="preserve">. </w:t>
      </w:r>
      <w:r>
        <w:t xml:space="preserve">Isotopic composition </w:t>
      </w:r>
      <w:r w:rsidR="00D7205D">
        <w:t xml:space="preserve">was determined on a multi-collector inductively couple plasma mass spectrometer, Thermo-Finnigan Neptune, </w:t>
      </w:r>
      <w:r w:rsidR="00D7205D" w:rsidRPr="00166DA6">
        <w:t xml:space="preserve">at the </w:t>
      </w:r>
      <w:r w:rsidR="00D7205D">
        <w:t xml:space="preserve">High-Precision Mass Spectrometry and Environment Change Laboratory (HISPEC), </w:t>
      </w:r>
      <w:r w:rsidR="00D7205D" w:rsidRPr="00166DA6">
        <w:t>Department of Geosciences, National Taiwan University, Taiwan</w:t>
      </w:r>
      <w:r w:rsidR="007A6C47">
        <w:t xml:space="preserve"> </w:t>
      </w:r>
      <w:r w:rsidR="007A6C47">
        <w:fldChar w:fldCharType="begin"/>
      </w:r>
      <w:r w:rsidR="008F0FF4">
        <w:instrText xml:space="preserve"> ADDIN ZOTERO_ITEM CSL_CITATION {"citationID":"2ip69qi65h","properties":{"formattedCitation":"[4]","plainCitation":"[4]"},"citationItems":[{"id":912,"uris":["http://zotero.org/users/2892676/items/5C3NDSIK"],"uri":["http://zotero.org/users/2892676/items/5C3NDSIK"],"itemData":{"id":912,"type":"article-journal","title":"High-precision and high-resolution carbonate 230Th dating by MC-ICP-MS with SEM protocols","container-title":"Geochimica et Cosmochimica Acta","page":"71-86","volume":"99","source":"CrossRef","DOI":"10.1016/j.gca.2012.09.018","ISSN":"00167037","language":"en","author":[{"family":"Shen","given":"Chuan-Chou"},{"family":"Wu","given":"Chung-Che"},{"family":"Cheng","given":"Hai"},{"family":"Lawrence Edwards","given":"R."},{"family":"Hsieh","given":"Yu-Te"},{"family":"Gallet","given":"Sylvain"},{"family":"Chang","given":"Ching-Chih"},{"family":"Li","given":"Ting-Yong"},{"family":"Lam","given":"Doan Dinh"},{"family":"Kano","given":"Akihiro"},{"family":"Hori","given":"Masako"},{"family":"Spötl","given":"Christoph"}],"issued":{"date-parts":[["2012",12]]}}}],"schema":"https://github.com/citation-style-language/schema/raw/master/csl-citation.json"} </w:instrText>
      </w:r>
      <w:r w:rsidR="007A6C47">
        <w:fldChar w:fldCharType="separate"/>
      </w:r>
      <w:r w:rsidR="008F0FF4" w:rsidRPr="008F0FF4">
        <w:rPr>
          <w:rFonts w:cs="Times New Roman"/>
        </w:rPr>
        <w:t>[4]</w:t>
      </w:r>
      <w:r w:rsidR="007A6C47">
        <w:fldChar w:fldCharType="end"/>
      </w:r>
      <w:r w:rsidR="00D7205D">
        <w:t xml:space="preserve">. </w:t>
      </w:r>
      <w:r w:rsidR="00825410" w:rsidRPr="00FE6414">
        <w:t xml:space="preserve">Half-lives of U-Th nuclides used for </w:t>
      </w:r>
      <w:r w:rsidR="00825410" w:rsidRPr="00FE6414">
        <w:rPr>
          <w:vertAlign w:val="superscript"/>
        </w:rPr>
        <w:t>230</w:t>
      </w:r>
      <w:r w:rsidR="00825410" w:rsidRPr="00FE6414">
        <w:t>Th age calculation are given in</w:t>
      </w:r>
      <w:r w:rsidR="007F6BEF">
        <w:t xml:space="preserve"> by Cheng et al.</w:t>
      </w:r>
      <w:r w:rsidR="007A6C47">
        <w:t xml:space="preserve"> </w:t>
      </w:r>
      <w:r w:rsidR="007A6C47">
        <w:fldChar w:fldCharType="begin"/>
      </w:r>
      <w:r w:rsidR="008F0FF4">
        <w:instrText xml:space="preserve"> ADDIN ZOTERO_ITEM CSL_CITATION {"citationID":"m8fnacu5a","properties":{"formattedCitation":"[5]","plainCitation":"[5]"},"citationItems":[{"id":911,"uris":["http://zotero.org/users/2892676/items/2ZUHJQNT"],"uri":["http://zotero.org/users/2892676/items/2ZUHJQNT"],"itemData":{"id":911,"type":"article-journal","title":"Improvements in 230Th dating, 230Th and 234U half-life values, and U–Th isotopic measurements by multi-collector inductively coupled plasma mass spectrometry","container-title":"Earth and Planetary Science Letters","page":"82-91","volume":"371-372","source":"CrossRef","DOI":"10.1016/j.epsl.2013.04.006","ISSN":"0012821X","language":"en","author":[{"family":"Cheng","given":"Hai"},{"family":"Lawrence Edwards","given":"R."},{"family":"Shen","given":"Chuan-Chou"},{"family":"Polyak","given":"Victor J."},{"family":"Asmerom","given":"Yemane"},{"family":"Woodhead","given":"Jon"},{"family":"Hellstrom","given":"John"},{"family":"Wang","given":"Yongjin"},{"family":"Kong","given":"Xinggong"},{"family":"Spötl","given":"Christoph"},{"family":"Wang","given":"Xianfeng"},{"family":"Calvin Alexander","given":"E."}],"issued":{"date-parts":[["2013",6]]}}}],"schema":"https://github.com/citation-style-language/schema/raw/master/csl-citation.json"} </w:instrText>
      </w:r>
      <w:r w:rsidR="007A6C47">
        <w:fldChar w:fldCharType="separate"/>
      </w:r>
      <w:r w:rsidR="008F0FF4" w:rsidRPr="008F0FF4">
        <w:rPr>
          <w:rFonts w:cs="Times New Roman"/>
        </w:rPr>
        <w:t>[5]</w:t>
      </w:r>
      <w:r w:rsidR="007A6C47">
        <w:fldChar w:fldCharType="end"/>
      </w:r>
      <w:r w:rsidR="00825410" w:rsidRPr="00FE6414">
        <w:t xml:space="preserve">. </w:t>
      </w:r>
      <w:r w:rsidR="00825410" w:rsidRPr="00FE6414">
        <w:rPr>
          <w:rFonts w:hint="eastAsia"/>
        </w:rPr>
        <w:t xml:space="preserve">Isotopic and age </w:t>
      </w:r>
      <w:r w:rsidR="00825410" w:rsidRPr="00FE6414">
        <w:t xml:space="preserve">errors given </w:t>
      </w:r>
      <w:r w:rsidR="00825410" w:rsidRPr="00FE6414">
        <w:rPr>
          <w:rFonts w:hint="eastAsia"/>
        </w:rPr>
        <w:t>are</w:t>
      </w:r>
      <w:r w:rsidR="00825410" w:rsidRPr="00FE6414">
        <w:t xml:space="preserve"> </w:t>
      </w:r>
      <w:r w:rsidR="00825410" w:rsidRPr="00FE6414">
        <w:rPr>
          <w:rFonts w:hint="eastAsia"/>
        </w:rPr>
        <w:t xml:space="preserve">two standard deviation of the mean and </w:t>
      </w:r>
      <w:r w:rsidR="00825410" w:rsidRPr="00FE6414">
        <w:t>two standard deviation</w:t>
      </w:r>
      <w:r w:rsidR="00D7205D">
        <w:t>.</w:t>
      </w:r>
    </w:p>
    <w:p w14:paraId="00635132" w14:textId="01A651C0" w:rsidR="00D62279" w:rsidRDefault="00D62279" w:rsidP="004D452E">
      <w:pPr>
        <w:pStyle w:val="MartinsTNR"/>
        <w:spacing w:line="480" w:lineRule="auto"/>
      </w:pPr>
      <w:r>
        <w:t xml:space="preserve">For stable oxygen and carbon isotope analysis samples of </w:t>
      </w:r>
      <w:r>
        <w:rPr>
          <w:rFonts w:cs="Times New Roman"/>
        </w:rPr>
        <w:t>~</w:t>
      </w:r>
      <w:r>
        <w:t xml:space="preserve">0.2 mg were drilled along the growth axis. An overview of </w:t>
      </w:r>
      <w:r w:rsidR="004B6A64">
        <w:t>stalagmite S1</w:t>
      </w:r>
      <w:r>
        <w:t xml:space="preserve"> was done at 1-2 mm-resolution using a hand-held drill fitted with a diamond drill bit. This was followed by sub-millimeter micromilling in slower growing sections of the stalagmite, i.e. the major part of the stalagmite, in order to </w:t>
      </w:r>
      <w:r>
        <w:lastRenderedPageBreak/>
        <w:t>obtain an even temporal resolution. In total 355 samples were analyzed along the growth axis of the stalagmite.</w:t>
      </w:r>
    </w:p>
    <w:p w14:paraId="7D2EABD3" w14:textId="49DD13B3" w:rsidR="00D62279" w:rsidRPr="00303797" w:rsidRDefault="00D62279" w:rsidP="004D452E">
      <w:pPr>
        <w:pStyle w:val="MartinsTNR"/>
        <w:spacing w:line="480" w:lineRule="auto"/>
      </w:pPr>
      <w:r w:rsidRPr="007879CE">
        <w:t>For stable isotope analysis 0.2 mg carbonate was flushed with argon gas in a septum-seal glass vial. 100 μl of 99</w:t>
      </w:r>
      <w:r>
        <w:t xml:space="preserve"> </w:t>
      </w:r>
      <w:r w:rsidRPr="007879CE">
        <w:t>% H</w:t>
      </w:r>
      <w:r w:rsidRPr="007879CE">
        <w:rPr>
          <w:vertAlign w:val="subscript"/>
        </w:rPr>
        <w:t>3</w:t>
      </w:r>
      <w:r w:rsidRPr="007879CE">
        <w:t>PO</w:t>
      </w:r>
      <w:r w:rsidRPr="007879CE">
        <w:rPr>
          <w:vertAlign w:val="subscript"/>
        </w:rPr>
        <w:t>4</w:t>
      </w:r>
      <w:r w:rsidRPr="007879CE">
        <w:t xml:space="preserve"> was added to each sample for reacting to carbon dioxide. </w:t>
      </w:r>
      <w:r>
        <w:t xml:space="preserve">Analyses were conducted using a </w:t>
      </w:r>
      <w:r w:rsidRPr="007879CE">
        <w:t xml:space="preserve">GasbenchII coupled to a Finnigan MAT 252 mass spectrometer at the </w:t>
      </w:r>
      <w:r>
        <w:t>s</w:t>
      </w:r>
      <w:r w:rsidRPr="007879CE">
        <w:t xml:space="preserve">table isotope laboratory of Friedrich-Alexander University, Erlangen-Nürnberg. </w:t>
      </w:r>
      <w:r w:rsidRPr="00B3443E">
        <w:t xml:space="preserve">Reproducibility and accuracy </w:t>
      </w:r>
      <w:r>
        <w:t>were</w:t>
      </w:r>
      <w:r w:rsidRPr="00B3443E">
        <w:t xml:space="preserve"> monitored by replicate analysis of laboratory standards calibrated to NBS19 and LSVEC</w:t>
      </w:r>
      <w:r w:rsidR="00D62D75">
        <w:t>. One-sigma precision</w:t>
      </w:r>
      <w:r w:rsidRPr="00B3443E">
        <w:t xml:space="preserve"> is better than</w:t>
      </w:r>
      <w:r>
        <w:t xml:space="preserve"> </w:t>
      </w:r>
      <w:r w:rsidR="00FD65F8" w:rsidRPr="00FE6414">
        <w:t>±</w:t>
      </w:r>
      <w:r w:rsidRPr="007879CE">
        <w:t>0.0</w:t>
      </w:r>
      <w:r>
        <w:t xml:space="preserve">6 </w:t>
      </w:r>
      <w:r w:rsidRPr="007879CE">
        <w:t>‰ for δ</w:t>
      </w:r>
      <w:r w:rsidRPr="007879CE">
        <w:rPr>
          <w:vertAlign w:val="superscript"/>
        </w:rPr>
        <w:t>13</w:t>
      </w:r>
      <w:r w:rsidRPr="007879CE">
        <w:t xml:space="preserve">C and </w:t>
      </w:r>
      <w:r w:rsidR="00FD65F8" w:rsidRPr="00FE6414">
        <w:t>±</w:t>
      </w:r>
      <w:r w:rsidRPr="007879CE">
        <w:t>0.1</w:t>
      </w:r>
      <w:r>
        <w:t xml:space="preserve">0 </w:t>
      </w:r>
      <w:r w:rsidRPr="007879CE">
        <w:t>‰ for δ</w:t>
      </w:r>
      <w:r w:rsidRPr="007879CE">
        <w:rPr>
          <w:vertAlign w:val="superscript"/>
        </w:rPr>
        <w:t>18</w:t>
      </w:r>
      <w:r w:rsidRPr="007879CE">
        <w:t>O.</w:t>
      </w:r>
    </w:p>
    <w:p w14:paraId="2BD1C8BC" w14:textId="2A0E9290" w:rsidR="007A6C47" w:rsidRPr="00607039" w:rsidRDefault="007A6C47" w:rsidP="00607039">
      <w:pPr>
        <w:pStyle w:val="MartinsTNR"/>
        <w:rPr>
          <w:b/>
          <w:sz w:val="36"/>
          <w:szCs w:val="36"/>
        </w:rPr>
      </w:pPr>
      <w:r w:rsidRPr="00607039">
        <w:rPr>
          <w:b/>
          <w:sz w:val="36"/>
          <w:szCs w:val="36"/>
        </w:rPr>
        <w:t>References</w:t>
      </w:r>
    </w:p>
    <w:p w14:paraId="5C800E7C" w14:textId="77777777" w:rsidR="008F0FF4" w:rsidRPr="008F0FF4" w:rsidRDefault="007A6C47" w:rsidP="008F0FF4">
      <w:pPr>
        <w:pStyle w:val="Bibliography"/>
        <w:rPr>
          <w:rFonts w:ascii="Times New Roman" w:hAnsi="Times New Roman" w:cs="Times New Roman"/>
          <w:sz w:val="24"/>
          <w:lang w:val="en-US"/>
        </w:rPr>
      </w:pPr>
      <w:r>
        <w:fldChar w:fldCharType="begin"/>
      </w:r>
      <w:r w:rsidR="008F0FF4">
        <w:rPr>
          <w:lang w:val="en-US"/>
        </w:rPr>
        <w:instrText xml:space="preserve"> ADDIN ZOTERO_BIBL {"custom":[]} CSL_BIBLIOGRAPHY </w:instrText>
      </w:r>
      <w:r>
        <w:fldChar w:fldCharType="separate"/>
      </w:r>
      <w:r w:rsidR="008F0FF4" w:rsidRPr="008F0FF4">
        <w:rPr>
          <w:rFonts w:ascii="Times New Roman" w:hAnsi="Times New Roman" w:cs="Times New Roman"/>
          <w:sz w:val="24"/>
          <w:lang w:val="en-US"/>
        </w:rPr>
        <w:t xml:space="preserve">1. </w:t>
      </w:r>
      <w:r w:rsidR="008F0FF4" w:rsidRPr="008F0FF4">
        <w:rPr>
          <w:rFonts w:ascii="Times New Roman" w:hAnsi="Times New Roman" w:cs="Times New Roman"/>
          <w:sz w:val="24"/>
          <w:lang w:val="en-US"/>
        </w:rPr>
        <w:tab/>
        <w:t>Edwards RL, Chen JH, Wasserburg GJ. 238U234U230Th232Th systematics and the precise measurement of time over the past 500,000 years. Earth Planet Sci Lett. 1987;81: 175–192. doi:10.1016/0012-821X(87)90154-3</w:t>
      </w:r>
    </w:p>
    <w:p w14:paraId="37B8A089" w14:textId="77777777" w:rsidR="008F0FF4" w:rsidRPr="008F0FF4" w:rsidRDefault="008F0FF4" w:rsidP="008F0FF4">
      <w:pPr>
        <w:pStyle w:val="Bibliography"/>
        <w:rPr>
          <w:rFonts w:ascii="Times New Roman" w:hAnsi="Times New Roman" w:cs="Times New Roman"/>
          <w:sz w:val="24"/>
          <w:lang w:val="en-US"/>
        </w:rPr>
      </w:pPr>
      <w:r w:rsidRPr="008F0FF4">
        <w:rPr>
          <w:rFonts w:ascii="Times New Roman" w:hAnsi="Times New Roman" w:cs="Times New Roman"/>
          <w:sz w:val="24"/>
          <w:lang w:val="en-US"/>
        </w:rPr>
        <w:t xml:space="preserve">2. </w:t>
      </w:r>
      <w:r w:rsidRPr="008F0FF4">
        <w:rPr>
          <w:rFonts w:ascii="Times New Roman" w:hAnsi="Times New Roman" w:cs="Times New Roman"/>
          <w:sz w:val="24"/>
          <w:lang w:val="en-US"/>
        </w:rPr>
        <w:tab/>
        <w:t>Shen C-C, Lawrence E, Cheng H, Dorale JA, Thomas RB, Bradley M, et al. Uranium and thorium isotopic and concentration measurements by magnetic sector inductively coupled plasma mass spectrometry. Chem Geol. 2002;185: 165–178. doi:10.1016/S0009-2541(01)00404-1</w:t>
      </w:r>
    </w:p>
    <w:p w14:paraId="40F37A6A" w14:textId="77777777" w:rsidR="008F0FF4" w:rsidRPr="008F0FF4" w:rsidRDefault="008F0FF4" w:rsidP="008F0FF4">
      <w:pPr>
        <w:pStyle w:val="Bibliography"/>
        <w:rPr>
          <w:rFonts w:ascii="Times New Roman" w:hAnsi="Times New Roman" w:cs="Times New Roman"/>
          <w:sz w:val="24"/>
          <w:lang w:val="en-US"/>
        </w:rPr>
      </w:pPr>
      <w:r w:rsidRPr="008F0FF4">
        <w:rPr>
          <w:rFonts w:ascii="Times New Roman" w:hAnsi="Times New Roman" w:cs="Times New Roman"/>
          <w:sz w:val="24"/>
          <w:lang w:val="en-US"/>
        </w:rPr>
        <w:t xml:space="preserve">3. </w:t>
      </w:r>
      <w:r w:rsidRPr="008F0FF4">
        <w:rPr>
          <w:rFonts w:ascii="Times New Roman" w:hAnsi="Times New Roman" w:cs="Times New Roman"/>
          <w:sz w:val="24"/>
          <w:lang w:val="en-US"/>
        </w:rPr>
        <w:tab/>
        <w:t xml:space="preserve">Shen C-C, Cheng H, Edwards RL, Moran SB, Edmonds HN, Hoff JA, et al. Measurement of Attogram Quantities of </w:t>
      </w:r>
      <w:r w:rsidRPr="008F0FF4">
        <w:rPr>
          <w:rFonts w:ascii="Times New Roman" w:hAnsi="Times New Roman" w:cs="Times New Roman"/>
          <w:sz w:val="24"/>
          <w:vertAlign w:val="superscript"/>
          <w:lang w:val="en-US"/>
        </w:rPr>
        <w:t>231</w:t>
      </w:r>
      <w:r w:rsidRPr="008F0FF4">
        <w:rPr>
          <w:rFonts w:ascii="Times New Roman" w:hAnsi="Times New Roman" w:cs="Times New Roman"/>
          <w:sz w:val="24"/>
          <w:lang w:val="en-US"/>
        </w:rPr>
        <w:t xml:space="preserve"> Pa in Dissolved and Particulate Fractions of Seawater by Isotope Dilution Thermal Ionization Mass Spectroscopy. Anal Chem. 2003;75: 1075–1079. doi:10.1021/ac026247r</w:t>
      </w:r>
    </w:p>
    <w:p w14:paraId="57AC1BC2" w14:textId="77777777" w:rsidR="008F0FF4" w:rsidRPr="008F0FF4" w:rsidRDefault="008F0FF4" w:rsidP="008F0FF4">
      <w:pPr>
        <w:pStyle w:val="Bibliography"/>
        <w:rPr>
          <w:rFonts w:ascii="Times New Roman" w:hAnsi="Times New Roman" w:cs="Times New Roman"/>
          <w:sz w:val="24"/>
          <w:lang w:val="en-US"/>
        </w:rPr>
      </w:pPr>
      <w:r w:rsidRPr="008F0FF4">
        <w:rPr>
          <w:rFonts w:ascii="Times New Roman" w:hAnsi="Times New Roman" w:cs="Times New Roman"/>
          <w:sz w:val="24"/>
          <w:lang w:val="en-US"/>
        </w:rPr>
        <w:t xml:space="preserve">4. </w:t>
      </w:r>
      <w:r w:rsidRPr="008F0FF4">
        <w:rPr>
          <w:rFonts w:ascii="Times New Roman" w:hAnsi="Times New Roman" w:cs="Times New Roman"/>
          <w:sz w:val="24"/>
          <w:lang w:val="en-US"/>
        </w:rPr>
        <w:tab/>
        <w:t>Shen C-C, Wu C-C, Cheng H, Lawrence Edwards R, Hsieh Y-T, Gallet S, et al. High-precision and high-resolution carbonate 230Th dating by MC-ICP-MS with SEM protocols. Geochim Cosmochim Acta. 2012;99: 71–86. doi:10.1016/j.gca.2012.09.018</w:t>
      </w:r>
    </w:p>
    <w:p w14:paraId="00B1C6DC" w14:textId="77777777" w:rsidR="008F0FF4" w:rsidRPr="008F0FF4" w:rsidRDefault="008F0FF4" w:rsidP="008F0FF4">
      <w:pPr>
        <w:pStyle w:val="Bibliography"/>
        <w:rPr>
          <w:rFonts w:ascii="Times New Roman" w:hAnsi="Times New Roman" w:cs="Times New Roman"/>
          <w:sz w:val="24"/>
        </w:rPr>
      </w:pPr>
      <w:r w:rsidRPr="008F0FF4">
        <w:rPr>
          <w:rFonts w:ascii="Times New Roman" w:hAnsi="Times New Roman" w:cs="Times New Roman"/>
          <w:sz w:val="24"/>
          <w:lang w:val="en-US"/>
        </w:rPr>
        <w:t xml:space="preserve">5. </w:t>
      </w:r>
      <w:r w:rsidRPr="008F0FF4">
        <w:rPr>
          <w:rFonts w:ascii="Times New Roman" w:hAnsi="Times New Roman" w:cs="Times New Roman"/>
          <w:sz w:val="24"/>
          <w:lang w:val="en-US"/>
        </w:rPr>
        <w:tab/>
        <w:t xml:space="preserve">Cheng H, Lawrence Edwards R, Shen C-C, Polyak VJ, Asmerom Y, Woodhead J, et al. Improvements in 230Th dating, 230Th and 234U half-life values, and U–Th isotopic measurements by multi-collector inductively coupled plasma mass spectrometry. </w:t>
      </w:r>
      <w:r w:rsidRPr="008F0FF4">
        <w:rPr>
          <w:rFonts w:ascii="Times New Roman" w:hAnsi="Times New Roman" w:cs="Times New Roman"/>
          <w:sz w:val="24"/>
        </w:rPr>
        <w:t>Earth Planet Sci Lett. 2013;371-372: 82–91. doi:10.1016/j.epsl.2013.04.006</w:t>
      </w:r>
    </w:p>
    <w:p w14:paraId="376B239E" w14:textId="3F26902F" w:rsidR="007A6C47" w:rsidRDefault="007A6C47" w:rsidP="006B7055">
      <w:pPr>
        <w:pStyle w:val="MartinsTNR"/>
        <w:rPr>
          <w:rFonts w:cs="Times New Roman"/>
        </w:rPr>
      </w:pPr>
      <w:r>
        <w:fldChar w:fldCharType="end"/>
      </w:r>
    </w:p>
    <w:sectPr w:rsidR="007A6C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A11F6" w14:textId="77777777" w:rsidR="00932F37" w:rsidRDefault="00932F37" w:rsidP="00810F82">
      <w:pPr>
        <w:spacing w:after="0" w:line="240" w:lineRule="auto"/>
      </w:pPr>
      <w:r>
        <w:separator/>
      </w:r>
    </w:p>
  </w:endnote>
  <w:endnote w:type="continuationSeparator" w:id="0">
    <w:p w14:paraId="220A8EA7" w14:textId="77777777" w:rsidR="00932F37" w:rsidRDefault="00932F37" w:rsidP="0081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AFD0" w14:textId="77777777" w:rsidR="00932F37" w:rsidRDefault="00932F37" w:rsidP="00810F82">
      <w:pPr>
        <w:spacing w:after="0" w:line="240" w:lineRule="auto"/>
      </w:pPr>
      <w:r>
        <w:separator/>
      </w:r>
    </w:p>
  </w:footnote>
  <w:footnote w:type="continuationSeparator" w:id="0">
    <w:p w14:paraId="2EF2338C" w14:textId="77777777" w:rsidR="00932F37" w:rsidRDefault="00932F37" w:rsidP="00810F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79"/>
    <w:rsid w:val="00035408"/>
    <w:rsid w:val="000E1D0C"/>
    <w:rsid w:val="00126540"/>
    <w:rsid w:val="00191E79"/>
    <w:rsid w:val="0023037E"/>
    <w:rsid w:val="002726C2"/>
    <w:rsid w:val="00272C29"/>
    <w:rsid w:val="002E4854"/>
    <w:rsid w:val="0030438A"/>
    <w:rsid w:val="003745A0"/>
    <w:rsid w:val="00375098"/>
    <w:rsid w:val="00375602"/>
    <w:rsid w:val="00386B0C"/>
    <w:rsid w:val="003C3432"/>
    <w:rsid w:val="003D29AF"/>
    <w:rsid w:val="00445023"/>
    <w:rsid w:val="0046262F"/>
    <w:rsid w:val="004B3644"/>
    <w:rsid w:val="004B6A64"/>
    <w:rsid w:val="004D452E"/>
    <w:rsid w:val="005312F0"/>
    <w:rsid w:val="00587D2D"/>
    <w:rsid w:val="005B4F25"/>
    <w:rsid w:val="005D5A66"/>
    <w:rsid w:val="00607039"/>
    <w:rsid w:val="00614F27"/>
    <w:rsid w:val="0063015B"/>
    <w:rsid w:val="006B7055"/>
    <w:rsid w:val="006D2DD1"/>
    <w:rsid w:val="006F75D5"/>
    <w:rsid w:val="007A6C47"/>
    <w:rsid w:val="007C16B6"/>
    <w:rsid w:val="007F6BEF"/>
    <w:rsid w:val="00810F82"/>
    <w:rsid w:val="00825410"/>
    <w:rsid w:val="008A6EED"/>
    <w:rsid w:val="008B679F"/>
    <w:rsid w:val="008F0FF4"/>
    <w:rsid w:val="00932F37"/>
    <w:rsid w:val="00970081"/>
    <w:rsid w:val="00975ECC"/>
    <w:rsid w:val="009F6AF1"/>
    <w:rsid w:val="00A82871"/>
    <w:rsid w:val="00A87F70"/>
    <w:rsid w:val="00B021A5"/>
    <w:rsid w:val="00C23652"/>
    <w:rsid w:val="00C30BD3"/>
    <w:rsid w:val="00C62823"/>
    <w:rsid w:val="00C6382B"/>
    <w:rsid w:val="00C86F1F"/>
    <w:rsid w:val="00CD2D99"/>
    <w:rsid w:val="00D62279"/>
    <w:rsid w:val="00D62D75"/>
    <w:rsid w:val="00D7205D"/>
    <w:rsid w:val="00DF2ACF"/>
    <w:rsid w:val="00E63BED"/>
    <w:rsid w:val="00EF7E17"/>
    <w:rsid w:val="00F93F52"/>
    <w:rsid w:val="00FA0EE6"/>
    <w:rsid w:val="00FD65F8"/>
    <w:rsid w:val="00FE6414"/>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A42E5"/>
  <w15:docId w15:val="{3B247CF9-F5FA-4BB1-B612-D1ACDCDD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2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2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tinsTNR">
    <w:name w:val="Martins_TNR"/>
    <w:basedOn w:val="Normal"/>
    <w:link w:val="MartinsTNRChar"/>
    <w:qFormat/>
    <w:rsid w:val="00970081"/>
    <w:pPr>
      <w:spacing w:line="360" w:lineRule="auto"/>
    </w:pPr>
    <w:rPr>
      <w:rFonts w:ascii="Times New Roman" w:hAnsi="Times New Roman"/>
      <w:sz w:val="24"/>
      <w:lang w:val="en-US"/>
    </w:rPr>
  </w:style>
  <w:style w:type="character" w:customStyle="1" w:styleId="MartinsTNRChar">
    <w:name w:val="Martins_TNR Char"/>
    <w:basedOn w:val="DefaultParagraphFont"/>
    <w:link w:val="MartinsTNR"/>
    <w:rsid w:val="00970081"/>
    <w:rPr>
      <w:rFonts w:ascii="Times New Roman" w:hAnsi="Times New Roman"/>
      <w:sz w:val="24"/>
      <w:lang w:val="en-US"/>
    </w:rPr>
  </w:style>
  <w:style w:type="character" w:customStyle="1" w:styleId="Heading2Char">
    <w:name w:val="Heading 2 Char"/>
    <w:basedOn w:val="DefaultParagraphFont"/>
    <w:link w:val="Heading2"/>
    <w:uiPriority w:val="9"/>
    <w:rsid w:val="00D6227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227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62279"/>
    <w:rPr>
      <w:sz w:val="16"/>
      <w:szCs w:val="16"/>
    </w:rPr>
  </w:style>
  <w:style w:type="paragraph" w:styleId="CommentText">
    <w:name w:val="annotation text"/>
    <w:basedOn w:val="Normal"/>
    <w:link w:val="CommentTextChar"/>
    <w:uiPriority w:val="99"/>
    <w:semiHidden/>
    <w:unhideWhenUsed/>
    <w:rsid w:val="00D62279"/>
    <w:pPr>
      <w:spacing w:line="240" w:lineRule="auto"/>
    </w:pPr>
    <w:rPr>
      <w:sz w:val="20"/>
      <w:szCs w:val="20"/>
    </w:rPr>
  </w:style>
  <w:style w:type="character" w:customStyle="1" w:styleId="CommentTextChar">
    <w:name w:val="Comment Text Char"/>
    <w:basedOn w:val="DefaultParagraphFont"/>
    <w:link w:val="CommentText"/>
    <w:uiPriority w:val="99"/>
    <w:semiHidden/>
    <w:rsid w:val="00D62279"/>
    <w:rPr>
      <w:sz w:val="20"/>
      <w:szCs w:val="20"/>
    </w:rPr>
  </w:style>
  <w:style w:type="paragraph" w:styleId="BalloonText">
    <w:name w:val="Balloon Text"/>
    <w:basedOn w:val="Normal"/>
    <w:link w:val="BalloonTextChar"/>
    <w:uiPriority w:val="99"/>
    <w:semiHidden/>
    <w:unhideWhenUsed/>
    <w:rsid w:val="00D62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6540"/>
    <w:rPr>
      <w:b/>
      <w:bCs/>
    </w:rPr>
  </w:style>
  <w:style w:type="character" w:customStyle="1" w:styleId="CommentSubjectChar">
    <w:name w:val="Comment Subject Char"/>
    <w:basedOn w:val="CommentTextChar"/>
    <w:link w:val="CommentSubject"/>
    <w:uiPriority w:val="99"/>
    <w:semiHidden/>
    <w:rsid w:val="00126540"/>
    <w:rPr>
      <w:b/>
      <w:bCs/>
      <w:sz w:val="20"/>
      <w:szCs w:val="20"/>
    </w:rPr>
  </w:style>
  <w:style w:type="paragraph" w:styleId="Header">
    <w:name w:val="header"/>
    <w:basedOn w:val="Normal"/>
    <w:link w:val="HeaderChar"/>
    <w:uiPriority w:val="99"/>
    <w:unhideWhenUsed/>
    <w:rsid w:val="00810F8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10F82"/>
    <w:rPr>
      <w:sz w:val="20"/>
      <w:szCs w:val="20"/>
    </w:rPr>
  </w:style>
  <w:style w:type="paragraph" w:styleId="Footer">
    <w:name w:val="footer"/>
    <w:basedOn w:val="Normal"/>
    <w:link w:val="FooterChar"/>
    <w:uiPriority w:val="99"/>
    <w:unhideWhenUsed/>
    <w:rsid w:val="00810F8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10F82"/>
    <w:rPr>
      <w:sz w:val="20"/>
      <w:szCs w:val="20"/>
    </w:rPr>
  </w:style>
  <w:style w:type="paragraph" w:styleId="Bibliography">
    <w:name w:val="Bibliography"/>
    <w:basedOn w:val="Normal"/>
    <w:next w:val="Normal"/>
    <w:uiPriority w:val="37"/>
    <w:unhideWhenUsed/>
    <w:rsid w:val="007F6BEF"/>
    <w:pPr>
      <w:tabs>
        <w:tab w:val="left" w:pos="384"/>
      </w:tabs>
      <w:spacing w:after="240" w:line="240" w:lineRule="auto"/>
      <w:ind w:left="384" w:hanging="384"/>
    </w:pPr>
  </w:style>
  <w:style w:type="character" w:customStyle="1" w:styleId="Heading1Char">
    <w:name w:val="Heading 1 Char"/>
    <w:basedOn w:val="DefaultParagraphFont"/>
    <w:link w:val="Heading1"/>
    <w:uiPriority w:val="9"/>
    <w:rsid w:val="004450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1701</Words>
  <Characters>9021</Characters>
  <Application>Microsoft Office Word</Application>
  <DocSecurity>0</DocSecurity>
  <Lines>75</Lines>
  <Paragraphs>21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Finné</dc:creator>
  <cp:lastModifiedBy>Martin Finné</cp:lastModifiedBy>
  <cp:revision>5</cp:revision>
  <dcterms:created xsi:type="dcterms:W3CDTF">2017-11-09T12:40:00Z</dcterms:created>
  <dcterms:modified xsi:type="dcterms:W3CDTF">2017-11-23T10:35:00Z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id="88VMehIf"/&gt;&lt;style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