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E" w:rsidRPr="0063467A" w:rsidRDefault="00905BA2" w:rsidP="00566E5E">
      <w:pPr>
        <w:spacing w:line="480" w:lineRule="auto"/>
        <w:rPr>
          <w:b/>
        </w:rPr>
      </w:pPr>
      <w:r>
        <w:rPr>
          <w:b/>
        </w:rPr>
        <w:t>S2 Table</w:t>
      </w:r>
      <w:bookmarkStart w:id="0" w:name="_GoBack"/>
      <w:bookmarkEnd w:id="0"/>
      <w:r w:rsidR="00566E5E" w:rsidRPr="0063467A">
        <w:rPr>
          <w:b/>
        </w:rPr>
        <w:t>: Area-under-the-curve (AUC) of each analyte as a predictor of time to culture conversion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1320"/>
        <w:gridCol w:w="1962"/>
        <w:gridCol w:w="1433"/>
        <w:gridCol w:w="1738"/>
        <w:gridCol w:w="1710"/>
      </w:tblGrid>
      <w:tr w:rsidR="00566E5E" w:rsidRPr="00946E51" w:rsidTr="00067B6E">
        <w:trPr>
          <w:trHeight w:val="683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Host analyte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AUC (95% CI)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1D3CE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Sensitivity % (95% CI)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Specificity % (95% CI)</w:t>
            </w:r>
          </w:p>
        </w:tc>
      </w:tr>
      <w:tr w:rsidR="00566E5E" w:rsidRPr="00946E51" w:rsidTr="00067B6E">
        <w:trPr>
          <w:trHeight w:val="386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VEGF-A</w:t>
            </w:r>
          </w:p>
        </w:tc>
        <w:tc>
          <w:tcPr>
            <w:tcW w:w="1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0.77 (0.62−0.92)</w:t>
            </w:r>
          </w:p>
        </w:tc>
        <w:tc>
          <w:tcPr>
            <w:tcW w:w="143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7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64 (41-83)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84 (60-97)</w:t>
            </w:r>
          </w:p>
        </w:tc>
      </w:tr>
      <w:tr w:rsidR="00566E5E" w:rsidRPr="00946E51" w:rsidTr="00067B6E">
        <w:trPr>
          <w:trHeight w:val="386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SAA</w:t>
            </w:r>
          </w:p>
        </w:tc>
        <w:tc>
          <w:tcPr>
            <w:tcW w:w="1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0.77 (0.61−0.92)</w:t>
            </w:r>
          </w:p>
        </w:tc>
        <w:tc>
          <w:tcPr>
            <w:tcW w:w="143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7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73 (50-89)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79 (54-94)</w:t>
            </w:r>
          </w:p>
        </w:tc>
      </w:tr>
      <w:tr w:rsidR="00566E5E" w:rsidRPr="00946E51" w:rsidTr="00067B6E">
        <w:trPr>
          <w:trHeight w:val="386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sIL-2R</w:t>
            </w:r>
            <w:r w:rsidRPr="001D3C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sym w:font="Symbol" w:char="F061"/>
            </w:r>
          </w:p>
        </w:tc>
        <w:tc>
          <w:tcPr>
            <w:tcW w:w="1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0.76 (0.61−0.91)</w:t>
            </w:r>
          </w:p>
        </w:tc>
        <w:tc>
          <w:tcPr>
            <w:tcW w:w="143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59 (36-79)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89 (67-99)</w:t>
            </w:r>
          </w:p>
        </w:tc>
      </w:tr>
      <w:tr w:rsidR="00566E5E" w:rsidRPr="00946E51" w:rsidTr="00067B6E">
        <w:trPr>
          <w:trHeight w:val="386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CRP</w:t>
            </w:r>
          </w:p>
        </w:tc>
        <w:tc>
          <w:tcPr>
            <w:tcW w:w="1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0.75 (0.59−0.91)</w:t>
            </w:r>
          </w:p>
        </w:tc>
        <w:tc>
          <w:tcPr>
            <w:tcW w:w="143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95 (77-100)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58 (34-80)</w:t>
            </w:r>
          </w:p>
        </w:tc>
      </w:tr>
      <w:tr w:rsidR="00566E5E" w:rsidRPr="00946E51" w:rsidTr="00067B6E">
        <w:trPr>
          <w:trHeight w:val="386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IP-10</w:t>
            </w:r>
          </w:p>
        </w:tc>
        <w:tc>
          <w:tcPr>
            <w:tcW w:w="1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0.74 (0.58−0.9)</w:t>
            </w:r>
          </w:p>
        </w:tc>
        <w:tc>
          <w:tcPr>
            <w:tcW w:w="143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7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63 (41-83)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79 (54-94)</w:t>
            </w:r>
          </w:p>
        </w:tc>
      </w:tr>
      <w:tr w:rsidR="00566E5E" w:rsidRPr="00946E51" w:rsidTr="00067B6E">
        <w:trPr>
          <w:trHeight w:val="386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MCP-1</w:t>
            </w:r>
          </w:p>
        </w:tc>
        <w:tc>
          <w:tcPr>
            <w:tcW w:w="1962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0.63 (0.46−0.80)</w:t>
            </w:r>
          </w:p>
        </w:tc>
        <w:tc>
          <w:tcPr>
            <w:tcW w:w="1433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0.1581</w:t>
            </w:r>
          </w:p>
        </w:tc>
        <w:tc>
          <w:tcPr>
            <w:tcW w:w="1738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50 (28-72)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solid" w:color="FFFFFF" w:fill="auto"/>
            <w:vAlign w:val="center"/>
          </w:tcPr>
          <w:p w:rsidR="00566E5E" w:rsidRPr="001D3CEC" w:rsidRDefault="00566E5E" w:rsidP="009F0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D3CEC">
              <w:rPr>
                <w:rFonts w:asciiTheme="minorHAnsi" w:hAnsiTheme="minorHAnsi"/>
                <w:color w:val="000000"/>
                <w:sz w:val="22"/>
                <w:szCs w:val="22"/>
              </w:rPr>
              <w:t>74 (49-91)</w:t>
            </w:r>
          </w:p>
        </w:tc>
      </w:tr>
    </w:tbl>
    <w:p w:rsidR="00F10745" w:rsidRDefault="00F10745" w:rsidP="00E36D77">
      <w:pPr>
        <w:spacing w:line="480" w:lineRule="auto"/>
        <w:rPr>
          <w:color w:val="000000" w:themeColor="text1"/>
        </w:rPr>
      </w:pPr>
    </w:p>
    <w:sectPr w:rsidR="00F1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7"/>
    <w:rsid w:val="00067B6E"/>
    <w:rsid w:val="001D3CEC"/>
    <w:rsid w:val="00292A76"/>
    <w:rsid w:val="002E0CEE"/>
    <w:rsid w:val="00447216"/>
    <w:rsid w:val="0050368D"/>
    <w:rsid w:val="00566E5E"/>
    <w:rsid w:val="005C43A5"/>
    <w:rsid w:val="0063467A"/>
    <w:rsid w:val="006B55B1"/>
    <w:rsid w:val="00762F28"/>
    <w:rsid w:val="00905BA2"/>
    <w:rsid w:val="009A7370"/>
    <w:rsid w:val="009C48F7"/>
    <w:rsid w:val="00A308FB"/>
    <w:rsid w:val="00A47DD0"/>
    <w:rsid w:val="00AB5555"/>
    <w:rsid w:val="00B26C8C"/>
    <w:rsid w:val="00D1175D"/>
    <w:rsid w:val="00D96D54"/>
    <w:rsid w:val="00E36D77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7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7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21</cp:revision>
  <dcterms:created xsi:type="dcterms:W3CDTF">2016-05-31T18:45:00Z</dcterms:created>
  <dcterms:modified xsi:type="dcterms:W3CDTF">2017-04-21T18:49:00Z</dcterms:modified>
</cp:coreProperties>
</file>