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D6931" w14:textId="5945E8E0" w:rsidR="00605068" w:rsidRPr="003F736F" w:rsidRDefault="00605068" w:rsidP="00B0277B">
      <w:pPr>
        <w:spacing w:after="120" w:line="240" w:lineRule="auto"/>
        <w:rPr>
          <w:rFonts w:asciiTheme="majorHAnsi" w:hAnsiTheme="majorHAnsi" w:cstheme="majorHAnsi"/>
          <w:color w:val="000000"/>
          <w:u w:val="single"/>
          <w:lang w:val="en-CA"/>
        </w:rPr>
      </w:pPr>
      <w:r w:rsidRPr="003F736F">
        <w:rPr>
          <w:rFonts w:asciiTheme="majorHAnsi" w:hAnsiTheme="majorHAnsi" w:cstheme="majorHAnsi"/>
          <w:color w:val="000000"/>
          <w:u w:val="single"/>
          <w:lang w:val="en-CA"/>
        </w:rPr>
        <w:t xml:space="preserve">S3- Author’s </w:t>
      </w:r>
      <w:r w:rsidR="00DA6B0A">
        <w:rPr>
          <w:rFonts w:asciiTheme="majorHAnsi" w:hAnsiTheme="majorHAnsi" w:cstheme="majorHAnsi"/>
          <w:color w:val="000000"/>
          <w:u w:val="single"/>
          <w:lang w:val="en-CA"/>
        </w:rPr>
        <w:t>interpretation</w:t>
      </w:r>
      <w:bookmarkStart w:id="0" w:name="_GoBack"/>
      <w:bookmarkEnd w:id="0"/>
    </w:p>
    <w:tbl>
      <w:tblPr>
        <w:tblStyle w:val="Grilledutableau"/>
        <w:tblW w:w="9468" w:type="dxa"/>
        <w:tblLook w:val="04A0" w:firstRow="1" w:lastRow="0" w:firstColumn="1" w:lastColumn="0" w:noHBand="0" w:noVBand="1"/>
      </w:tblPr>
      <w:tblGrid>
        <w:gridCol w:w="2268"/>
        <w:gridCol w:w="7200"/>
      </w:tblGrid>
      <w:tr w:rsidR="00605068" w:rsidRPr="003F736F" w14:paraId="5D3E76CA" w14:textId="77777777" w:rsidTr="00605068">
        <w:trPr>
          <w:trHeight w:val="386"/>
        </w:trPr>
        <w:tc>
          <w:tcPr>
            <w:tcW w:w="2268" w:type="dxa"/>
          </w:tcPr>
          <w:p w14:paraId="44594EFF" w14:textId="77777777" w:rsidR="00605068" w:rsidRPr="003F736F" w:rsidRDefault="00605068" w:rsidP="00B0277B">
            <w:r w:rsidRPr="003F736F">
              <w:t>Wang 2006</w:t>
            </w:r>
          </w:p>
        </w:tc>
        <w:tc>
          <w:tcPr>
            <w:tcW w:w="7200" w:type="dxa"/>
          </w:tcPr>
          <w:p w14:paraId="31387071" w14:textId="77777777" w:rsidR="00605068" w:rsidRPr="003F736F" w:rsidRDefault="00605068" w:rsidP="00B0277B">
            <w:pPr>
              <w:pStyle w:val="Paragraphedeliste"/>
              <w:numPr>
                <w:ilvl w:val="0"/>
                <w:numId w:val="19"/>
              </w:numPr>
              <w:spacing w:after="0" w:line="240" w:lineRule="auto"/>
              <w:rPr>
                <w:lang w:val="en-CA"/>
              </w:rPr>
            </w:pPr>
            <w:r w:rsidRPr="003F736F">
              <w:rPr>
                <w:lang w:val="en-CA"/>
              </w:rPr>
              <w:t>No associations tested</w:t>
            </w:r>
          </w:p>
        </w:tc>
      </w:tr>
      <w:tr w:rsidR="00605068" w:rsidRPr="00DA6B0A" w14:paraId="6E6AF260" w14:textId="77777777" w:rsidTr="00605068">
        <w:trPr>
          <w:trHeight w:val="683"/>
        </w:trPr>
        <w:tc>
          <w:tcPr>
            <w:tcW w:w="2268" w:type="dxa"/>
          </w:tcPr>
          <w:p w14:paraId="4060181F" w14:textId="77777777" w:rsidR="00605068" w:rsidRPr="003F736F" w:rsidRDefault="00605068" w:rsidP="00B0277B">
            <w:r w:rsidRPr="003F736F">
              <w:t>Paquet 2008</w:t>
            </w:r>
          </w:p>
        </w:tc>
        <w:tc>
          <w:tcPr>
            <w:tcW w:w="7200" w:type="dxa"/>
          </w:tcPr>
          <w:p w14:paraId="418A36F3" w14:textId="77777777" w:rsidR="00605068" w:rsidRPr="003F736F" w:rsidRDefault="00605068" w:rsidP="00B0277B">
            <w:pPr>
              <w:pStyle w:val="Paragraphedeliste"/>
              <w:numPr>
                <w:ilvl w:val="0"/>
                <w:numId w:val="14"/>
              </w:numPr>
              <w:spacing w:after="0" w:line="240" w:lineRule="auto"/>
              <w:rPr>
                <w:lang w:val="en-CA"/>
              </w:rPr>
            </w:pPr>
            <w:r w:rsidRPr="003F736F">
              <w:rPr>
                <w:lang w:val="en-CA"/>
              </w:rPr>
              <w:t>“For both lists, the positive predictive value did not differ across SES tertiles or language groups (Fisher’s p&gt;0.124).”</w:t>
            </w:r>
          </w:p>
        </w:tc>
      </w:tr>
      <w:tr w:rsidR="00605068" w:rsidRPr="00DA6B0A" w14:paraId="1157F20F" w14:textId="77777777" w:rsidTr="00605068">
        <w:trPr>
          <w:trHeight w:val="710"/>
        </w:trPr>
        <w:tc>
          <w:tcPr>
            <w:tcW w:w="2268" w:type="dxa"/>
          </w:tcPr>
          <w:p w14:paraId="17E12E82" w14:textId="77777777" w:rsidR="00605068" w:rsidRPr="003F736F" w:rsidRDefault="00605068" w:rsidP="00B0277B">
            <w:r w:rsidRPr="003F736F">
              <w:t>Cummins 2009</w:t>
            </w:r>
          </w:p>
        </w:tc>
        <w:tc>
          <w:tcPr>
            <w:tcW w:w="7200" w:type="dxa"/>
          </w:tcPr>
          <w:p w14:paraId="34C1FEC7" w14:textId="77777777" w:rsidR="00605068" w:rsidRPr="003F736F" w:rsidRDefault="00605068" w:rsidP="00B0277B">
            <w:pPr>
              <w:pStyle w:val="Paragraphedeliste"/>
              <w:numPr>
                <w:ilvl w:val="0"/>
                <w:numId w:val="10"/>
              </w:numPr>
              <w:spacing w:after="0" w:line="240" w:lineRule="auto"/>
              <w:ind w:left="720"/>
              <w:rPr>
                <w:lang w:val="en-CA"/>
              </w:rPr>
            </w:pPr>
            <w:r w:rsidRPr="003F736F">
              <w:rPr>
                <w:lang w:val="en-CA"/>
              </w:rPr>
              <w:t>No significant difference in agreement level across deprivation tertiles.</w:t>
            </w:r>
          </w:p>
        </w:tc>
      </w:tr>
      <w:tr w:rsidR="00605068" w:rsidRPr="00DA6B0A" w14:paraId="08C93611" w14:textId="77777777" w:rsidTr="00605068">
        <w:trPr>
          <w:trHeight w:val="2060"/>
        </w:trPr>
        <w:tc>
          <w:tcPr>
            <w:tcW w:w="2268" w:type="dxa"/>
          </w:tcPr>
          <w:p w14:paraId="75EDF426" w14:textId="77777777" w:rsidR="00605068" w:rsidRPr="003F736F" w:rsidRDefault="00605068" w:rsidP="00B0277B">
            <w:r w:rsidRPr="003F736F">
              <w:t>Bader 2010</w:t>
            </w:r>
          </w:p>
        </w:tc>
        <w:tc>
          <w:tcPr>
            <w:tcW w:w="7200" w:type="dxa"/>
          </w:tcPr>
          <w:p w14:paraId="44BC59AE" w14:textId="77777777" w:rsidR="00605068" w:rsidRPr="003F736F" w:rsidRDefault="00605068" w:rsidP="00B0277B">
            <w:pPr>
              <w:pStyle w:val="Paragraphedeliste"/>
              <w:numPr>
                <w:ilvl w:val="0"/>
                <w:numId w:val="19"/>
              </w:numPr>
              <w:spacing w:after="0" w:line="240" w:lineRule="auto"/>
              <w:rPr>
                <w:lang w:val="en-CA"/>
              </w:rPr>
            </w:pPr>
            <w:r w:rsidRPr="003F736F">
              <w:rPr>
                <w:lang w:val="en-CA"/>
              </w:rPr>
              <w:t>“We did not find a consistent pattern of association between socio-demographic characteristics and disagreement that would lead us to conclude that one data source consistently differs from the other in certain types of neighbourhoods. The only consistent predictor of disagreement was distance to the Loop [a proxy for commercial density]; disagreement was less likely in blocks further away from the center of the city.”</w:t>
            </w:r>
          </w:p>
        </w:tc>
      </w:tr>
      <w:tr w:rsidR="00605068" w:rsidRPr="003F736F" w14:paraId="3ABA8D69" w14:textId="77777777" w:rsidTr="00605068">
        <w:tc>
          <w:tcPr>
            <w:tcW w:w="2268" w:type="dxa"/>
          </w:tcPr>
          <w:p w14:paraId="2A2BD317" w14:textId="77777777" w:rsidR="00605068" w:rsidRPr="003F736F" w:rsidRDefault="00605068" w:rsidP="00B0277B">
            <w:r w:rsidRPr="003F736F">
              <w:t>Hosler 2010</w:t>
            </w:r>
          </w:p>
        </w:tc>
        <w:tc>
          <w:tcPr>
            <w:tcW w:w="7200" w:type="dxa"/>
          </w:tcPr>
          <w:p w14:paraId="6E4DD392" w14:textId="77777777" w:rsidR="00605068" w:rsidRPr="003F736F" w:rsidRDefault="00605068" w:rsidP="00B0277B">
            <w:pPr>
              <w:pStyle w:val="Paragraphedeliste"/>
              <w:numPr>
                <w:ilvl w:val="0"/>
                <w:numId w:val="21"/>
              </w:numPr>
              <w:spacing w:after="0" w:line="240" w:lineRule="auto"/>
              <w:rPr>
                <w:b/>
                <w:lang w:val="en-CA"/>
              </w:rPr>
            </w:pPr>
            <w:r w:rsidRPr="003F736F">
              <w:rPr>
                <w:lang w:val="en-CA"/>
              </w:rPr>
              <w:t>No associations tested</w:t>
            </w:r>
          </w:p>
        </w:tc>
      </w:tr>
      <w:tr w:rsidR="00605068" w:rsidRPr="003F736F" w14:paraId="4CEDF2CD" w14:textId="77777777" w:rsidTr="00605068">
        <w:tc>
          <w:tcPr>
            <w:tcW w:w="2268" w:type="dxa"/>
          </w:tcPr>
          <w:p w14:paraId="21CFDB46" w14:textId="77777777" w:rsidR="00605068" w:rsidRPr="003F736F" w:rsidRDefault="00605068" w:rsidP="00B0277B">
            <w:r w:rsidRPr="003F736F">
              <w:t>Jilcott 2010</w:t>
            </w:r>
          </w:p>
        </w:tc>
        <w:tc>
          <w:tcPr>
            <w:tcW w:w="7200" w:type="dxa"/>
          </w:tcPr>
          <w:p w14:paraId="3E1BD602" w14:textId="77777777" w:rsidR="00605068" w:rsidRPr="003F736F" w:rsidRDefault="00605068" w:rsidP="00B0277B">
            <w:pPr>
              <w:pStyle w:val="Paragraphedeliste"/>
              <w:numPr>
                <w:ilvl w:val="0"/>
                <w:numId w:val="21"/>
              </w:numPr>
              <w:spacing w:after="0" w:line="240" w:lineRule="auto"/>
              <w:rPr>
                <w:b/>
                <w:lang w:val="en-CA"/>
              </w:rPr>
            </w:pPr>
            <w:r w:rsidRPr="003F736F">
              <w:rPr>
                <w:lang w:val="en-CA"/>
              </w:rPr>
              <w:t>No associations tested</w:t>
            </w:r>
          </w:p>
        </w:tc>
      </w:tr>
      <w:tr w:rsidR="00605068" w:rsidRPr="003F736F" w14:paraId="538A80F5" w14:textId="77777777" w:rsidTr="00605068">
        <w:tc>
          <w:tcPr>
            <w:tcW w:w="2268" w:type="dxa"/>
          </w:tcPr>
          <w:p w14:paraId="5F8887C6" w14:textId="77777777" w:rsidR="00605068" w:rsidRPr="003F736F" w:rsidRDefault="00605068" w:rsidP="00B0277B">
            <w:r w:rsidRPr="003F736F">
              <w:t>Lake 2010</w:t>
            </w:r>
          </w:p>
        </w:tc>
        <w:tc>
          <w:tcPr>
            <w:tcW w:w="7200" w:type="dxa"/>
          </w:tcPr>
          <w:p w14:paraId="13CDA6F3" w14:textId="77777777" w:rsidR="00605068" w:rsidRPr="003F736F" w:rsidRDefault="00605068" w:rsidP="00B0277B">
            <w:pPr>
              <w:pStyle w:val="Paragraphedeliste"/>
              <w:numPr>
                <w:ilvl w:val="0"/>
                <w:numId w:val="21"/>
              </w:numPr>
              <w:spacing w:after="0" w:line="240" w:lineRule="auto"/>
              <w:rPr>
                <w:b/>
                <w:lang w:val="en-CA"/>
              </w:rPr>
            </w:pPr>
            <w:r w:rsidRPr="003F736F">
              <w:rPr>
                <w:lang w:val="en-CA"/>
              </w:rPr>
              <w:t>No associations tested</w:t>
            </w:r>
          </w:p>
        </w:tc>
      </w:tr>
      <w:tr w:rsidR="00605068" w:rsidRPr="00DA6B0A" w14:paraId="1D7FC7C1" w14:textId="77777777" w:rsidTr="00605068">
        <w:trPr>
          <w:trHeight w:val="2051"/>
        </w:trPr>
        <w:tc>
          <w:tcPr>
            <w:tcW w:w="2268" w:type="dxa"/>
          </w:tcPr>
          <w:p w14:paraId="03821831" w14:textId="77777777" w:rsidR="00605068" w:rsidRPr="003F736F" w:rsidRDefault="00605068" w:rsidP="00B0277B">
            <w:r w:rsidRPr="003F736F">
              <w:t>Liese 2010</w:t>
            </w:r>
          </w:p>
        </w:tc>
        <w:tc>
          <w:tcPr>
            <w:tcW w:w="7200" w:type="dxa"/>
          </w:tcPr>
          <w:p w14:paraId="30E6B378" w14:textId="77777777" w:rsidR="00605068" w:rsidRPr="003F736F" w:rsidRDefault="00605068" w:rsidP="00B0277B">
            <w:pPr>
              <w:pStyle w:val="Paragraphedeliste"/>
              <w:numPr>
                <w:ilvl w:val="0"/>
                <w:numId w:val="12"/>
              </w:numPr>
              <w:spacing w:after="0" w:line="240" w:lineRule="auto"/>
              <w:rPr>
                <w:b/>
                <w:lang w:val="en-CA"/>
              </w:rPr>
            </w:pPr>
            <w:r w:rsidRPr="003F736F">
              <w:rPr>
                <w:lang w:val="en-CA"/>
              </w:rPr>
              <w:t>“For stores, there were no marked differences between levels of urbanization in any of the 3 databases or the combined D&amp;B and InfoUSA databases. A similar picture emerged for restaurants, the exception being significantly higher sensitivity in urban areas in the D&amp;B data. We additionally evaluated the potential influence of tract racial composition or poverty on the validity estimates but found no evidence for any systematic differences (data not shown).”</w:t>
            </w:r>
          </w:p>
        </w:tc>
      </w:tr>
      <w:tr w:rsidR="00605068" w:rsidRPr="00DA6B0A" w14:paraId="2319C9CF" w14:textId="77777777" w:rsidTr="00605068">
        <w:trPr>
          <w:trHeight w:val="692"/>
        </w:trPr>
        <w:tc>
          <w:tcPr>
            <w:tcW w:w="2268" w:type="dxa"/>
          </w:tcPr>
          <w:p w14:paraId="4A1F03B1" w14:textId="77777777" w:rsidR="00605068" w:rsidRPr="003F736F" w:rsidRDefault="00605068" w:rsidP="00B0277B">
            <w:r w:rsidRPr="003F736F">
              <w:t>Longacre 2011</w:t>
            </w:r>
          </w:p>
        </w:tc>
        <w:tc>
          <w:tcPr>
            <w:tcW w:w="7200" w:type="dxa"/>
          </w:tcPr>
          <w:p w14:paraId="22DD6935" w14:textId="77777777" w:rsidR="00605068" w:rsidRPr="003F736F" w:rsidRDefault="00605068" w:rsidP="00B0277B">
            <w:pPr>
              <w:pStyle w:val="Paragraphedeliste"/>
              <w:numPr>
                <w:ilvl w:val="0"/>
                <w:numId w:val="13"/>
              </w:numPr>
              <w:spacing w:after="0" w:line="240" w:lineRule="auto"/>
              <w:rPr>
                <w:b/>
                <w:lang w:val="en-CA"/>
              </w:rPr>
            </w:pPr>
            <w:r w:rsidRPr="003F736F">
              <w:rPr>
                <w:lang w:val="en-CA"/>
              </w:rPr>
              <w:t>“Public data were significantly less accurate for low population towns (Figure 2, P&gt;0.001)</w:t>
            </w:r>
            <w:r w:rsidR="00E26305">
              <w:rPr>
                <w:lang w:val="en-CA"/>
              </w:rPr>
              <w:t>.</w:t>
            </w:r>
            <w:r w:rsidRPr="003F736F">
              <w:rPr>
                <w:lang w:val="en-CA"/>
              </w:rPr>
              <w:t>”</w:t>
            </w:r>
          </w:p>
        </w:tc>
      </w:tr>
      <w:tr w:rsidR="00605068" w:rsidRPr="00DA6B0A" w14:paraId="5A7B6BA9" w14:textId="77777777" w:rsidTr="00605068">
        <w:tc>
          <w:tcPr>
            <w:tcW w:w="2268" w:type="dxa"/>
          </w:tcPr>
          <w:p w14:paraId="2F5FBC7A" w14:textId="77777777" w:rsidR="00605068" w:rsidRPr="003F736F" w:rsidRDefault="00605068" w:rsidP="00B0277B">
            <w:r w:rsidRPr="003F736F">
              <w:t>Powell 2011</w:t>
            </w:r>
          </w:p>
        </w:tc>
        <w:tc>
          <w:tcPr>
            <w:tcW w:w="7200" w:type="dxa"/>
          </w:tcPr>
          <w:p w14:paraId="06CE6998" w14:textId="77777777" w:rsidR="00605068" w:rsidRPr="003F736F" w:rsidRDefault="00605068" w:rsidP="00B0277B">
            <w:pPr>
              <w:pStyle w:val="Paragraphedeliste"/>
              <w:numPr>
                <w:ilvl w:val="0"/>
                <w:numId w:val="15"/>
              </w:numPr>
              <w:spacing w:after="0" w:line="240" w:lineRule="auto"/>
              <w:rPr>
                <w:lang w:val="en-CA"/>
              </w:rPr>
            </w:pPr>
            <w:r w:rsidRPr="003F736F">
              <w:rPr>
                <w:lang w:val="en-CA"/>
              </w:rPr>
              <w:t xml:space="preserve">“Agreement for supermarkets and grocery stores did not differ significantly across tracts of different income levels for </w:t>
            </w:r>
            <w:r w:rsidR="00D00FFD">
              <w:rPr>
                <w:lang w:val="en-CA"/>
              </w:rPr>
              <w:t>I</w:t>
            </w:r>
            <w:r w:rsidRPr="003F736F">
              <w:rPr>
                <w:lang w:val="en-CA"/>
              </w:rPr>
              <w:t>nfoUSA, but was higher in low- compared to middle income tracts in D&amp;B. Agreement for convenience stores did not differ by tract SES in D&amp;B but was lower in low- versus middle income tracts in InfoUSA</w:t>
            </w:r>
            <w:r w:rsidR="00E26305">
              <w:rPr>
                <w:lang w:val="en-CA"/>
              </w:rPr>
              <w:t>.</w:t>
            </w:r>
            <w:r w:rsidRPr="003F736F">
              <w:rPr>
                <w:lang w:val="en-CA"/>
              </w:rPr>
              <w:t>”</w:t>
            </w:r>
          </w:p>
          <w:p w14:paraId="37B59475" w14:textId="77777777" w:rsidR="00605068" w:rsidRPr="003F736F" w:rsidRDefault="00605068" w:rsidP="00B0277B">
            <w:pPr>
              <w:pStyle w:val="Paragraphedeliste"/>
              <w:numPr>
                <w:ilvl w:val="1"/>
                <w:numId w:val="15"/>
              </w:numPr>
              <w:spacing w:after="0" w:line="240" w:lineRule="auto"/>
              <w:rPr>
                <w:lang w:val="en-CA"/>
              </w:rPr>
            </w:pPr>
            <w:r w:rsidRPr="003F736F">
              <w:rPr>
                <w:lang w:val="en-CA"/>
              </w:rPr>
              <w:t>“Among the low income tracts, some significant differences in agreement were observed by race and ethnicity</w:t>
            </w:r>
            <w:r w:rsidR="00E26305">
              <w:rPr>
                <w:lang w:val="en-CA"/>
              </w:rPr>
              <w:t>.</w:t>
            </w:r>
            <w:r w:rsidRPr="003F736F">
              <w:rPr>
                <w:lang w:val="en-CA"/>
              </w:rPr>
              <w:t>”</w:t>
            </w:r>
          </w:p>
          <w:p w14:paraId="4C0D14BC" w14:textId="77777777" w:rsidR="00605068" w:rsidRPr="003F736F" w:rsidRDefault="00605068" w:rsidP="00B0277B">
            <w:pPr>
              <w:pStyle w:val="Paragraphedeliste"/>
              <w:numPr>
                <w:ilvl w:val="0"/>
                <w:numId w:val="15"/>
              </w:numPr>
              <w:spacing w:after="0" w:line="240" w:lineRule="auto"/>
              <w:rPr>
                <w:lang w:val="en-CA"/>
              </w:rPr>
            </w:pPr>
            <w:r w:rsidRPr="003F736F">
              <w:rPr>
                <w:lang w:val="en-CA"/>
              </w:rPr>
              <w:t xml:space="preserve">“By urbanicity, the results in Table 5 show that agreement in D&amp;B for supermarkets, grocery stores and convenience stores was roughly the same in rural compared to either urban or suburban areas but higher in suburban versus urban areas. There were no significant differences for supermarket and grocery store agreement by urbanicity in InfoUSA, whereas for convenience store agreement was significantly lower in rural areas. The results also show that agreement for fast </w:t>
            </w:r>
            <w:r w:rsidRPr="003F736F">
              <w:rPr>
                <w:lang w:val="en-CA"/>
              </w:rPr>
              <w:lastRenderedPageBreak/>
              <w:t>food restaurants was significantly lower in rural areas compared to urban or suburban tracts.”</w:t>
            </w:r>
          </w:p>
          <w:p w14:paraId="2CE14E09" w14:textId="77777777" w:rsidR="00605068" w:rsidRPr="003F736F" w:rsidRDefault="00605068" w:rsidP="00B0277B">
            <w:pPr>
              <w:spacing w:after="0" w:line="240" w:lineRule="auto"/>
              <w:rPr>
                <w:lang w:val="en-CA"/>
              </w:rPr>
            </w:pPr>
          </w:p>
        </w:tc>
      </w:tr>
      <w:tr w:rsidR="00605068" w:rsidRPr="00DA6B0A" w14:paraId="5FA1A975" w14:textId="77777777" w:rsidTr="00605068">
        <w:trPr>
          <w:trHeight w:val="1070"/>
        </w:trPr>
        <w:tc>
          <w:tcPr>
            <w:tcW w:w="2268" w:type="dxa"/>
          </w:tcPr>
          <w:p w14:paraId="4BDE1BAB" w14:textId="77777777" w:rsidR="00605068" w:rsidRPr="003F736F" w:rsidRDefault="00605068" w:rsidP="00B0277B">
            <w:r w:rsidRPr="003F736F">
              <w:lastRenderedPageBreak/>
              <w:t>Toft 2011</w:t>
            </w:r>
          </w:p>
        </w:tc>
        <w:tc>
          <w:tcPr>
            <w:tcW w:w="7200" w:type="dxa"/>
          </w:tcPr>
          <w:p w14:paraId="22D850D4" w14:textId="77777777" w:rsidR="00605068" w:rsidRPr="003F736F" w:rsidRDefault="00605068" w:rsidP="00B0277B">
            <w:pPr>
              <w:pStyle w:val="Paragraphedeliste"/>
              <w:numPr>
                <w:ilvl w:val="0"/>
                <w:numId w:val="18"/>
              </w:numPr>
              <w:spacing w:after="0" w:line="240" w:lineRule="auto"/>
              <w:rPr>
                <w:lang w:val="en-CA"/>
              </w:rPr>
            </w:pPr>
            <w:r w:rsidRPr="003F736F">
              <w:rPr>
                <w:lang w:val="en-CA"/>
              </w:rPr>
              <w:t>“…The sensitivity was found to be highest in the Copenhagen metropolitan area (84% vs. 76%) whereas the PPV was highest in the area outside Copenhagen  (94% vs. 90%).”</w:t>
            </w:r>
          </w:p>
        </w:tc>
      </w:tr>
      <w:tr w:rsidR="00605068" w:rsidRPr="003F736F" w14:paraId="79FB2F46" w14:textId="77777777" w:rsidTr="00605068">
        <w:tc>
          <w:tcPr>
            <w:tcW w:w="2268" w:type="dxa"/>
          </w:tcPr>
          <w:p w14:paraId="57EEE28A" w14:textId="77777777" w:rsidR="00605068" w:rsidRPr="003F736F" w:rsidRDefault="00605068" w:rsidP="00B0277B">
            <w:r w:rsidRPr="003F736F">
              <w:t>Fleischhacker 2012</w:t>
            </w:r>
          </w:p>
        </w:tc>
        <w:tc>
          <w:tcPr>
            <w:tcW w:w="7200" w:type="dxa"/>
          </w:tcPr>
          <w:p w14:paraId="0275BDB3" w14:textId="77777777" w:rsidR="00605068" w:rsidRPr="003F736F" w:rsidRDefault="00605068" w:rsidP="00B0277B">
            <w:pPr>
              <w:pStyle w:val="Paragraphedeliste"/>
              <w:numPr>
                <w:ilvl w:val="0"/>
                <w:numId w:val="18"/>
              </w:numPr>
              <w:spacing w:after="0" w:line="240" w:lineRule="auto"/>
              <w:rPr>
                <w:lang w:val="en-CA"/>
              </w:rPr>
            </w:pPr>
            <w:r w:rsidRPr="003F736F">
              <w:rPr>
                <w:lang w:val="en-CA"/>
              </w:rPr>
              <w:t>No associations tested</w:t>
            </w:r>
          </w:p>
        </w:tc>
      </w:tr>
      <w:tr w:rsidR="00605068" w:rsidRPr="003F736F" w14:paraId="221278CF" w14:textId="77777777" w:rsidTr="00605068">
        <w:trPr>
          <w:trHeight w:val="368"/>
        </w:trPr>
        <w:tc>
          <w:tcPr>
            <w:tcW w:w="2268" w:type="dxa"/>
          </w:tcPr>
          <w:p w14:paraId="345199ED" w14:textId="77777777" w:rsidR="00605068" w:rsidRPr="003F736F" w:rsidRDefault="00605068" w:rsidP="00B0277B">
            <w:r w:rsidRPr="003F736F">
              <w:t>Gustafson 2012</w:t>
            </w:r>
          </w:p>
        </w:tc>
        <w:tc>
          <w:tcPr>
            <w:tcW w:w="7200" w:type="dxa"/>
          </w:tcPr>
          <w:p w14:paraId="398AEF7E" w14:textId="77777777" w:rsidR="00605068" w:rsidRPr="003F736F" w:rsidRDefault="00605068" w:rsidP="00B0277B">
            <w:pPr>
              <w:pStyle w:val="Paragraphedeliste"/>
              <w:numPr>
                <w:ilvl w:val="0"/>
                <w:numId w:val="18"/>
              </w:numPr>
              <w:spacing w:after="0" w:line="240" w:lineRule="auto"/>
              <w:rPr>
                <w:lang w:val="en-CA"/>
              </w:rPr>
            </w:pPr>
            <w:r w:rsidRPr="003F736F">
              <w:rPr>
                <w:lang w:val="en-CA"/>
              </w:rPr>
              <w:t>No associations tested</w:t>
            </w:r>
          </w:p>
        </w:tc>
      </w:tr>
      <w:tr w:rsidR="00605068" w:rsidRPr="00DA6B0A" w14:paraId="3A27177F" w14:textId="77777777" w:rsidTr="00605068">
        <w:trPr>
          <w:trHeight w:val="1286"/>
        </w:trPr>
        <w:tc>
          <w:tcPr>
            <w:tcW w:w="2268" w:type="dxa"/>
          </w:tcPr>
          <w:p w14:paraId="39B17457" w14:textId="77777777" w:rsidR="00605068" w:rsidRPr="003F736F" w:rsidRDefault="00605068" w:rsidP="00B0277B">
            <w:r w:rsidRPr="003F736F">
              <w:t>Lake 2012</w:t>
            </w:r>
          </w:p>
        </w:tc>
        <w:tc>
          <w:tcPr>
            <w:tcW w:w="7200" w:type="dxa"/>
          </w:tcPr>
          <w:p w14:paraId="67C910F5" w14:textId="77777777" w:rsidR="00605068" w:rsidRPr="003F736F" w:rsidRDefault="00605068" w:rsidP="00B0277B">
            <w:pPr>
              <w:pStyle w:val="Paragraphedeliste"/>
              <w:numPr>
                <w:ilvl w:val="0"/>
                <w:numId w:val="11"/>
              </w:numPr>
              <w:spacing w:after="0" w:line="240" w:lineRule="auto"/>
              <w:rPr>
                <w:lang w:val="en-CA"/>
              </w:rPr>
            </w:pPr>
            <w:r w:rsidRPr="003F736F">
              <w:rPr>
                <w:lang w:val="en-CA"/>
              </w:rPr>
              <w:t>“The sensitivities…were considered to be ‘moderate’ to ‘excellent’ in all study areas.”</w:t>
            </w:r>
          </w:p>
          <w:p w14:paraId="279C81AA" w14:textId="77777777" w:rsidR="00605068" w:rsidRPr="003F736F" w:rsidRDefault="00605068" w:rsidP="00B0277B">
            <w:pPr>
              <w:pStyle w:val="Paragraphedeliste"/>
              <w:numPr>
                <w:ilvl w:val="0"/>
                <w:numId w:val="11"/>
              </w:numPr>
              <w:spacing w:after="0" w:line="240" w:lineRule="auto"/>
              <w:rPr>
                <w:lang w:val="en-CA"/>
              </w:rPr>
            </w:pPr>
            <w:r w:rsidRPr="003F736F">
              <w:rPr>
                <w:lang w:val="en-CA"/>
              </w:rPr>
              <w:t>Table: PPV was similar in urban versus rural; sensitivities were generally similar – with a (low) outlier in the rural, low SES area.</w:t>
            </w:r>
          </w:p>
        </w:tc>
      </w:tr>
      <w:tr w:rsidR="00605068" w:rsidRPr="00DA6B0A" w14:paraId="0026C2AA" w14:textId="77777777" w:rsidTr="00605068">
        <w:trPr>
          <w:trHeight w:val="1520"/>
        </w:trPr>
        <w:tc>
          <w:tcPr>
            <w:tcW w:w="2268" w:type="dxa"/>
          </w:tcPr>
          <w:p w14:paraId="08BD3A95" w14:textId="77777777" w:rsidR="00605068" w:rsidRPr="003F736F" w:rsidRDefault="00605068" w:rsidP="00B0277B">
            <w:r w:rsidRPr="003F736F">
              <w:t>Rossen 2012</w:t>
            </w:r>
          </w:p>
        </w:tc>
        <w:tc>
          <w:tcPr>
            <w:tcW w:w="7200" w:type="dxa"/>
          </w:tcPr>
          <w:p w14:paraId="5E7D18A1" w14:textId="77777777" w:rsidR="00605068" w:rsidRPr="003F736F" w:rsidRDefault="00605068" w:rsidP="00B0277B">
            <w:pPr>
              <w:pStyle w:val="Paragraphedeliste"/>
              <w:numPr>
                <w:ilvl w:val="0"/>
                <w:numId w:val="16"/>
              </w:numPr>
              <w:spacing w:after="0" w:line="240" w:lineRule="auto"/>
              <w:rPr>
                <w:lang w:val="en-CA"/>
              </w:rPr>
            </w:pPr>
            <w:r w:rsidRPr="003F736F">
              <w:rPr>
                <w:lang w:val="en-CA"/>
              </w:rPr>
              <w:t>“There were no differences between verified and unverified food outlets across a number of census tract-level SES variables and racial composition. However, unverified outlets were more likely to be located in census tracts with a higher number of vacant housing units."</w:t>
            </w:r>
          </w:p>
        </w:tc>
      </w:tr>
      <w:tr w:rsidR="00605068" w:rsidRPr="003F736F" w14:paraId="4C78B1D4" w14:textId="77777777" w:rsidTr="00605068">
        <w:tc>
          <w:tcPr>
            <w:tcW w:w="2268" w:type="dxa"/>
          </w:tcPr>
          <w:p w14:paraId="6A06B5FE" w14:textId="77777777" w:rsidR="00605068" w:rsidRPr="003F736F" w:rsidRDefault="00605068" w:rsidP="00B0277B">
            <w:r w:rsidRPr="003F736F">
              <w:t>Svatisalee 2012</w:t>
            </w:r>
          </w:p>
        </w:tc>
        <w:tc>
          <w:tcPr>
            <w:tcW w:w="7200" w:type="dxa"/>
          </w:tcPr>
          <w:p w14:paraId="1E80C0FF" w14:textId="77777777" w:rsidR="00605068" w:rsidRPr="003F736F" w:rsidRDefault="00605068" w:rsidP="00B0277B">
            <w:pPr>
              <w:pStyle w:val="Paragraphedeliste"/>
              <w:numPr>
                <w:ilvl w:val="0"/>
                <w:numId w:val="16"/>
              </w:numPr>
              <w:spacing w:after="0" w:line="240" w:lineRule="auto"/>
              <w:rPr>
                <w:lang w:val="en-CA"/>
              </w:rPr>
            </w:pPr>
            <w:r w:rsidRPr="003F736F">
              <w:rPr>
                <w:lang w:val="en-CA"/>
              </w:rPr>
              <w:t>No associations tested</w:t>
            </w:r>
          </w:p>
        </w:tc>
      </w:tr>
      <w:tr w:rsidR="00605068" w:rsidRPr="00DA6B0A" w14:paraId="501F8261" w14:textId="77777777" w:rsidTr="00605068">
        <w:trPr>
          <w:trHeight w:val="2357"/>
        </w:trPr>
        <w:tc>
          <w:tcPr>
            <w:tcW w:w="2268" w:type="dxa"/>
          </w:tcPr>
          <w:p w14:paraId="4D4AFEE3" w14:textId="77777777" w:rsidR="00605068" w:rsidRPr="003F736F" w:rsidRDefault="00605068" w:rsidP="00B0277B">
            <w:r w:rsidRPr="003F736F">
              <w:t>Burgoine 2013</w:t>
            </w:r>
          </w:p>
        </w:tc>
        <w:tc>
          <w:tcPr>
            <w:tcW w:w="7200" w:type="dxa"/>
          </w:tcPr>
          <w:p w14:paraId="51212162" w14:textId="77777777" w:rsidR="00605068" w:rsidRPr="003F736F" w:rsidRDefault="00605068" w:rsidP="00B0277B">
            <w:pPr>
              <w:pStyle w:val="Paragraphedeliste"/>
              <w:numPr>
                <w:ilvl w:val="0"/>
                <w:numId w:val="10"/>
              </w:numPr>
              <w:spacing w:after="0" w:line="240" w:lineRule="auto"/>
              <w:ind w:left="720"/>
              <w:rPr>
                <w:lang w:val="en-CA"/>
              </w:rPr>
            </w:pPr>
            <w:r w:rsidRPr="003F736F">
              <w:rPr>
                <w:lang w:val="en-CA"/>
              </w:rPr>
              <w:t xml:space="preserve">“Importantly, PPV’s across </w:t>
            </w:r>
            <w:r w:rsidR="00D00FFD" w:rsidRPr="003F736F">
              <w:rPr>
                <w:lang w:val="en-CA"/>
              </w:rPr>
              <w:t>s</w:t>
            </w:r>
            <w:r w:rsidR="00D00FFD">
              <w:rPr>
                <w:lang w:val="en-CA"/>
              </w:rPr>
              <w:t>oci</w:t>
            </w:r>
            <w:r w:rsidR="00D00FFD" w:rsidRPr="003F736F">
              <w:rPr>
                <w:lang w:val="en-CA"/>
              </w:rPr>
              <w:t>o</w:t>
            </w:r>
            <w:r w:rsidRPr="003F736F">
              <w:rPr>
                <w:lang w:val="en-CA"/>
              </w:rPr>
              <w:t>-economic and urban/rural divides were similar, both to each other, and to the statistic for all outlets. For sensitivity and percentage agreement, there were exceptions, including significantly better estimates of both in some more deprived quintiles, although no evidence of a trend existed, and in urban areas.”</w:t>
            </w:r>
          </w:p>
          <w:p w14:paraId="7F0A7B0C" w14:textId="77777777" w:rsidR="00605068" w:rsidRPr="003F736F" w:rsidRDefault="00605068" w:rsidP="00B0277B">
            <w:pPr>
              <w:pStyle w:val="Paragraphedeliste"/>
              <w:numPr>
                <w:ilvl w:val="0"/>
                <w:numId w:val="10"/>
              </w:numPr>
              <w:spacing w:after="0" w:line="240" w:lineRule="auto"/>
              <w:ind w:left="720"/>
              <w:rPr>
                <w:lang w:val="en-CA"/>
              </w:rPr>
            </w:pPr>
            <w:r w:rsidRPr="003F736F">
              <w:rPr>
                <w:lang w:val="en-CA"/>
              </w:rPr>
              <w:t>Researchers “do not believe [a substantial difference across SES or urban/rural divides] was the case here</w:t>
            </w:r>
            <w:r w:rsidR="00E26305">
              <w:rPr>
                <w:lang w:val="en-CA"/>
              </w:rPr>
              <w:t>.</w:t>
            </w:r>
            <w:r w:rsidRPr="003F736F">
              <w:rPr>
                <w:lang w:val="en-CA"/>
              </w:rPr>
              <w:t>”</w:t>
            </w:r>
          </w:p>
        </w:tc>
      </w:tr>
      <w:tr w:rsidR="00605068" w:rsidRPr="00DA6B0A" w14:paraId="1FB07BA6" w14:textId="77777777" w:rsidTr="00605068">
        <w:trPr>
          <w:trHeight w:val="719"/>
        </w:trPr>
        <w:tc>
          <w:tcPr>
            <w:tcW w:w="2268" w:type="dxa"/>
          </w:tcPr>
          <w:p w14:paraId="63D9A95D" w14:textId="77777777" w:rsidR="00605068" w:rsidRPr="003F736F" w:rsidRDefault="00605068" w:rsidP="00B0277B">
            <w:r w:rsidRPr="003F736F">
              <w:t>Clary 2013</w:t>
            </w:r>
          </w:p>
        </w:tc>
        <w:tc>
          <w:tcPr>
            <w:tcW w:w="7200" w:type="dxa"/>
          </w:tcPr>
          <w:p w14:paraId="304344BB" w14:textId="77777777" w:rsidR="00605068" w:rsidRPr="003F736F" w:rsidRDefault="00605068" w:rsidP="00B0277B">
            <w:pPr>
              <w:pStyle w:val="Paragraphedeliste"/>
              <w:numPr>
                <w:ilvl w:val="0"/>
                <w:numId w:val="20"/>
              </w:numPr>
              <w:spacing w:after="0" w:line="240" w:lineRule="auto"/>
              <w:rPr>
                <w:b/>
                <w:lang w:val="en-CA"/>
              </w:rPr>
            </w:pPr>
            <w:r w:rsidRPr="003F736F">
              <w:rPr>
                <w:lang w:val="en-CA"/>
              </w:rPr>
              <w:t xml:space="preserve">“No significant difference was observed by CT characteristic (SES and language) for both </w:t>
            </w:r>
            <w:r w:rsidRPr="003F736F">
              <w:rPr>
                <w:i/>
                <w:lang w:val="en-CA"/>
              </w:rPr>
              <w:t xml:space="preserve">traditional </w:t>
            </w:r>
            <w:r w:rsidRPr="003F736F">
              <w:rPr>
                <w:lang w:val="en-CA"/>
              </w:rPr>
              <w:t xml:space="preserve">and </w:t>
            </w:r>
            <w:r w:rsidRPr="003F736F">
              <w:rPr>
                <w:i/>
                <w:lang w:val="en-CA"/>
              </w:rPr>
              <w:t xml:space="preserve">relaxed </w:t>
            </w:r>
            <w:r w:rsidRPr="003F736F">
              <w:rPr>
                <w:lang w:val="en-CA"/>
              </w:rPr>
              <w:t>measures.”</w:t>
            </w:r>
          </w:p>
        </w:tc>
      </w:tr>
      <w:tr w:rsidR="00605068" w:rsidRPr="00DA6B0A" w14:paraId="2062B8AF" w14:textId="77777777" w:rsidTr="00605068">
        <w:trPr>
          <w:trHeight w:val="1511"/>
        </w:trPr>
        <w:tc>
          <w:tcPr>
            <w:tcW w:w="2268" w:type="dxa"/>
          </w:tcPr>
          <w:p w14:paraId="50844E3E" w14:textId="77777777" w:rsidR="00605068" w:rsidRPr="003F736F" w:rsidRDefault="00605068" w:rsidP="00B0277B">
            <w:r w:rsidRPr="003F736F">
              <w:t>Liese 2013</w:t>
            </w:r>
          </w:p>
        </w:tc>
        <w:tc>
          <w:tcPr>
            <w:tcW w:w="7200" w:type="dxa"/>
          </w:tcPr>
          <w:p w14:paraId="7EBA908A" w14:textId="77777777" w:rsidR="00605068" w:rsidRPr="003F736F" w:rsidRDefault="00605068" w:rsidP="00B0277B">
            <w:pPr>
              <w:pStyle w:val="Paragraphedeliste"/>
              <w:numPr>
                <w:ilvl w:val="0"/>
                <w:numId w:val="12"/>
              </w:numPr>
              <w:spacing w:after="0" w:line="240" w:lineRule="auto"/>
              <w:rPr>
                <w:lang w:val="en-CA"/>
              </w:rPr>
            </w:pPr>
            <w:r w:rsidRPr="003F736F">
              <w:rPr>
                <w:lang w:val="en-CA"/>
              </w:rPr>
              <w:t>“…</w:t>
            </w:r>
            <w:r w:rsidR="00D00FFD">
              <w:rPr>
                <w:lang w:val="en-CA"/>
              </w:rPr>
              <w:t>F</w:t>
            </w:r>
            <w:r w:rsidRPr="003F736F">
              <w:rPr>
                <w:lang w:val="en-CA"/>
              </w:rPr>
              <w:t xml:space="preserve">or Dun and Bradstreet, no evidence for systematic differences in the validity statistics of supermarkets and grocery stores was found between levels of </w:t>
            </w:r>
            <w:r w:rsidR="00D00FFD" w:rsidRPr="003F736F">
              <w:rPr>
                <w:lang w:val="en-CA"/>
              </w:rPr>
              <w:t>neighbourhood</w:t>
            </w:r>
            <w:r w:rsidRPr="003F736F">
              <w:rPr>
                <w:lang w:val="en-CA"/>
              </w:rPr>
              <w:t xml:space="preserve"> characteristics.”</w:t>
            </w:r>
          </w:p>
          <w:p w14:paraId="5647ED2D" w14:textId="77777777" w:rsidR="00605068" w:rsidRPr="003F736F" w:rsidRDefault="00605068" w:rsidP="00B0277B">
            <w:pPr>
              <w:pStyle w:val="Paragraphedeliste"/>
              <w:numPr>
                <w:ilvl w:val="0"/>
                <w:numId w:val="12"/>
              </w:numPr>
              <w:spacing w:after="0" w:line="240" w:lineRule="auto"/>
              <w:rPr>
                <w:lang w:val="en-CA"/>
              </w:rPr>
            </w:pPr>
            <w:r w:rsidRPr="003F736F">
              <w:rPr>
                <w:lang w:val="en-CA"/>
              </w:rPr>
              <w:t>Did find differences by race, income and poverty for InfoUSA (</w:t>
            </w:r>
            <w:r w:rsidR="00E26305">
              <w:rPr>
                <w:lang w:val="en-CA"/>
              </w:rPr>
              <w:t xml:space="preserve">in </w:t>
            </w:r>
            <w:r w:rsidRPr="003F736F">
              <w:rPr>
                <w:lang w:val="en-CA"/>
              </w:rPr>
              <w:t>6 out of 18 tested associations)</w:t>
            </w:r>
            <w:r w:rsidR="00E26305">
              <w:rPr>
                <w:lang w:val="en-CA"/>
              </w:rPr>
              <w:t>.</w:t>
            </w:r>
          </w:p>
        </w:tc>
      </w:tr>
      <w:tr w:rsidR="00605068" w:rsidRPr="00DA6B0A" w14:paraId="26E785D1" w14:textId="77777777" w:rsidTr="00605068">
        <w:trPr>
          <w:trHeight w:val="1070"/>
        </w:trPr>
        <w:tc>
          <w:tcPr>
            <w:tcW w:w="2268" w:type="dxa"/>
          </w:tcPr>
          <w:p w14:paraId="0653C32E" w14:textId="77777777" w:rsidR="00605068" w:rsidRPr="003F736F" w:rsidRDefault="00605068" w:rsidP="00B0277B">
            <w:r w:rsidRPr="003F736F">
              <w:t>Rummo 2014</w:t>
            </w:r>
          </w:p>
        </w:tc>
        <w:tc>
          <w:tcPr>
            <w:tcW w:w="7200" w:type="dxa"/>
          </w:tcPr>
          <w:p w14:paraId="567378A0" w14:textId="77777777" w:rsidR="00605068" w:rsidRPr="003F736F" w:rsidRDefault="00605068" w:rsidP="00B0277B">
            <w:pPr>
              <w:pStyle w:val="Paragraphedeliste"/>
              <w:numPr>
                <w:ilvl w:val="0"/>
                <w:numId w:val="17"/>
              </w:numPr>
              <w:spacing w:after="0" w:line="240" w:lineRule="auto"/>
              <w:rPr>
                <w:lang w:val="en-CA"/>
              </w:rPr>
            </w:pPr>
            <w:r w:rsidRPr="003F736F">
              <w:rPr>
                <w:lang w:val="en-CA"/>
              </w:rPr>
              <w:t>“Agreement between the databases and the field census of food stores and restaurants did not differ substantially by Hispanic composition of census tracts</w:t>
            </w:r>
            <w:r w:rsidR="00DC3CFB">
              <w:rPr>
                <w:lang w:val="en-CA"/>
              </w:rPr>
              <w:t>.</w:t>
            </w:r>
            <w:r w:rsidRPr="003F736F">
              <w:rPr>
                <w:lang w:val="en-CA"/>
              </w:rPr>
              <w:t>”</w:t>
            </w:r>
          </w:p>
        </w:tc>
      </w:tr>
    </w:tbl>
    <w:p w14:paraId="1B0567CA" w14:textId="0170F26E" w:rsidR="00605068" w:rsidRPr="00863319" w:rsidRDefault="00605068" w:rsidP="005F0278">
      <w:pPr>
        <w:spacing w:before="100" w:beforeAutospacing="1" w:after="240" w:line="360" w:lineRule="auto"/>
        <w:jc w:val="center"/>
        <w:rPr>
          <w:rFonts w:asciiTheme="majorHAnsi" w:hAnsiTheme="majorHAnsi" w:cstheme="majorHAnsi"/>
          <w:color w:val="000000"/>
          <w:lang w:val="en-CA"/>
        </w:rPr>
      </w:pPr>
    </w:p>
    <w:sectPr w:rsidR="00605068" w:rsidRPr="00863319" w:rsidSect="008324A4">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6E8B8" w14:textId="77777777" w:rsidR="008D3BF0" w:rsidRDefault="008D3BF0" w:rsidP="004441C6">
      <w:pPr>
        <w:spacing w:after="0" w:line="240" w:lineRule="auto"/>
      </w:pPr>
      <w:r>
        <w:separator/>
      </w:r>
    </w:p>
  </w:endnote>
  <w:endnote w:type="continuationSeparator" w:id="0">
    <w:p w14:paraId="12A927C0" w14:textId="77777777" w:rsidR="008D3BF0" w:rsidRDefault="008D3BF0" w:rsidP="0044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389B" w14:textId="77777777" w:rsidR="00F66723" w:rsidRDefault="00F66723" w:rsidP="00B2204A">
    <w:pPr>
      <w:jc w:val="center"/>
    </w:pPr>
    <w:r>
      <w:fldChar w:fldCharType="begin"/>
    </w:r>
    <w:r>
      <w:instrText>PAGE   \* MERGEFORMAT</w:instrText>
    </w:r>
    <w:r>
      <w:fldChar w:fldCharType="separate"/>
    </w:r>
    <w:r w:rsidR="00DA6B0A" w:rsidRPr="00DA6B0A">
      <w:rPr>
        <w:noProof/>
        <w:lang w:val="fr-FR"/>
      </w:rPr>
      <w:t>1</w:t>
    </w:r>
    <w:r>
      <w:fldChar w:fldCharType="end"/>
    </w:r>
  </w:p>
  <w:p w14:paraId="54D1C5E4" w14:textId="77777777" w:rsidR="00F66723" w:rsidRDefault="00F667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522FE" w14:textId="77777777" w:rsidR="008D3BF0" w:rsidRDefault="008D3BF0" w:rsidP="004441C6">
      <w:pPr>
        <w:spacing w:after="0" w:line="240" w:lineRule="auto"/>
      </w:pPr>
      <w:r>
        <w:separator/>
      </w:r>
    </w:p>
  </w:footnote>
  <w:footnote w:type="continuationSeparator" w:id="0">
    <w:p w14:paraId="2CAD3C79" w14:textId="77777777" w:rsidR="008D3BF0" w:rsidRDefault="008D3BF0" w:rsidP="00444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EF3" w14:textId="77777777" w:rsidR="00D10AD9" w:rsidRPr="00B4085F" w:rsidRDefault="00D10AD9" w:rsidP="00D10AD9">
    <w:pPr>
      <w:pStyle w:val="En-tte"/>
      <w:jc w:val="right"/>
      <w:rPr>
        <w:i/>
        <w:sz w:val="20"/>
      </w:rPr>
    </w:pPr>
    <w:r w:rsidRPr="00B4085F">
      <w:rPr>
        <w:i/>
        <w:sz w:val="20"/>
      </w:rPr>
      <w:t>Quantifying the foodscape- Supporting information</w:t>
    </w:r>
  </w:p>
  <w:p w14:paraId="17F9FBBC" w14:textId="77777777" w:rsidR="00D10AD9" w:rsidRDefault="00D10A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7C9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7103D"/>
    <w:multiLevelType w:val="hybridMultilevel"/>
    <w:tmpl w:val="918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B4C"/>
    <w:multiLevelType w:val="hybridMultilevel"/>
    <w:tmpl w:val="D4044838"/>
    <w:lvl w:ilvl="0" w:tplc="CCC2EC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B62D1"/>
    <w:multiLevelType w:val="hybridMultilevel"/>
    <w:tmpl w:val="519E99B6"/>
    <w:lvl w:ilvl="0" w:tplc="518CE810">
      <w:start w:val="7"/>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8371F4"/>
    <w:multiLevelType w:val="hybridMultilevel"/>
    <w:tmpl w:val="CDEC62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0F4BBF"/>
    <w:multiLevelType w:val="hybridMultilevel"/>
    <w:tmpl w:val="3648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21C13"/>
    <w:multiLevelType w:val="hybridMultilevel"/>
    <w:tmpl w:val="82B83EAA"/>
    <w:lvl w:ilvl="0" w:tplc="F62CA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A3204"/>
    <w:multiLevelType w:val="hybridMultilevel"/>
    <w:tmpl w:val="6FF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F229E"/>
    <w:multiLevelType w:val="hybridMultilevel"/>
    <w:tmpl w:val="882C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B72C4"/>
    <w:multiLevelType w:val="hybridMultilevel"/>
    <w:tmpl w:val="DA14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C0EAE"/>
    <w:multiLevelType w:val="hybridMultilevel"/>
    <w:tmpl w:val="D6F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B17B9"/>
    <w:multiLevelType w:val="hybridMultilevel"/>
    <w:tmpl w:val="9CE2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20936"/>
    <w:multiLevelType w:val="hybridMultilevel"/>
    <w:tmpl w:val="3A9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630C5"/>
    <w:multiLevelType w:val="hybridMultilevel"/>
    <w:tmpl w:val="5C2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E2279"/>
    <w:multiLevelType w:val="hybridMultilevel"/>
    <w:tmpl w:val="18745E28"/>
    <w:lvl w:ilvl="0" w:tplc="25F6DA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35C9D"/>
    <w:multiLevelType w:val="hybridMultilevel"/>
    <w:tmpl w:val="6D140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01A5E"/>
    <w:multiLevelType w:val="hybridMultilevel"/>
    <w:tmpl w:val="4E76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E076B"/>
    <w:multiLevelType w:val="hybridMultilevel"/>
    <w:tmpl w:val="DCC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4219E"/>
    <w:multiLevelType w:val="hybridMultilevel"/>
    <w:tmpl w:val="4E822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3A53C2"/>
    <w:multiLevelType w:val="hybridMultilevel"/>
    <w:tmpl w:val="3C7A717C"/>
    <w:lvl w:ilvl="0" w:tplc="2C2605A0">
      <w:start w:val="7"/>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7A931FF"/>
    <w:multiLevelType w:val="hybridMultilevel"/>
    <w:tmpl w:val="1B145118"/>
    <w:lvl w:ilvl="0" w:tplc="28CCA630">
      <w:start w:val="7"/>
      <w:numFmt w:val="bullet"/>
      <w:lvlText w:val=""/>
      <w:lvlJc w:val="left"/>
      <w:pPr>
        <w:ind w:left="396" w:hanging="360"/>
      </w:pPr>
      <w:rPr>
        <w:rFonts w:ascii="Symbol" w:eastAsia="Calibri" w:hAnsi="Symbol" w:cs="Times New Roman" w:hint="default"/>
      </w:rPr>
    </w:lvl>
    <w:lvl w:ilvl="1" w:tplc="0C0C0003" w:tentative="1">
      <w:start w:val="1"/>
      <w:numFmt w:val="bullet"/>
      <w:lvlText w:val="o"/>
      <w:lvlJc w:val="left"/>
      <w:pPr>
        <w:ind w:left="1116" w:hanging="360"/>
      </w:pPr>
      <w:rPr>
        <w:rFonts w:ascii="Courier New" w:hAnsi="Courier New" w:cs="Courier New" w:hint="default"/>
      </w:rPr>
    </w:lvl>
    <w:lvl w:ilvl="2" w:tplc="0C0C0005" w:tentative="1">
      <w:start w:val="1"/>
      <w:numFmt w:val="bullet"/>
      <w:lvlText w:val=""/>
      <w:lvlJc w:val="left"/>
      <w:pPr>
        <w:ind w:left="1836" w:hanging="360"/>
      </w:pPr>
      <w:rPr>
        <w:rFonts w:ascii="Wingdings" w:hAnsi="Wingdings" w:hint="default"/>
      </w:rPr>
    </w:lvl>
    <w:lvl w:ilvl="3" w:tplc="0C0C0001" w:tentative="1">
      <w:start w:val="1"/>
      <w:numFmt w:val="bullet"/>
      <w:lvlText w:val=""/>
      <w:lvlJc w:val="left"/>
      <w:pPr>
        <w:ind w:left="2556" w:hanging="360"/>
      </w:pPr>
      <w:rPr>
        <w:rFonts w:ascii="Symbol" w:hAnsi="Symbol" w:hint="default"/>
      </w:rPr>
    </w:lvl>
    <w:lvl w:ilvl="4" w:tplc="0C0C0003" w:tentative="1">
      <w:start w:val="1"/>
      <w:numFmt w:val="bullet"/>
      <w:lvlText w:val="o"/>
      <w:lvlJc w:val="left"/>
      <w:pPr>
        <w:ind w:left="3276" w:hanging="360"/>
      </w:pPr>
      <w:rPr>
        <w:rFonts w:ascii="Courier New" w:hAnsi="Courier New" w:cs="Courier New" w:hint="default"/>
      </w:rPr>
    </w:lvl>
    <w:lvl w:ilvl="5" w:tplc="0C0C0005" w:tentative="1">
      <w:start w:val="1"/>
      <w:numFmt w:val="bullet"/>
      <w:lvlText w:val=""/>
      <w:lvlJc w:val="left"/>
      <w:pPr>
        <w:ind w:left="3996" w:hanging="360"/>
      </w:pPr>
      <w:rPr>
        <w:rFonts w:ascii="Wingdings" w:hAnsi="Wingdings" w:hint="default"/>
      </w:rPr>
    </w:lvl>
    <w:lvl w:ilvl="6" w:tplc="0C0C0001" w:tentative="1">
      <w:start w:val="1"/>
      <w:numFmt w:val="bullet"/>
      <w:lvlText w:val=""/>
      <w:lvlJc w:val="left"/>
      <w:pPr>
        <w:ind w:left="4716" w:hanging="360"/>
      </w:pPr>
      <w:rPr>
        <w:rFonts w:ascii="Symbol" w:hAnsi="Symbol" w:hint="default"/>
      </w:rPr>
    </w:lvl>
    <w:lvl w:ilvl="7" w:tplc="0C0C0003" w:tentative="1">
      <w:start w:val="1"/>
      <w:numFmt w:val="bullet"/>
      <w:lvlText w:val="o"/>
      <w:lvlJc w:val="left"/>
      <w:pPr>
        <w:ind w:left="5436" w:hanging="360"/>
      </w:pPr>
      <w:rPr>
        <w:rFonts w:ascii="Courier New" w:hAnsi="Courier New" w:cs="Courier New" w:hint="default"/>
      </w:rPr>
    </w:lvl>
    <w:lvl w:ilvl="8" w:tplc="0C0C0005" w:tentative="1">
      <w:start w:val="1"/>
      <w:numFmt w:val="bullet"/>
      <w:lvlText w:val=""/>
      <w:lvlJc w:val="left"/>
      <w:pPr>
        <w:ind w:left="6156" w:hanging="360"/>
      </w:pPr>
      <w:rPr>
        <w:rFonts w:ascii="Wingdings" w:hAnsi="Wingdings" w:hint="default"/>
      </w:rPr>
    </w:lvl>
  </w:abstractNum>
  <w:abstractNum w:abstractNumId="21" w15:restartNumberingAfterBreak="0">
    <w:nsid w:val="60AC7987"/>
    <w:multiLevelType w:val="hybridMultilevel"/>
    <w:tmpl w:val="15CA52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C82B54"/>
    <w:multiLevelType w:val="multilevel"/>
    <w:tmpl w:val="DC5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1541FD"/>
    <w:multiLevelType w:val="hybridMultilevel"/>
    <w:tmpl w:val="B49E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B2714"/>
    <w:multiLevelType w:val="hybridMultilevel"/>
    <w:tmpl w:val="CF7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34064"/>
    <w:multiLevelType w:val="hybridMultilevel"/>
    <w:tmpl w:val="ED1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0"/>
  </w:num>
  <w:num w:numId="5">
    <w:abstractNumId w:val="5"/>
  </w:num>
  <w:num w:numId="6">
    <w:abstractNumId w:val="3"/>
  </w:num>
  <w:num w:numId="7">
    <w:abstractNumId w:val="19"/>
  </w:num>
  <w:num w:numId="8">
    <w:abstractNumId w:val="20"/>
  </w:num>
  <w:num w:numId="9">
    <w:abstractNumId w:val="22"/>
  </w:num>
  <w:num w:numId="10">
    <w:abstractNumId w:val="18"/>
  </w:num>
  <w:num w:numId="11">
    <w:abstractNumId w:val="24"/>
  </w:num>
  <w:num w:numId="12">
    <w:abstractNumId w:val="1"/>
  </w:num>
  <w:num w:numId="13">
    <w:abstractNumId w:val="13"/>
  </w:num>
  <w:num w:numId="14">
    <w:abstractNumId w:val="11"/>
  </w:num>
  <w:num w:numId="15">
    <w:abstractNumId w:val="23"/>
  </w:num>
  <w:num w:numId="16">
    <w:abstractNumId w:val="9"/>
  </w:num>
  <w:num w:numId="17">
    <w:abstractNumId w:val="10"/>
  </w:num>
  <w:num w:numId="18">
    <w:abstractNumId w:val="7"/>
  </w:num>
  <w:num w:numId="19">
    <w:abstractNumId w:val="25"/>
  </w:num>
  <w:num w:numId="20">
    <w:abstractNumId w:val="12"/>
  </w:num>
  <w:num w:numId="21">
    <w:abstractNumId w:val="17"/>
  </w:num>
  <w:num w:numId="22">
    <w:abstractNumId w:val="6"/>
  </w:num>
  <w:num w:numId="23">
    <w:abstractNumId w:val="21"/>
  </w:num>
  <w:num w:numId="24">
    <w:abstractNumId w:val="8"/>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9apv05v99tpsefafppar2dwwf0ewpzaxve&quot;&gt;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Libraries&gt;"/>
  </w:docVars>
  <w:rsids>
    <w:rsidRoot w:val="002D6741"/>
    <w:rsid w:val="000003AE"/>
    <w:rsid w:val="000009B7"/>
    <w:rsid w:val="00000A28"/>
    <w:rsid w:val="00006DBF"/>
    <w:rsid w:val="000105D1"/>
    <w:rsid w:val="00010D49"/>
    <w:rsid w:val="00012E21"/>
    <w:rsid w:val="00015911"/>
    <w:rsid w:val="00015ADC"/>
    <w:rsid w:val="00024990"/>
    <w:rsid w:val="00036345"/>
    <w:rsid w:val="00037A2D"/>
    <w:rsid w:val="000404F5"/>
    <w:rsid w:val="00041225"/>
    <w:rsid w:val="00041647"/>
    <w:rsid w:val="000424F8"/>
    <w:rsid w:val="00042ECB"/>
    <w:rsid w:val="00044348"/>
    <w:rsid w:val="0004504F"/>
    <w:rsid w:val="00045E8B"/>
    <w:rsid w:val="00047567"/>
    <w:rsid w:val="0005058E"/>
    <w:rsid w:val="00052D7A"/>
    <w:rsid w:val="00054E46"/>
    <w:rsid w:val="0005569E"/>
    <w:rsid w:val="00055D86"/>
    <w:rsid w:val="0006528A"/>
    <w:rsid w:val="00070B89"/>
    <w:rsid w:val="00072241"/>
    <w:rsid w:val="00081E97"/>
    <w:rsid w:val="000824B7"/>
    <w:rsid w:val="00085CD2"/>
    <w:rsid w:val="00086220"/>
    <w:rsid w:val="000902A0"/>
    <w:rsid w:val="000A0931"/>
    <w:rsid w:val="000A1B35"/>
    <w:rsid w:val="000A2876"/>
    <w:rsid w:val="000A344C"/>
    <w:rsid w:val="000A551F"/>
    <w:rsid w:val="000A61D3"/>
    <w:rsid w:val="000B1C63"/>
    <w:rsid w:val="000B2C9A"/>
    <w:rsid w:val="000B363B"/>
    <w:rsid w:val="000B37C7"/>
    <w:rsid w:val="000B6603"/>
    <w:rsid w:val="000B780C"/>
    <w:rsid w:val="000C100D"/>
    <w:rsid w:val="000C29D8"/>
    <w:rsid w:val="000C664B"/>
    <w:rsid w:val="000C72E1"/>
    <w:rsid w:val="000D6B9A"/>
    <w:rsid w:val="000D7FBE"/>
    <w:rsid w:val="000E21AD"/>
    <w:rsid w:val="000E2EC2"/>
    <w:rsid w:val="000E36DA"/>
    <w:rsid w:val="000E4191"/>
    <w:rsid w:val="000E67EE"/>
    <w:rsid w:val="000E7BD2"/>
    <w:rsid w:val="000F00B5"/>
    <w:rsid w:val="000F2513"/>
    <w:rsid w:val="000F2627"/>
    <w:rsid w:val="000F7F2E"/>
    <w:rsid w:val="00100F08"/>
    <w:rsid w:val="001010D2"/>
    <w:rsid w:val="00101BB8"/>
    <w:rsid w:val="00102011"/>
    <w:rsid w:val="00102A24"/>
    <w:rsid w:val="00104B98"/>
    <w:rsid w:val="0010565C"/>
    <w:rsid w:val="00105916"/>
    <w:rsid w:val="0010677E"/>
    <w:rsid w:val="00107D9D"/>
    <w:rsid w:val="001131E2"/>
    <w:rsid w:val="001152D8"/>
    <w:rsid w:val="0011635B"/>
    <w:rsid w:val="00120D2C"/>
    <w:rsid w:val="00120DFC"/>
    <w:rsid w:val="00123A9A"/>
    <w:rsid w:val="00124299"/>
    <w:rsid w:val="0013158D"/>
    <w:rsid w:val="00132339"/>
    <w:rsid w:val="00132EEF"/>
    <w:rsid w:val="00134C1A"/>
    <w:rsid w:val="001350FE"/>
    <w:rsid w:val="00147990"/>
    <w:rsid w:val="00152301"/>
    <w:rsid w:val="00156282"/>
    <w:rsid w:val="00156E04"/>
    <w:rsid w:val="00161EBC"/>
    <w:rsid w:val="001635E0"/>
    <w:rsid w:val="001639D6"/>
    <w:rsid w:val="0016452B"/>
    <w:rsid w:val="00165632"/>
    <w:rsid w:val="00172A04"/>
    <w:rsid w:val="00175513"/>
    <w:rsid w:val="00175EB2"/>
    <w:rsid w:val="0017679B"/>
    <w:rsid w:val="00181505"/>
    <w:rsid w:val="0018223D"/>
    <w:rsid w:val="001848E8"/>
    <w:rsid w:val="00184C2F"/>
    <w:rsid w:val="001850CA"/>
    <w:rsid w:val="00186943"/>
    <w:rsid w:val="00187A0F"/>
    <w:rsid w:val="00187BD9"/>
    <w:rsid w:val="001919B7"/>
    <w:rsid w:val="001923D9"/>
    <w:rsid w:val="00193188"/>
    <w:rsid w:val="00193A05"/>
    <w:rsid w:val="00194EB0"/>
    <w:rsid w:val="00195B9C"/>
    <w:rsid w:val="00195EDE"/>
    <w:rsid w:val="001A3BA7"/>
    <w:rsid w:val="001A4587"/>
    <w:rsid w:val="001A6F1D"/>
    <w:rsid w:val="001A7105"/>
    <w:rsid w:val="001B08B9"/>
    <w:rsid w:val="001B0D37"/>
    <w:rsid w:val="001B25BB"/>
    <w:rsid w:val="001B53C1"/>
    <w:rsid w:val="001C4C10"/>
    <w:rsid w:val="001C7290"/>
    <w:rsid w:val="001D0BB8"/>
    <w:rsid w:val="001D1095"/>
    <w:rsid w:val="001D118B"/>
    <w:rsid w:val="001D3574"/>
    <w:rsid w:val="001D39E4"/>
    <w:rsid w:val="001D3CF3"/>
    <w:rsid w:val="001D546F"/>
    <w:rsid w:val="001D55BB"/>
    <w:rsid w:val="001D56E3"/>
    <w:rsid w:val="001D7393"/>
    <w:rsid w:val="001E1400"/>
    <w:rsid w:val="001E1B85"/>
    <w:rsid w:val="001E391E"/>
    <w:rsid w:val="001E3E05"/>
    <w:rsid w:val="001E4C51"/>
    <w:rsid w:val="001E6ED3"/>
    <w:rsid w:val="001E7CE9"/>
    <w:rsid w:val="001F0474"/>
    <w:rsid w:val="001F05B3"/>
    <w:rsid w:val="001F0A32"/>
    <w:rsid w:val="001F25AE"/>
    <w:rsid w:val="001F6180"/>
    <w:rsid w:val="001F6DB5"/>
    <w:rsid w:val="002018CE"/>
    <w:rsid w:val="0020357D"/>
    <w:rsid w:val="002055CA"/>
    <w:rsid w:val="00212388"/>
    <w:rsid w:val="00213833"/>
    <w:rsid w:val="00213CF9"/>
    <w:rsid w:val="00214078"/>
    <w:rsid w:val="00216093"/>
    <w:rsid w:val="0022085D"/>
    <w:rsid w:val="0022089A"/>
    <w:rsid w:val="002219D4"/>
    <w:rsid w:val="00222180"/>
    <w:rsid w:val="00225662"/>
    <w:rsid w:val="002264BC"/>
    <w:rsid w:val="00227B30"/>
    <w:rsid w:val="00227CD6"/>
    <w:rsid w:val="002312B1"/>
    <w:rsid w:val="00232649"/>
    <w:rsid w:val="00233DC4"/>
    <w:rsid w:val="002375CF"/>
    <w:rsid w:val="00243769"/>
    <w:rsid w:val="0024483A"/>
    <w:rsid w:val="00247CED"/>
    <w:rsid w:val="00250002"/>
    <w:rsid w:val="00253870"/>
    <w:rsid w:val="002555F9"/>
    <w:rsid w:val="00255D55"/>
    <w:rsid w:val="0025610A"/>
    <w:rsid w:val="00256AE4"/>
    <w:rsid w:val="002576F3"/>
    <w:rsid w:val="002600C7"/>
    <w:rsid w:val="0026083A"/>
    <w:rsid w:val="002608B2"/>
    <w:rsid w:val="0026106D"/>
    <w:rsid w:val="00263BB6"/>
    <w:rsid w:val="0026434C"/>
    <w:rsid w:val="00267525"/>
    <w:rsid w:val="00267907"/>
    <w:rsid w:val="002707BA"/>
    <w:rsid w:val="00273C10"/>
    <w:rsid w:val="002771C2"/>
    <w:rsid w:val="00277717"/>
    <w:rsid w:val="00280E56"/>
    <w:rsid w:val="00281C5D"/>
    <w:rsid w:val="00282C42"/>
    <w:rsid w:val="002852BE"/>
    <w:rsid w:val="00285404"/>
    <w:rsid w:val="00287410"/>
    <w:rsid w:val="00287666"/>
    <w:rsid w:val="002967F6"/>
    <w:rsid w:val="002A0B60"/>
    <w:rsid w:val="002A14C9"/>
    <w:rsid w:val="002A663A"/>
    <w:rsid w:val="002A7014"/>
    <w:rsid w:val="002A7D66"/>
    <w:rsid w:val="002A7FC0"/>
    <w:rsid w:val="002B162F"/>
    <w:rsid w:val="002B2788"/>
    <w:rsid w:val="002B2E0A"/>
    <w:rsid w:val="002B4304"/>
    <w:rsid w:val="002B50EA"/>
    <w:rsid w:val="002C0079"/>
    <w:rsid w:val="002C04FE"/>
    <w:rsid w:val="002C432E"/>
    <w:rsid w:val="002D4748"/>
    <w:rsid w:val="002D5781"/>
    <w:rsid w:val="002D6741"/>
    <w:rsid w:val="002E4D6A"/>
    <w:rsid w:val="002E63F6"/>
    <w:rsid w:val="002E6E55"/>
    <w:rsid w:val="002E6FFF"/>
    <w:rsid w:val="002F069B"/>
    <w:rsid w:val="002F1072"/>
    <w:rsid w:val="002F1695"/>
    <w:rsid w:val="00301909"/>
    <w:rsid w:val="00305003"/>
    <w:rsid w:val="00306540"/>
    <w:rsid w:val="00310E25"/>
    <w:rsid w:val="003112C6"/>
    <w:rsid w:val="00312291"/>
    <w:rsid w:val="00312FA1"/>
    <w:rsid w:val="00314A63"/>
    <w:rsid w:val="00316D9B"/>
    <w:rsid w:val="00317391"/>
    <w:rsid w:val="003206A7"/>
    <w:rsid w:val="00321931"/>
    <w:rsid w:val="0032321D"/>
    <w:rsid w:val="00323A06"/>
    <w:rsid w:val="00325DB3"/>
    <w:rsid w:val="0033778E"/>
    <w:rsid w:val="00340793"/>
    <w:rsid w:val="003419D1"/>
    <w:rsid w:val="00343107"/>
    <w:rsid w:val="0034399F"/>
    <w:rsid w:val="00344FDF"/>
    <w:rsid w:val="00346465"/>
    <w:rsid w:val="00351427"/>
    <w:rsid w:val="00351912"/>
    <w:rsid w:val="00351CED"/>
    <w:rsid w:val="00353316"/>
    <w:rsid w:val="003544D4"/>
    <w:rsid w:val="003547DB"/>
    <w:rsid w:val="00357D4E"/>
    <w:rsid w:val="00360958"/>
    <w:rsid w:val="003611C1"/>
    <w:rsid w:val="00361BF4"/>
    <w:rsid w:val="003637EA"/>
    <w:rsid w:val="00366BAC"/>
    <w:rsid w:val="00367877"/>
    <w:rsid w:val="00372B5E"/>
    <w:rsid w:val="003753D1"/>
    <w:rsid w:val="00384E3B"/>
    <w:rsid w:val="00385560"/>
    <w:rsid w:val="00385C1D"/>
    <w:rsid w:val="00385C4B"/>
    <w:rsid w:val="00387C18"/>
    <w:rsid w:val="00391044"/>
    <w:rsid w:val="00397C6D"/>
    <w:rsid w:val="003A0ECC"/>
    <w:rsid w:val="003A4007"/>
    <w:rsid w:val="003A4CD7"/>
    <w:rsid w:val="003A64F0"/>
    <w:rsid w:val="003B1320"/>
    <w:rsid w:val="003B2FDD"/>
    <w:rsid w:val="003B5AF9"/>
    <w:rsid w:val="003C3658"/>
    <w:rsid w:val="003C3AAB"/>
    <w:rsid w:val="003C6EF5"/>
    <w:rsid w:val="003C73E8"/>
    <w:rsid w:val="003D3E0B"/>
    <w:rsid w:val="003D40E5"/>
    <w:rsid w:val="003D4A69"/>
    <w:rsid w:val="003D62A2"/>
    <w:rsid w:val="003D7136"/>
    <w:rsid w:val="003D724A"/>
    <w:rsid w:val="003E3E10"/>
    <w:rsid w:val="003E73E7"/>
    <w:rsid w:val="003F1731"/>
    <w:rsid w:val="003F1D14"/>
    <w:rsid w:val="003F2149"/>
    <w:rsid w:val="003F23DD"/>
    <w:rsid w:val="003F2739"/>
    <w:rsid w:val="003F5719"/>
    <w:rsid w:val="003F661C"/>
    <w:rsid w:val="003F736F"/>
    <w:rsid w:val="004017DD"/>
    <w:rsid w:val="00402039"/>
    <w:rsid w:val="00403979"/>
    <w:rsid w:val="00405F4F"/>
    <w:rsid w:val="00407AA7"/>
    <w:rsid w:val="00414118"/>
    <w:rsid w:val="00417B25"/>
    <w:rsid w:val="00420B96"/>
    <w:rsid w:val="00422763"/>
    <w:rsid w:val="00427262"/>
    <w:rsid w:val="00427E6A"/>
    <w:rsid w:val="0043052A"/>
    <w:rsid w:val="004314C7"/>
    <w:rsid w:val="00432340"/>
    <w:rsid w:val="00432CA4"/>
    <w:rsid w:val="004411A2"/>
    <w:rsid w:val="00442A36"/>
    <w:rsid w:val="004441C6"/>
    <w:rsid w:val="00445EDB"/>
    <w:rsid w:val="00446323"/>
    <w:rsid w:val="0045296D"/>
    <w:rsid w:val="00452ADF"/>
    <w:rsid w:val="00460595"/>
    <w:rsid w:val="00460FA0"/>
    <w:rsid w:val="0046336B"/>
    <w:rsid w:val="00463CC7"/>
    <w:rsid w:val="00463D56"/>
    <w:rsid w:val="0046592D"/>
    <w:rsid w:val="00466091"/>
    <w:rsid w:val="00466209"/>
    <w:rsid w:val="00466D37"/>
    <w:rsid w:val="00467119"/>
    <w:rsid w:val="004704C8"/>
    <w:rsid w:val="0047201B"/>
    <w:rsid w:val="00474519"/>
    <w:rsid w:val="00475588"/>
    <w:rsid w:val="004755D4"/>
    <w:rsid w:val="00483BB0"/>
    <w:rsid w:val="00485C65"/>
    <w:rsid w:val="00486CFA"/>
    <w:rsid w:val="004877A8"/>
    <w:rsid w:val="00487820"/>
    <w:rsid w:val="00490396"/>
    <w:rsid w:val="004911A1"/>
    <w:rsid w:val="00491BB4"/>
    <w:rsid w:val="0049293E"/>
    <w:rsid w:val="004A0DF9"/>
    <w:rsid w:val="004A16A7"/>
    <w:rsid w:val="004A2393"/>
    <w:rsid w:val="004A3436"/>
    <w:rsid w:val="004A3960"/>
    <w:rsid w:val="004A4B64"/>
    <w:rsid w:val="004A616C"/>
    <w:rsid w:val="004A654B"/>
    <w:rsid w:val="004A67FE"/>
    <w:rsid w:val="004A7638"/>
    <w:rsid w:val="004A7D60"/>
    <w:rsid w:val="004B0942"/>
    <w:rsid w:val="004B2749"/>
    <w:rsid w:val="004B3BFA"/>
    <w:rsid w:val="004B671C"/>
    <w:rsid w:val="004B6F53"/>
    <w:rsid w:val="004B763C"/>
    <w:rsid w:val="004C1AF4"/>
    <w:rsid w:val="004C6E24"/>
    <w:rsid w:val="004D0B0C"/>
    <w:rsid w:val="004D446A"/>
    <w:rsid w:val="004D54A1"/>
    <w:rsid w:val="004D559B"/>
    <w:rsid w:val="004D7310"/>
    <w:rsid w:val="004D79CA"/>
    <w:rsid w:val="004E3A43"/>
    <w:rsid w:val="004E67F8"/>
    <w:rsid w:val="004E7F27"/>
    <w:rsid w:val="004F4753"/>
    <w:rsid w:val="004F4B37"/>
    <w:rsid w:val="0050125A"/>
    <w:rsid w:val="00505F2E"/>
    <w:rsid w:val="0051115B"/>
    <w:rsid w:val="00512298"/>
    <w:rsid w:val="00515109"/>
    <w:rsid w:val="00517140"/>
    <w:rsid w:val="0052371B"/>
    <w:rsid w:val="00523EE0"/>
    <w:rsid w:val="00525A61"/>
    <w:rsid w:val="00526892"/>
    <w:rsid w:val="00530DD5"/>
    <w:rsid w:val="005327C4"/>
    <w:rsid w:val="00533D82"/>
    <w:rsid w:val="00535DB7"/>
    <w:rsid w:val="005423E4"/>
    <w:rsid w:val="00547710"/>
    <w:rsid w:val="00553060"/>
    <w:rsid w:val="00560DB8"/>
    <w:rsid w:val="00562D07"/>
    <w:rsid w:val="0056437A"/>
    <w:rsid w:val="00565741"/>
    <w:rsid w:val="00566432"/>
    <w:rsid w:val="00567D28"/>
    <w:rsid w:val="00570021"/>
    <w:rsid w:val="00570E05"/>
    <w:rsid w:val="00575F85"/>
    <w:rsid w:val="00577973"/>
    <w:rsid w:val="005803D8"/>
    <w:rsid w:val="0058056E"/>
    <w:rsid w:val="00582643"/>
    <w:rsid w:val="00582CED"/>
    <w:rsid w:val="005831BD"/>
    <w:rsid w:val="00583295"/>
    <w:rsid w:val="00583915"/>
    <w:rsid w:val="005861E1"/>
    <w:rsid w:val="00586438"/>
    <w:rsid w:val="00586C95"/>
    <w:rsid w:val="00586DAE"/>
    <w:rsid w:val="00586E75"/>
    <w:rsid w:val="00587EF5"/>
    <w:rsid w:val="00592C5C"/>
    <w:rsid w:val="005938E8"/>
    <w:rsid w:val="00594CA2"/>
    <w:rsid w:val="005974A9"/>
    <w:rsid w:val="005A19A2"/>
    <w:rsid w:val="005A48FE"/>
    <w:rsid w:val="005A5269"/>
    <w:rsid w:val="005B2BBC"/>
    <w:rsid w:val="005B3D67"/>
    <w:rsid w:val="005B4A01"/>
    <w:rsid w:val="005B60BF"/>
    <w:rsid w:val="005C039D"/>
    <w:rsid w:val="005C1170"/>
    <w:rsid w:val="005C1D8B"/>
    <w:rsid w:val="005C2A8F"/>
    <w:rsid w:val="005C5B06"/>
    <w:rsid w:val="005C611E"/>
    <w:rsid w:val="005D04E2"/>
    <w:rsid w:val="005D1287"/>
    <w:rsid w:val="005D18AB"/>
    <w:rsid w:val="005D3641"/>
    <w:rsid w:val="005D4131"/>
    <w:rsid w:val="005D4B1D"/>
    <w:rsid w:val="005D7E8A"/>
    <w:rsid w:val="005E18C8"/>
    <w:rsid w:val="005E1C7A"/>
    <w:rsid w:val="005E3AB7"/>
    <w:rsid w:val="005E3B46"/>
    <w:rsid w:val="005E3EB6"/>
    <w:rsid w:val="005E495D"/>
    <w:rsid w:val="005E4DC8"/>
    <w:rsid w:val="005E6708"/>
    <w:rsid w:val="005F0278"/>
    <w:rsid w:val="005F2F2A"/>
    <w:rsid w:val="005F3C85"/>
    <w:rsid w:val="005F70A3"/>
    <w:rsid w:val="005F70AA"/>
    <w:rsid w:val="00600DB3"/>
    <w:rsid w:val="00601A60"/>
    <w:rsid w:val="0060225B"/>
    <w:rsid w:val="00603BD4"/>
    <w:rsid w:val="00604345"/>
    <w:rsid w:val="00605068"/>
    <w:rsid w:val="006146AC"/>
    <w:rsid w:val="00615256"/>
    <w:rsid w:val="00621655"/>
    <w:rsid w:val="006221F4"/>
    <w:rsid w:val="00624A75"/>
    <w:rsid w:val="00626A16"/>
    <w:rsid w:val="00631536"/>
    <w:rsid w:val="00634F78"/>
    <w:rsid w:val="00636334"/>
    <w:rsid w:val="00637443"/>
    <w:rsid w:val="0063779E"/>
    <w:rsid w:val="00641148"/>
    <w:rsid w:val="00642711"/>
    <w:rsid w:val="00642BE1"/>
    <w:rsid w:val="0064568D"/>
    <w:rsid w:val="00647380"/>
    <w:rsid w:val="0065369E"/>
    <w:rsid w:val="00660C10"/>
    <w:rsid w:val="00661A75"/>
    <w:rsid w:val="00662DBE"/>
    <w:rsid w:val="006651E2"/>
    <w:rsid w:val="00665F3C"/>
    <w:rsid w:val="0067470C"/>
    <w:rsid w:val="00675DC3"/>
    <w:rsid w:val="00680D70"/>
    <w:rsid w:val="00683280"/>
    <w:rsid w:val="00685566"/>
    <w:rsid w:val="00686B69"/>
    <w:rsid w:val="00690522"/>
    <w:rsid w:val="0069230C"/>
    <w:rsid w:val="0069280D"/>
    <w:rsid w:val="006944BD"/>
    <w:rsid w:val="006949CF"/>
    <w:rsid w:val="006970F6"/>
    <w:rsid w:val="006973C3"/>
    <w:rsid w:val="006A0341"/>
    <w:rsid w:val="006A25F6"/>
    <w:rsid w:val="006A4E2D"/>
    <w:rsid w:val="006A4F18"/>
    <w:rsid w:val="006A64F6"/>
    <w:rsid w:val="006A69D9"/>
    <w:rsid w:val="006A742A"/>
    <w:rsid w:val="006A75C4"/>
    <w:rsid w:val="006B001A"/>
    <w:rsid w:val="006B2B3E"/>
    <w:rsid w:val="006B6049"/>
    <w:rsid w:val="006C3574"/>
    <w:rsid w:val="006C3680"/>
    <w:rsid w:val="006D476C"/>
    <w:rsid w:val="006E212A"/>
    <w:rsid w:val="006E21AE"/>
    <w:rsid w:val="006E2ACE"/>
    <w:rsid w:val="006E54D3"/>
    <w:rsid w:val="006E6C37"/>
    <w:rsid w:val="006F04C8"/>
    <w:rsid w:val="006F08DE"/>
    <w:rsid w:val="006F30E9"/>
    <w:rsid w:val="006F4374"/>
    <w:rsid w:val="00705E75"/>
    <w:rsid w:val="00706D54"/>
    <w:rsid w:val="00707987"/>
    <w:rsid w:val="0071365A"/>
    <w:rsid w:val="00714815"/>
    <w:rsid w:val="0071516F"/>
    <w:rsid w:val="00715A91"/>
    <w:rsid w:val="00717442"/>
    <w:rsid w:val="0072240F"/>
    <w:rsid w:val="00722CCE"/>
    <w:rsid w:val="00722D77"/>
    <w:rsid w:val="00725C4F"/>
    <w:rsid w:val="007302AA"/>
    <w:rsid w:val="00734A67"/>
    <w:rsid w:val="00737AA7"/>
    <w:rsid w:val="007400D9"/>
    <w:rsid w:val="007420A1"/>
    <w:rsid w:val="0075064D"/>
    <w:rsid w:val="00751EB5"/>
    <w:rsid w:val="00755FC4"/>
    <w:rsid w:val="007572B2"/>
    <w:rsid w:val="00760340"/>
    <w:rsid w:val="007610D6"/>
    <w:rsid w:val="007640D3"/>
    <w:rsid w:val="00766D75"/>
    <w:rsid w:val="007670B7"/>
    <w:rsid w:val="00772232"/>
    <w:rsid w:val="007733B1"/>
    <w:rsid w:val="0077380A"/>
    <w:rsid w:val="00781160"/>
    <w:rsid w:val="00782023"/>
    <w:rsid w:val="0078224E"/>
    <w:rsid w:val="00782EE3"/>
    <w:rsid w:val="00783A1C"/>
    <w:rsid w:val="007853A4"/>
    <w:rsid w:val="00792691"/>
    <w:rsid w:val="007935B8"/>
    <w:rsid w:val="00795A48"/>
    <w:rsid w:val="007A2678"/>
    <w:rsid w:val="007A4A2D"/>
    <w:rsid w:val="007A4D33"/>
    <w:rsid w:val="007A5859"/>
    <w:rsid w:val="007A5BE6"/>
    <w:rsid w:val="007A5CA8"/>
    <w:rsid w:val="007A7683"/>
    <w:rsid w:val="007B0BBE"/>
    <w:rsid w:val="007B136A"/>
    <w:rsid w:val="007B214F"/>
    <w:rsid w:val="007B2B68"/>
    <w:rsid w:val="007B3825"/>
    <w:rsid w:val="007B3A08"/>
    <w:rsid w:val="007B4DE2"/>
    <w:rsid w:val="007C0650"/>
    <w:rsid w:val="007C08BB"/>
    <w:rsid w:val="007C38BD"/>
    <w:rsid w:val="007C4244"/>
    <w:rsid w:val="007C6818"/>
    <w:rsid w:val="007D4D6E"/>
    <w:rsid w:val="007E0536"/>
    <w:rsid w:val="007E25F4"/>
    <w:rsid w:val="007E28CA"/>
    <w:rsid w:val="007E4071"/>
    <w:rsid w:val="007E4B92"/>
    <w:rsid w:val="007E5828"/>
    <w:rsid w:val="007E6E9A"/>
    <w:rsid w:val="007F2C47"/>
    <w:rsid w:val="007F34CD"/>
    <w:rsid w:val="007F381F"/>
    <w:rsid w:val="007F3BBF"/>
    <w:rsid w:val="007F7DCF"/>
    <w:rsid w:val="008020D3"/>
    <w:rsid w:val="0080496C"/>
    <w:rsid w:val="00804998"/>
    <w:rsid w:val="00804EBB"/>
    <w:rsid w:val="00806D39"/>
    <w:rsid w:val="00806E6A"/>
    <w:rsid w:val="00810D2A"/>
    <w:rsid w:val="00811190"/>
    <w:rsid w:val="008131AE"/>
    <w:rsid w:val="00814B7B"/>
    <w:rsid w:val="00814C6F"/>
    <w:rsid w:val="0082059B"/>
    <w:rsid w:val="00820D47"/>
    <w:rsid w:val="00822030"/>
    <w:rsid w:val="008222E5"/>
    <w:rsid w:val="00823605"/>
    <w:rsid w:val="00824AE7"/>
    <w:rsid w:val="00824DD8"/>
    <w:rsid w:val="008250AC"/>
    <w:rsid w:val="00827591"/>
    <w:rsid w:val="00830AB2"/>
    <w:rsid w:val="008311FC"/>
    <w:rsid w:val="008324A4"/>
    <w:rsid w:val="0083295F"/>
    <w:rsid w:val="00833A78"/>
    <w:rsid w:val="00833CF9"/>
    <w:rsid w:val="008358F3"/>
    <w:rsid w:val="008362F0"/>
    <w:rsid w:val="00836DDB"/>
    <w:rsid w:val="00836E3B"/>
    <w:rsid w:val="00837EEF"/>
    <w:rsid w:val="00840578"/>
    <w:rsid w:val="00840702"/>
    <w:rsid w:val="008427AE"/>
    <w:rsid w:val="008477B1"/>
    <w:rsid w:val="00850955"/>
    <w:rsid w:val="00850DD1"/>
    <w:rsid w:val="008530AD"/>
    <w:rsid w:val="00853B15"/>
    <w:rsid w:val="00854A29"/>
    <w:rsid w:val="00855514"/>
    <w:rsid w:val="00857B8B"/>
    <w:rsid w:val="00857D92"/>
    <w:rsid w:val="00860EC8"/>
    <w:rsid w:val="00863319"/>
    <w:rsid w:val="00863412"/>
    <w:rsid w:val="00863A60"/>
    <w:rsid w:val="0087057C"/>
    <w:rsid w:val="00872B87"/>
    <w:rsid w:val="008741DB"/>
    <w:rsid w:val="00874EB3"/>
    <w:rsid w:val="00876DA3"/>
    <w:rsid w:val="00877B57"/>
    <w:rsid w:val="00877C67"/>
    <w:rsid w:val="00877EDC"/>
    <w:rsid w:val="00881BBD"/>
    <w:rsid w:val="00882263"/>
    <w:rsid w:val="00885D22"/>
    <w:rsid w:val="008904B9"/>
    <w:rsid w:val="00891010"/>
    <w:rsid w:val="008930C8"/>
    <w:rsid w:val="00893877"/>
    <w:rsid w:val="008968D9"/>
    <w:rsid w:val="008A3033"/>
    <w:rsid w:val="008A46AC"/>
    <w:rsid w:val="008A6A03"/>
    <w:rsid w:val="008B06AA"/>
    <w:rsid w:val="008B125E"/>
    <w:rsid w:val="008B4AC9"/>
    <w:rsid w:val="008B58AB"/>
    <w:rsid w:val="008B7554"/>
    <w:rsid w:val="008C14E6"/>
    <w:rsid w:val="008C564C"/>
    <w:rsid w:val="008C79B3"/>
    <w:rsid w:val="008D0A75"/>
    <w:rsid w:val="008D14F1"/>
    <w:rsid w:val="008D3BF0"/>
    <w:rsid w:val="008D7645"/>
    <w:rsid w:val="008E3880"/>
    <w:rsid w:val="008E4381"/>
    <w:rsid w:val="008E4D90"/>
    <w:rsid w:val="008E6BF8"/>
    <w:rsid w:val="008E6C06"/>
    <w:rsid w:val="008E7F7E"/>
    <w:rsid w:val="008F1450"/>
    <w:rsid w:val="008F31B0"/>
    <w:rsid w:val="008F3536"/>
    <w:rsid w:val="008F69DA"/>
    <w:rsid w:val="008F6A72"/>
    <w:rsid w:val="00901131"/>
    <w:rsid w:val="009024E8"/>
    <w:rsid w:val="00904864"/>
    <w:rsid w:val="00905A4E"/>
    <w:rsid w:val="0090699B"/>
    <w:rsid w:val="0091054A"/>
    <w:rsid w:val="00910565"/>
    <w:rsid w:val="00912B78"/>
    <w:rsid w:val="00913360"/>
    <w:rsid w:val="00913688"/>
    <w:rsid w:val="00913BB0"/>
    <w:rsid w:val="0091437D"/>
    <w:rsid w:val="00915AA0"/>
    <w:rsid w:val="00915B44"/>
    <w:rsid w:val="00916DDD"/>
    <w:rsid w:val="00916E99"/>
    <w:rsid w:val="00921361"/>
    <w:rsid w:val="0092140C"/>
    <w:rsid w:val="00921CD5"/>
    <w:rsid w:val="009223CF"/>
    <w:rsid w:val="00922B6A"/>
    <w:rsid w:val="009232CF"/>
    <w:rsid w:val="00923F1F"/>
    <w:rsid w:val="009246BE"/>
    <w:rsid w:val="0092482F"/>
    <w:rsid w:val="009263FB"/>
    <w:rsid w:val="00927A62"/>
    <w:rsid w:val="00927CD0"/>
    <w:rsid w:val="00932E2A"/>
    <w:rsid w:val="00933569"/>
    <w:rsid w:val="00933DEB"/>
    <w:rsid w:val="009345D8"/>
    <w:rsid w:val="0094026E"/>
    <w:rsid w:val="00941F31"/>
    <w:rsid w:val="009422F3"/>
    <w:rsid w:val="00945AC2"/>
    <w:rsid w:val="00950FB5"/>
    <w:rsid w:val="00951501"/>
    <w:rsid w:val="00951CF0"/>
    <w:rsid w:val="00951D9F"/>
    <w:rsid w:val="00952F31"/>
    <w:rsid w:val="00953F7F"/>
    <w:rsid w:val="00954865"/>
    <w:rsid w:val="00955854"/>
    <w:rsid w:val="00955ECA"/>
    <w:rsid w:val="00960FCF"/>
    <w:rsid w:val="00961700"/>
    <w:rsid w:val="00961721"/>
    <w:rsid w:val="00962587"/>
    <w:rsid w:val="00965819"/>
    <w:rsid w:val="00967A55"/>
    <w:rsid w:val="009731A2"/>
    <w:rsid w:val="00980CE1"/>
    <w:rsid w:val="009845E7"/>
    <w:rsid w:val="00990443"/>
    <w:rsid w:val="00990CE5"/>
    <w:rsid w:val="0099247A"/>
    <w:rsid w:val="0099317E"/>
    <w:rsid w:val="00995261"/>
    <w:rsid w:val="00996343"/>
    <w:rsid w:val="00996E1F"/>
    <w:rsid w:val="009A0CD3"/>
    <w:rsid w:val="009A2F3A"/>
    <w:rsid w:val="009A4F5D"/>
    <w:rsid w:val="009A768B"/>
    <w:rsid w:val="009B1673"/>
    <w:rsid w:val="009B1CC9"/>
    <w:rsid w:val="009B2773"/>
    <w:rsid w:val="009B36C9"/>
    <w:rsid w:val="009B7FFB"/>
    <w:rsid w:val="009C33EA"/>
    <w:rsid w:val="009C3E77"/>
    <w:rsid w:val="009C403F"/>
    <w:rsid w:val="009C4C89"/>
    <w:rsid w:val="009C4DD7"/>
    <w:rsid w:val="009C6BA1"/>
    <w:rsid w:val="009C723D"/>
    <w:rsid w:val="009D70D4"/>
    <w:rsid w:val="009E0C62"/>
    <w:rsid w:val="009E174A"/>
    <w:rsid w:val="009E33CC"/>
    <w:rsid w:val="009E7AF7"/>
    <w:rsid w:val="009F02D4"/>
    <w:rsid w:val="009F11F4"/>
    <w:rsid w:val="009F142E"/>
    <w:rsid w:val="009F28B0"/>
    <w:rsid w:val="009F42CA"/>
    <w:rsid w:val="00A026F2"/>
    <w:rsid w:val="00A02AA6"/>
    <w:rsid w:val="00A0375C"/>
    <w:rsid w:val="00A05BCC"/>
    <w:rsid w:val="00A05CDC"/>
    <w:rsid w:val="00A05DB3"/>
    <w:rsid w:val="00A066ED"/>
    <w:rsid w:val="00A07C63"/>
    <w:rsid w:val="00A15DE6"/>
    <w:rsid w:val="00A177E3"/>
    <w:rsid w:val="00A227CD"/>
    <w:rsid w:val="00A245E6"/>
    <w:rsid w:val="00A27409"/>
    <w:rsid w:val="00A27F25"/>
    <w:rsid w:val="00A30FF4"/>
    <w:rsid w:val="00A34C49"/>
    <w:rsid w:val="00A35D8A"/>
    <w:rsid w:val="00A36424"/>
    <w:rsid w:val="00A37726"/>
    <w:rsid w:val="00A425F6"/>
    <w:rsid w:val="00A44A7B"/>
    <w:rsid w:val="00A47804"/>
    <w:rsid w:val="00A5002A"/>
    <w:rsid w:val="00A50414"/>
    <w:rsid w:val="00A53481"/>
    <w:rsid w:val="00A54247"/>
    <w:rsid w:val="00A60396"/>
    <w:rsid w:val="00A66F6A"/>
    <w:rsid w:val="00A71C73"/>
    <w:rsid w:val="00A73CF0"/>
    <w:rsid w:val="00A74143"/>
    <w:rsid w:val="00A81E04"/>
    <w:rsid w:val="00A83EBE"/>
    <w:rsid w:val="00A8491C"/>
    <w:rsid w:val="00A857AB"/>
    <w:rsid w:val="00A87622"/>
    <w:rsid w:val="00A900C0"/>
    <w:rsid w:val="00A904D9"/>
    <w:rsid w:val="00A911F7"/>
    <w:rsid w:val="00A94220"/>
    <w:rsid w:val="00A94598"/>
    <w:rsid w:val="00A95DCE"/>
    <w:rsid w:val="00AA0CD6"/>
    <w:rsid w:val="00AA40AA"/>
    <w:rsid w:val="00AB264E"/>
    <w:rsid w:val="00AB32D2"/>
    <w:rsid w:val="00AB3370"/>
    <w:rsid w:val="00AB34AF"/>
    <w:rsid w:val="00AB5634"/>
    <w:rsid w:val="00AC12BC"/>
    <w:rsid w:val="00AC1407"/>
    <w:rsid w:val="00AC21E1"/>
    <w:rsid w:val="00AC71EF"/>
    <w:rsid w:val="00AD2CBB"/>
    <w:rsid w:val="00AD379F"/>
    <w:rsid w:val="00AD61FF"/>
    <w:rsid w:val="00AE26C7"/>
    <w:rsid w:val="00AE4E70"/>
    <w:rsid w:val="00AE528D"/>
    <w:rsid w:val="00AF0D58"/>
    <w:rsid w:val="00AF20A7"/>
    <w:rsid w:val="00AF51A0"/>
    <w:rsid w:val="00AF7596"/>
    <w:rsid w:val="00B0079F"/>
    <w:rsid w:val="00B007F2"/>
    <w:rsid w:val="00B0277B"/>
    <w:rsid w:val="00B02B14"/>
    <w:rsid w:val="00B06287"/>
    <w:rsid w:val="00B06478"/>
    <w:rsid w:val="00B07489"/>
    <w:rsid w:val="00B07DA1"/>
    <w:rsid w:val="00B127F8"/>
    <w:rsid w:val="00B133F0"/>
    <w:rsid w:val="00B13F66"/>
    <w:rsid w:val="00B1542B"/>
    <w:rsid w:val="00B200F5"/>
    <w:rsid w:val="00B2204A"/>
    <w:rsid w:val="00B221EE"/>
    <w:rsid w:val="00B313F5"/>
    <w:rsid w:val="00B31F65"/>
    <w:rsid w:val="00B33282"/>
    <w:rsid w:val="00B346B3"/>
    <w:rsid w:val="00B34C5F"/>
    <w:rsid w:val="00B363A5"/>
    <w:rsid w:val="00B37246"/>
    <w:rsid w:val="00B40372"/>
    <w:rsid w:val="00B40F49"/>
    <w:rsid w:val="00B410B9"/>
    <w:rsid w:val="00B412DB"/>
    <w:rsid w:val="00B43040"/>
    <w:rsid w:val="00B43208"/>
    <w:rsid w:val="00B444A9"/>
    <w:rsid w:val="00B46CBF"/>
    <w:rsid w:val="00B522ED"/>
    <w:rsid w:val="00B61150"/>
    <w:rsid w:val="00B62528"/>
    <w:rsid w:val="00B64546"/>
    <w:rsid w:val="00B66FAC"/>
    <w:rsid w:val="00B67763"/>
    <w:rsid w:val="00B67DD7"/>
    <w:rsid w:val="00B71EC4"/>
    <w:rsid w:val="00B74217"/>
    <w:rsid w:val="00B74A7A"/>
    <w:rsid w:val="00B77CEC"/>
    <w:rsid w:val="00B80E4F"/>
    <w:rsid w:val="00B8331F"/>
    <w:rsid w:val="00B8452A"/>
    <w:rsid w:val="00B92239"/>
    <w:rsid w:val="00B936C1"/>
    <w:rsid w:val="00BA04FF"/>
    <w:rsid w:val="00BA154D"/>
    <w:rsid w:val="00BA314A"/>
    <w:rsid w:val="00BA56C2"/>
    <w:rsid w:val="00BA59EA"/>
    <w:rsid w:val="00BA73D0"/>
    <w:rsid w:val="00BA7F2A"/>
    <w:rsid w:val="00BB64A4"/>
    <w:rsid w:val="00BC0588"/>
    <w:rsid w:val="00BC0E00"/>
    <w:rsid w:val="00BC3F32"/>
    <w:rsid w:val="00BC5262"/>
    <w:rsid w:val="00BD02DF"/>
    <w:rsid w:val="00BD04E7"/>
    <w:rsid w:val="00BD0710"/>
    <w:rsid w:val="00BD07B9"/>
    <w:rsid w:val="00BD1E0F"/>
    <w:rsid w:val="00BD54DF"/>
    <w:rsid w:val="00BD5792"/>
    <w:rsid w:val="00BD677C"/>
    <w:rsid w:val="00BD67C9"/>
    <w:rsid w:val="00BE5073"/>
    <w:rsid w:val="00BE6601"/>
    <w:rsid w:val="00BE7255"/>
    <w:rsid w:val="00BF052F"/>
    <w:rsid w:val="00BF15BC"/>
    <w:rsid w:val="00BF1711"/>
    <w:rsid w:val="00BF5939"/>
    <w:rsid w:val="00C0212F"/>
    <w:rsid w:val="00C033CA"/>
    <w:rsid w:val="00C04CAE"/>
    <w:rsid w:val="00C05B55"/>
    <w:rsid w:val="00C068C8"/>
    <w:rsid w:val="00C107EB"/>
    <w:rsid w:val="00C11A01"/>
    <w:rsid w:val="00C11A18"/>
    <w:rsid w:val="00C13511"/>
    <w:rsid w:val="00C135EA"/>
    <w:rsid w:val="00C15326"/>
    <w:rsid w:val="00C21202"/>
    <w:rsid w:val="00C22AA0"/>
    <w:rsid w:val="00C23D4E"/>
    <w:rsid w:val="00C26DE6"/>
    <w:rsid w:val="00C27438"/>
    <w:rsid w:val="00C27D81"/>
    <w:rsid w:val="00C30D39"/>
    <w:rsid w:val="00C322CB"/>
    <w:rsid w:val="00C33452"/>
    <w:rsid w:val="00C336C6"/>
    <w:rsid w:val="00C34554"/>
    <w:rsid w:val="00C34676"/>
    <w:rsid w:val="00C34E8B"/>
    <w:rsid w:val="00C40091"/>
    <w:rsid w:val="00C4079E"/>
    <w:rsid w:val="00C41AB8"/>
    <w:rsid w:val="00C41B3D"/>
    <w:rsid w:val="00C530C3"/>
    <w:rsid w:val="00C54463"/>
    <w:rsid w:val="00C55463"/>
    <w:rsid w:val="00C5567B"/>
    <w:rsid w:val="00C606CC"/>
    <w:rsid w:val="00C62449"/>
    <w:rsid w:val="00C67BA7"/>
    <w:rsid w:val="00C70595"/>
    <w:rsid w:val="00C71335"/>
    <w:rsid w:val="00C73E1D"/>
    <w:rsid w:val="00C742F0"/>
    <w:rsid w:val="00C77C6C"/>
    <w:rsid w:val="00C81B86"/>
    <w:rsid w:val="00C83227"/>
    <w:rsid w:val="00C90F94"/>
    <w:rsid w:val="00C91A84"/>
    <w:rsid w:val="00C92E2B"/>
    <w:rsid w:val="00C96AB1"/>
    <w:rsid w:val="00C96E42"/>
    <w:rsid w:val="00C97F8B"/>
    <w:rsid w:val="00CA4938"/>
    <w:rsid w:val="00CB2B86"/>
    <w:rsid w:val="00CB4406"/>
    <w:rsid w:val="00CB5DC6"/>
    <w:rsid w:val="00CB652A"/>
    <w:rsid w:val="00CB6CD0"/>
    <w:rsid w:val="00CC02FD"/>
    <w:rsid w:val="00CC0E95"/>
    <w:rsid w:val="00CC1916"/>
    <w:rsid w:val="00CC2E48"/>
    <w:rsid w:val="00CC3520"/>
    <w:rsid w:val="00CC6383"/>
    <w:rsid w:val="00CD1BFF"/>
    <w:rsid w:val="00CD6A1C"/>
    <w:rsid w:val="00CE184F"/>
    <w:rsid w:val="00CE21A1"/>
    <w:rsid w:val="00CE60D4"/>
    <w:rsid w:val="00CE6CA6"/>
    <w:rsid w:val="00CF3B01"/>
    <w:rsid w:val="00CF4E4E"/>
    <w:rsid w:val="00CF5AF8"/>
    <w:rsid w:val="00D00269"/>
    <w:rsid w:val="00D00FFD"/>
    <w:rsid w:val="00D01580"/>
    <w:rsid w:val="00D04C26"/>
    <w:rsid w:val="00D0607E"/>
    <w:rsid w:val="00D07457"/>
    <w:rsid w:val="00D10AD9"/>
    <w:rsid w:val="00D120C8"/>
    <w:rsid w:val="00D13224"/>
    <w:rsid w:val="00D15CF8"/>
    <w:rsid w:val="00D20839"/>
    <w:rsid w:val="00D2100F"/>
    <w:rsid w:val="00D210D7"/>
    <w:rsid w:val="00D23374"/>
    <w:rsid w:val="00D24F55"/>
    <w:rsid w:val="00D27124"/>
    <w:rsid w:val="00D31400"/>
    <w:rsid w:val="00D31BB6"/>
    <w:rsid w:val="00D34376"/>
    <w:rsid w:val="00D36C60"/>
    <w:rsid w:val="00D3725F"/>
    <w:rsid w:val="00D37A84"/>
    <w:rsid w:val="00D418B2"/>
    <w:rsid w:val="00D42F5E"/>
    <w:rsid w:val="00D4550B"/>
    <w:rsid w:val="00D462FB"/>
    <w:rsid w:val="00D501E4"/>
    <w:rsid w:val="00D50729"/>
    <w:rsid w:val="00D50F5F"/>
    <w:rsid w:val="00D533B6"/>
    <w:rsid w:val="00D56783"/>
    <w:rsid w:val="00D570C3"/>
    <w:rsid w:val="00D57D19"/>
    <w:rsid w:val="00D60155"/>
    <w:rsid w:val="00D66484"/>
    <w:rsid w:val="00D70A54"/>
    <w:rsid w:val="00D718C1"/>
    <w:rsid w:val="00D71C12"/>
    <w:rsid w:val="00D73ADF"/>
    <w:rsid w:val="00D74002"/>
    <w:rsid w:val="00D74C36"/>
    <w:rsid w:val="00D76AED"/>
    <w:rsid w:val="00D8588E"/>
    <w:rsid w:val="00D90856"/>
    <w:rsid w:val="00DA261D"/>
    <w:rsid w:val="00DA37B5"/>
    <w:rsid w:val="00DA3AF2"/>
    <w:rsid w:val="00DA5FA9"/>
    <w:rsid w:val="00DA6B0A"/>
    <w:rsid w:val="00DA7BC4"/>
    <w:rsid w:val="00DB1E0B"/>
    <w:rsid w:val="00DB795B"/>
    <w:rsid w:val="00DC02EC"/>
    <w:rsid w:val="00DC1B79"/>
    <w:rsid w:val="00DC242B"/>
    <w:rsid w:val="00DC38CA"/>
    <w:rsid w:val="00DC3CFB"/>
    <w:rsid w:val="00DC5F11"/>
    <w:rsid w:val="00DC6547"/>
    <w:rsid w:val="00DD1E91"/>
    <w:rsid w:val="00DD39A9"/>
    <w:rsid w:val="00DE0526"/>
    <w:rsid w:val="00DE0889"/>
    <w:rsid w:val="00DE2177"/>
    <w:rsid w:val="00DE40CB"/>
    <w:rsid w:val="00DE58F1"/>
    <w:rsid w:val="00DE674F"/>
    <w:rsid w:val="00DE6AB4"/>
    <w:rsid w:val="00DF2C56"/>
    <w:rsid w:val="00DF47F7"/>
    <w:rsid w:val="00DF4E5E"/>
    <w:rsid w:val="00DF5E54"/>
    <w:rsid w:val="00DF7D94"/>
    <w:rsid w:val="00E04E97"/>
    <w:rsid w:val="00E05B26"/>
    <w:rsid w:val="00E10DA1"/>
    <w:rsid w:val="00E14FA7"/>
    <w:rsid w:val="00E15098"/>
    <w:rsid w:val="00E24C2D"/>
    <w:rsid w:val="00E25F27"/>
    <w:rsid w:val="00E26305"/>
    <w:rsid w:val="00E31BB6"/>
    <w:rsid w:val="00E32F5E"/>
    <w:rsid w:val="00E33E3C"/>
    <w:rsid w:val="00E3755B"/>
    <w:rsid w:val="00E37A9C"/>
    <w:rsid w:val="00E4248D"/>
    <w:rsid w:val="00E42B3D"/>
    <w:rsid w:val="00E4401B"/>
    <w:rsid w:val="00E45C7C"/>
    <w:rsid w:val="00E46637"/>
    <w:rsid w:val="00E501A0"/>
    <w:rsid w:val="00E51C42"/>
    <w:rsid w:val="00E522D7"/>
    <w:rsid w:val="00E52A3F"/>
    <w:rsid w:val="00E531B1"/>
    <w:rsid w:val="00E53442"/>
    <w:rsid w:val="00E54CF2"/>
    <w:rsid w:val="00E566BC"/>
    <w:rsid w:val="00E573C8"/>
    <w:rsid w:val="00E60334"/>
    <w:rsid w:val="00E61DF2"/>
    <w:rsid w:val="00E657D7"/>
    <w:rsid w:val="00E67928"/>
    <w:rsid w:val="00E70F17"/>
    <w:rsid w:val="00E73455"/>
    <w:rsid w:val="00E74A08"/>
    <w:rsid w:val="00E83ACA"/>
    <w:rsid w:val="00E87D4F"/>
    <w:rsid w:val="00E904E4"/>
    <w:rsid w:val="00E909D4"/>
    <w:rsid w:val="00E95476"/>
    <w:rsid w:val="00EA2A2F"/>
    <w:rsid w:val="00EA2DD7"/>
    <w:rsid w:val="00EB2DA9"/>
    <w:rsid w:val="00EB39BE"/>
    <w:rsid w:val="00EC56D7"/>
    <w:rsid w:val="00EC6726"/>
    <w:rsid w:val="00EC7A81"/>
    <w:rsid w:val="00ED25D4"/>
    <w:rsid w:val="00ED5764"/>
    <w:rsid w:val="00EE3331"/>
    <w:rsid w:val="00EE39C8"/>
    <w:rsid w:val="00EE3B52"/>
    <w:rsid w:val="00EE4F1F"/>
    <w:rsid w:val="00EE648C"/>
    <w:rsid w:val="00EE6D00"/>
    <w:rsid w:val="00EF1F32"/>
    <w:rsid w:val="00EF254F"/>
    <w:rsid w:val="00EF2797"/>
    <w:rsid w:val="00EF27C5"/>
    <w:rsid w:val="00EF384F"/>
    <w:rsid w:val="00EF3BDA"/>
    <w:rsid w:val="00EF4DD4"/>
    <w:rsid w:val="00EF7269"/>
    <w:rsid w:val="00F0251D"/>
    <w:rsid w:val="00F04368"/>
    <w:rsid w:val="00F04CDE"/>
    <w:rsid w:val="00F05CB0"/>
    <w:rsid w:val="00F10B6D"/>
    <w:rsid w:val="00F1121C"/>
    <w:rsid w:val="00F12E40"/>
    <w:rsid w:val="00F202C6"/>
    <w:rsid w:val="00F26451"/>
    <w:rsid w:val="00F27A00"/>
    <w:rsid w:val="00F30913"/>
    <w:rsid w:val="00F30C28"/>
    <w:rsid w:val="00F32CDD"/>
    <w:rsid w:val="00F3624A"/>
    <w:rsid w:val="00F3680A"/>
    <w:rsid w:val="00F378F5"/>
    <w:rsid w:val="00F4253A"/>
    <w:rsid w:val="00F47B67"/>
    <w:rsid w:val="00F51994"/>
    <w:rsid w:val="00F54187"/>
    <w:rsid w:val="00F5449C"/>
    <w:rsid w:val="00F546B2"/>
    <w:rsid w:val="00F57FDD"/>
    <w:rsid w:val="00F604DF"/>
    <w:rsid w:val="00F61289"/>
    <w:rsid w:val="00F6139A"/>
    <w:rsid w:val="00F6198C"/>
    <w:rsid w:val="00F62465"/>
    <w:rsid w:val="00F655C5"/>
    <w:rsid w:val="00F66723"/>
    <w:rsid w:val="00F74734"/>
    <w:rsid w:val="00F75585"/>
    <w:rsid w:val="00F7689B"/>
    <w:rsid w:val="00F76A79"/>
    <w:rsid w:val="00F77F7B"/>
    <w:rsid w:val="00F80371"/>
    <w:rsid w:val="00F8249F"/>
    <w:rsid w:val="00F86E45"/>
    <w:rsid w:val="00F87577"/>
    <w:rsid w:val="00F9040F"/>
    <w:rsid w:val="00F91A8C"/>
    <w:rsid w:val="00F91F3C"/>
    <w:rsid w:val="00F93498"/>
    <w:rsid w:val="00F9513B"/>
    <w:rsid w:val="00F9675F"/>
    <w:rsid w:val="00F97EE4"/>
    <w:rsid w:val="00FA08CB"/>
    <w:rsid w:val="00FA1CA6"/>
    <w:rsid w:val="00FA20CF"/>
    <w:rsid w:val="00FA24A9"/>
    <w:rsid w:val="00FA3ED7"/>
    <w:rsid w:val="00FA43A4"/>
    <w:rsid w:val="00FA66AF"/>
    <w:rsid w:val="00FA68D2"/>
    <w:rsid w:val="00FB0C13"/>
    <w:rsid w:val="00FB1888"/>
    <w:rsid w:val="00FB2211"/>
    <w:rsid w:val="00FB3CAA"/>
    <w:rsid w:val="00FB6DAA"/>
    <w:rsid w:val="00FB6ED8"/>
    <w:rsid w:val="00FC0469"/>
    <w:rsid w:val="00FC1882"/>
    <w:rsid w:val="00FC291D"/>
    <w:rsid w:val="00FC3B4E"/>
    <w:rsid w:val="00FD1F20"/>
    <w:rsid w:val="00FD273E"/>
    <w:rsid w:val="00FD39B5"/>
    <w:rsid w:val="00FD5C5E"/>
    <w:rsid w:val="00FE1501"/>
    <w:rsid w:val="00FE1B2A"/>
    <w:rsid w:val="00FE46BB"/>
    <w:rsid w:val="00FE5E43"/>
    <w:rsid w:val="00FE643D"/>
    <w:rsid w:val="00FF18DC"/>
    <w:rsid w:val="00FF3513"/>
    <w:rsid w:val="00FF5035"/>
    <w:rsid w:val="00FF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FCC99"/>
  <w15:docId w15:val="{4DE17DEF-E185-4DA6-9E29-E3059780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46"/>
    <w:pPr>
      <w:spacing w:after="200" w:line="276" w:lineRule="auto"/>
    </w:pPr>
    <w:rPr>
      <w:sz w:val="22"/>
      <w:szCs w:val="22"/>
      <w:lang w:eastAsia="en-US"/>
    </w:rPr>
  </w:style>
  <w:style w:type="paragraph" w:styleId="Titre1">
    <w:name w:val="heading 1"/>
    <w:basedOn w:val="Normal"/>
    <w:link w:val="Titre1Car"/>
    <w:uiPriority w:val="9"/>
    <w:qFormat/>
    <w:rsid w:val="005B2BB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Titre3">
    <w:name w:val="heading 3"/>
    <w:basedOn w:val="Normal"/>
    <w:next w:val="Normal"/>
    <w:link w:val="Titre3Car"/>
    <w:uiPriority w:val="9"/>
    <w:semiHidden/>
    <w:unhideWhenUsed/>
    <w:qFormat/>
    <w:rsid w:val="00024990"/>
    <w:pPr>
      <w:keepNext/>
      <w:spacing w:before="240" w:after="60"/>
      <w:outlineLvl w:val="2"/>
    </w:pPr>
    <w:rPr>
      <w:rFonts w:eastAsia="MS Gothic"/>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A34C49"/>
    <w:rPr>
      <w:b/>
      <w:sz w:val="28"/>
      <w:szCs w:val="28"/>
      <w:lang w:val="en-CA"/>
    </w:rPr>
  </w:style>
  <w:style w:type="paragraph" w:customStyle="1" w:styleId="Style2">
    <w:name w:val="Style2"/>
    <w:basedOn w:val="Normal"/>
    <w:next w:val="Normal"/>
    <w:link w:val="Style2Car"/>
    <w:qFormat/>
    <w:rsid w:val="00A34C49"/>
    <w:rPr>
      <w:b/>
      <w:i/>
      <w:sz w:val="20"/>
      <w:szCs w:val="20"/>
      <w:lang w:val="en-CA"/>
    </w:rPr>
  </w:style>
  <w:style w:type="character" w:customStyle="1" w:styleId="Style1Car">
    <w:name w:val="Style1 Car"/>
    <w:link w:val="Style1"/>
    <w:rsid w:val="00A34C49"/>
    <w:rPr>
      <w:rFonts w:ascii="Calibri" w:eastAsia="Calibri" w:hAnsi="Calibri" w:cs="Times New Roman"/>
      <w:b/>
      <w:sz w:val="28"/>
      <w:szCs w:val="28"/>
      <w:lang w:val="en-CA"/>
    </w:rPr>
  </w:style>
  <w:style w:type="character" w:customStyle="1" w:styleId="Style2Car">
    <w:name w:val="Style2 Car"/>
    <w:link w:val="Style2"/>
    <w:rsid w:val="00A34C49"/>
    <w:rPr>
      <w:rFonts w:ascii="Calibri" w:eastAsia="Calibri" w:hAnsi="Calibri" w:cs="Times New Roman"/>
      <w:b/>
      <w:i/>
      <w:lang w:val="en-CA"/>
    </w:rPr>
  </w:style>
  <w:style w:type="paragraph" w:styleId="Citation">
    <w:name w:val="Quote"/>
    <w:basedOn w:val="Normal"/>
    <w:next w:val="Normal"/>
    <w:link w:val="CitationCar"/>
    <w:uiPriority w:val="29"/>
    <w:qFormat/>
    <w:rsid w:val="00A34C49"/>
    <w:rPr>
      <w:i/>
      <w:iCs/>
      <w:color w:val="000000"/>
      <w:lang w:val="en-CA"/>
    </w:rPr>
  </w:style>
  <w:style w:type="character" w:customStyle="1" w:styleId="CitationCar">
    <w:name w:val="Citation Car"/>
    <w:link w:val="Citation"/>
    <w:uiPriority w:val="29"/>
    <w:rsid w:val="00A34C49"/>
    <w:rPr>
      <w:rFonts w:ascii="Calibri" w:eastAsia="Calibri" w:hAnsi="Calibri" w:cs="Times New Roman"/>
      <w:i/>
      <w:iCs/>
      <w:color w:val="000000"/>
      <w:lang w:val="en-CA"/>
    </w:rPr>
  </w:style>
  <w:style w:type="character" w:styleId="Lienhypertexte">
    <w:name w:val="Hyperlink"/>
    <w:uiPriority w:val="99"/>
    <w:unhideWhenUsed/>
    <w:rsid w:val="00A34C49"/>
    <w:rPr>
      <w:color w:val="0000FF"/>
      <w:u w:val="single"/>
    </w:rPr>
  </w:style>
  <w:style w:type="character" w:styleId="Marquedecommentaire">
    <w:name w:val="annotation reference"/>
    <w:uiPriority w:val="99"/>
    <w:semiHidden/>
    <w:unhideWhenUsed/>
    <w:rsid w:val="00A34C49"/>
    <w:rPr>
      <w:sz w:val="16"/>
      <w:szCs w:val="16"/>
    </w:rPr>
  </w:style>
  <w:style w:type="paragraph" w:styleId="Commentaire">
    <w:name w:val="annotation text"/>
    <w:basedOn w:val="Normal"/>
    <w:link w:val="CommentaireCar"/>
    <w:uiPriority w:val="99"/>
    <w:unhideWhenUsed/>
    <w:rsid w:val="00A34C49"/>
    <w:pPr>
      <w:spacing w:line="240" w:lineRule="auto"/>
    </w:pPr>
    <w:rPr>
      <w:sz w:val="20"/>
      <w:szCs w:val="20"/>
      <w:lang w:val="en-CA"/>
    </w:rPr>
  </w:style>
  <w:style w:type="character" w:customStyle="1" w:styleId="CommentaireCar">
    <w:name w:val="Commentaire Car"/>
    <w:link w:val="Commentaire"/>
    <w:uiPriority w:val="99"/>
    <w:rsid w:val="00A34C49"/>
    <w:rPr>
      <w:rFonts w:ascii="Calibri" w:eastAsia="Calibri" w:hAnsi="Calibri" w:cs="Times New Roman"/>
      <w:sz w:val="20"/>
      <w:szCs w:val="20"/>
      <w:lang w:val="en-CA"/>
    </w:rPr>
  </w:style>
  <w:style w:type="paragraph" w:styleId="Textedebulles">
    <w:name w:val="Balloon Text"/>
    <w:basedOn w:val="Normal"/>
    <w:link w:val="TextedebullesCar"/>
    <w:uiPriority w:val="99"/>
    <w:semiHidden/>
    <w:unhideWhenUsed/>
    <w:rsid w:val="00A34C4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34C49"/>
    <w:rPr>
      <w:rFonts w:ascii="Tahoma" w:hAnsi="Tahoma" w:cs="Tahoma"/>
      <w:sz w:val="16"/>
      <w:szCs w:val="16"/>
    </w:rPr>
  </w:style>
  <w:style w:type="character" w:styleId="Textedelespacerserv">
    <w:name w:val="Placeholder Text"/>
    <w:uiPriority w:val="99"/>
    <w:semiHidden/>
    <w:rsid w:val="00E909D4"/>
    <w:rPr>
      <w:color w:val="808080"/>
    </w:rPr>
  </w:style>
  <w:style w:type="paragraph" w:styleId="Paragraphedeliste">
    <w:name w:val="List Paragraph"/>
    <w:basedOn w:val="Normal"/>
    <w:uiPriority w:val="34"/>
    <w:qFormat/>
    <w:rsid w:val="00446323"/>
    <w:pPr>
      <w:ind w:left="720"/>
      <w:contextualSpacing/>
    </w:pPr>
  </w:style>
  <w:style w:type="paragraph" w:styleId="Objetducommentaire">
    <w:name w:val="annotation subject"/>
    <w:basedOn w:val="Commentaire"/>
    <w:next w:val="Commentaire"/>
    <w:link w:val="ObjetducommentaireCar"/>
    <w:uiPriority w:val="99"/>
    <w:semiHidden/>
    <w:unhideWhenUsed/>
    <w:rsid w:val="008D0A75"/>
    <w:rPr>
      <w:b/>
      <w:bCs/>
      <w:lang w:val="fr-CA"/>
    </w:rPr>
  </w:style>
  <w:style w:type="character" w:customStyle="1" w:styleId="ObjetducommentaireCar">
    <w:name w:val="Objet du commentaire Car"/>
    <w:link w:val="Objetducommentaire"/>
    <w:uiPriority w:val="99"/>
    <w:semiHidden/>
    <w:rsid w:val="008D0A75"/>
    <w:rPr>
      <w:rFonts w:ascii="Calibri" w:eastAsia="Calibri" w:hAnsi="Calibri" w:cs="Times New Roman"/>
      <w:b/>
      <w:bCs/>
      <w:sz w:val="20"/>
      <w:szCs w:val="20"/>
      <w:lang w:val="en-CA"/>
    </w:rPr>
  </w:style>
  <w:style w:type="paragraph" w:styleId="Rvision">
    <w:name w:val="Revision"/>
    <w:hidden/>
    <w:uiPriority w:val="99"/>
    <w:semiHidden/>
    <w:rsid w:val="00795A48"/>
    <w:rPr>
      <w:sz w:val="22"/>
      <w:szCs w:val="22"/>
      <w:lang w:eastAsia="en-US"/>
    </w:rPr>
  </w:style>
  <w:style w:type="character" w:customStyle="1" w:styleId="Titre1Car">
    <w:name w:val="Titre 1 Car"/>
    <w:link w:val="Titre1"/>
    <w:uiPriority w:val="9"/>
    <w:rsid w:val="005B2BBC"/>
    <w:rPr>
      <w:rFonts w:ascii="Times New Roman" w:eastAsia="Times New Roman" w:hAnsi="Times New Roman" w:cs="Times New Roman"/>
      <w:b/>
      <w:bCs/>
      <w:kern w:val="36"/>
      <w:sz w:val="48"/>
      <w:szCs w:val="48"/>
      <w:lang w:val="en-US"/>
    </w:rPr>
  </w:style>
  <w:style w:type="paragraph" w:styleId="Textebrut">
    <w:name w:val="Plain Text"/>
    <w:basedOn w:val="Normal"/>
    <w:link w:val="TextebrutCar"/>
    <w:uiPriority w:val="99"/>
    <w:unhideWhenUsed/>
    <w:rsid w:val="009024E8"/>
    <w:pPr>
      <w:spacing w:after="0" w:line="240" w:lineRule="auto"/>
    </w:pPr>
    <w:rPr>
      <w:szCs w:val="21"/>
    </w:rPr>
  </w:style>
  <w:style w:type="character" w:customStyle="1" w:styleId="TextebrutCar">
    <w:name w:val="Texte brut Car"/>
    <w:link w:val="Textebrut"/>
    <w:uiPriority w:val="99"/>
    <w:rsid w:val="009024E8"/>
    <w:rPr>
      <w:rFonts w:ascii="Calibri" w:hAnsi="Calibri"/>
      <w:szCs w:val="21"/>
    </w:rPr>
  </w:style>
  <w:style w:type="character" w:styleId="lev">
    <w:name w:val="Strong"/>
    <w:uiPriority w:val="22"/>
    <w:qFormat/>
    <w:rsid w:val="00F0251D"/>
    <w:rPr>
      <w:b/>
      <w:bCs/>
    </w:rPr>
  </w:style>
  <w:style w:type="character" w:customStyle="1" w:styleId="Titre3Car">
    <w:name w:val="Titre 3 Car"/>
    <w:link w:val="Titre3"/>
    <w:uiPriority w:val="9"/>
    <w:semiHidden/>
    <w:rsid w:val="00024990"/>
    <w:rPr>
      <w:rFonts w:ascii="Calibri" w:eastAsia="MS Gothic" w:hAnsi="Calibri" w:cs="Times New Roman"/>
      <w:b/>
      <w:bCs/>
      <w:sz w:val="26"/>
      <w:szCs w:val="26"/>
      <w:lang w:eastAsia="en-US"/>
    </w:rPr>
  </w:style>
  <w:style w:type="table" w:customStyle="1" w:styleId="Ombrageclair1">
    <w:name w:val="Ombrage clair1"/>
    <w:basedOn w:val="TableauNormal"/>
    <w:uiPriority w:val="60"/>
    <w:rsid w:val="00515109"/>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moyenne1-Accent6">
    <w:name w:val="Medium Grid 1 Accent 6"/>
    <w:basedOn w:val="TableauNormal"/>
    <w:uiPriority w:val="31"/>
    <w:qFormat/>
    <w:rsid w:val="00EC67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dutableau">
    <w:name w:val="Table Grid"/>
    <w:basedOn w:val="TableauNormal"/>
    <w:uiPriority w:val="59"/>
    <w:rsid w:val="00EC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2763"/>
    <w:pPr>
      <w:spacing w:after="432" w:line="240" w:lineRule="auto"/>
    </w:pPr>
    <w:rPr>
      <w:rFonts w:ascii="Times New Roman" w:eastAsia="Times New Roman" w:hAnsi="Times New Roman"/>
      <w:sz w:val="24"/>
      <w:szCs w:val="24"/>
      <w:lang w:eastAsia="fr-CA"/>
    </w:rPr>
  </w:style>
  <w:style w:type="character" w:styleId="Numrodeligne">
    <w:name w:val="line number"/>
    <w:basedOn w:val="Policepardfaut"/>
    <w:uiPriority w:val="99"/>
    <w:semiHidden/>
    <w:unhideWhenUsed/>
    <w:rsid w:val="00782EE3"/>
  </w:style>
  <w:style w:type="paragraph" w:customStyle="1" w:styleId="EndNoteBibliographyTitle">
    <w:name w:val="EndNote Bibliography Title"/>
    <w:basedOn w:val="Normal"/>
    <w:link w:val="EndNoteBibliographyTitleCar"/>
    <w:rsid w:val="00BD5792"/>
    <w:pPr>
      <w:spacing w:after="0"/>
      <w:jc w:val="center"/>
    </w:pPr>
    <w:rPr>
      <w:noProof/>
      <w:lang w:val="en-US"/>
    </w:rPr>
  </w:style>
  <w:style w:type="character" w:customStyle="1" w:styleId="EndNoteBibliographyTitleCar">
    <w:name w:val="EndNote Bibliography Title Car"/>
    <w:basedOn w:val="Policepardfaut"/>
    <w:link w:val="EndNoteBibliographyTitle"/>
    <w:rsid w:val="00BD5792"/>
    <w:rPr>
      <w:noProof/>
      <w:sz w:val="22"/>
      <w:szCs w:val="22"/>
      <w:lang w:val="en-US" w:eastAsia="en-US"/>
    </w:rPr>
  </w:style>
  <w:style w:type="paragraph" w:customStyle="1" w:styleId="EndNoteBibliography">
    <w:name w:val="EndNote Bibliography"/>
    <w:basedOn w:val="Normal"/>
    <w:link w:val="EndNoteBibliographyCar"/>
    <w:rsid w:val="00BD5792"/>
    <w:pPr>
      <w:spacing w:line="240" w:lineRule="auto"/>
    </w:pPr>
    <w:rPr>
      <w:noProof/>
      <w:lang w:val="en-US"/>
    </w:rPr>
  </w:style>
  <w:style w:type="character" w:customStyle="1" w:styleId="EndNoteBibliographyCar">
    <w:name w:val="EndNote Bibliography Car"/>
    <w:basedOn w:val="Policepardfaut"/>
    <w:link w:val="EndNoteBibliography"/>
    <w:rsid w:val="00BD5792"/>
    <w:rPr>
      <w:noProof/>
      <w:sz w:val="22"/>
      <w:szCs w:val="22"/>
      <w:lang w:val="en-US" w:eastAsia="en-US"/>
    </w:rPr>
  </w:style>
  <w:style w:type="paragraph" w:styleId="En-tte">
    <w:name w:val="header"/>
    <w:basedOn w:val="Normal"/>
    <w:link w:val="En-tteCar"/>
    <w:uiPriority w:val="99"/>
    <w:unhideWhenUsed/>
    <w:rsid w:val="004441C6"/>
    <w:pPr>
      <w:tabs>
        <w:tab w:val="center" w:pos="4320"/>
        <w:tab w:val="right" w:pos="8640"/>
      </w:tabs>
      <w:spacing w:after="0" w:line="240" w:lineRule="auto"/>
    </w:pPr>
  </w:style>
  <w:style w:type="character" w:customStyle="1" w:styleId="En-tteCar">
    <w:name w:val="En-tête Car"/>
    <w:basedOn w:val="Policepardfaut"/>
    <w:link w:val="En-tte"/>
    <w:uiPriority w:val="99"/>
    <w:rsid w:val="004441C6"/>
    <w:rPr>
      <w:sz w:val="22"/>
      <w:szCs w:val="22"/>
      <w:lang w:eastAsia="en-US"/>
    </w:rPr>
  </w:style>
  <w:style w:type="paragraph" w:styleId="Pieddepage">
    <w:name w:val="footer"/>
    <w:basedOn w:val="Normal"/>
    <w:link w:val="PieddepageCar"/>
    <w:uiPriority w:val="99"/>
    <w:unhideWhenUsed/>
    <w:rsid w:val="004441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41C6"/>
    <w:rPr>
      <w:sz w:val="22"/>
      <w:szCs w:val="22"/>
      <w:lang w:eastAsia="en-US"/>
    </w:rPr>
  </w:style>
  <w:style w:type="paragraph" w:customStyle="1" w:styleId="clsnormaltext">
    <w:name w:val="clsnormaltext"/>
    <w:basedOn w:val="Normal"/>
    <w:rsid w:val="00DE674F"/>
    <w:pPr>
      <w:spacing w:before="100" w:beforeAutospacing="1" w:after="100" w:afterAutospacing="1" w:line="240" w:lineRule="auto"/>
    </w:pPr>
    <w:rPr>
      <w:rFonts w:ascii="Times New Roman" w:eastAsia="Times New Roman" w:hAnsi="Times New Roman"/>
      <w:sz w:val="24"/>
      <w:szCs w:val="24"/>
      <w:lang w:val="en-US"/>
    </w:rPr>
  </w:style>
  <w:style w:type="character" w:styleId="Lienhypertextesuivivisit">
    <w:name w:val="FollowedHyperlink"/>
    <w:basedOn w:val="Policepardfaut"/>
    <w:uiPriority w:val="99"/>
    <w:semiHidden/>
    <w:unhideWhenUsed/>
    <w:rsid w:val="00256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314">
      <w:bodyDiv w:val="1"/>
      <w:marLeft w:val="0"/>
      <w:marRight w:val="0"/>
      <w:marTop w:val="0"/>
      <w:marBottom w:val="0"/>
      <w:divBdr>
        <w:top w:val="none" w:sz="0" w:space="0" w:color="auto"/>
        <w:left w:val="none" w:sz="0" w:space="0" w:color="auto"/>
        <w:bottom w:val="none" w:sz="0" w:space="0" w:color="auto"/>
        <w:right w:val="none" w:sz="0" w:space="0" w:color="auto"/>
      </w:divBdr>
    </w:div>
    <w:div w:id="87239853">
      <w:bodyDiv w:val="1"/>
      <w:marLeft w:val="0"/>
      <w:marRight w:val="0"/>
      <w:marTop w:val="0"/>
      <w:marBottom w:val="0"/>
      <w:divBdr>
        <w:top w:val="none" w:sz="0" w:space="0" w:color="auto"/>
        <w:left w:val="none" w:sz="0" w:space="0" w:color="auto"/>
        <w:bottom w:val="none" w:sz="0" w:space="0" w:color="auto"/>
        <w:right w:val="none" w:sz="0" w:space="0" w:color="auto"/>
      </w:divBdr>
    </w:div>
    <w:div w:id="315914284">
      <w:bodyDiv w:val="1"/>
      <w:marLeft w:val="0"/>
      <w:marRight w:val="0"/>
      <w:marTop w:val="0"/>
      <w:marBottom w:val="0"/>
      <w:divBdr>
        <w:top w:val="none" w:sz="0" w:space="0" w:color="auto"/>
        <w:left w:val="none" w:sz="0" w:space="0" w:color="auto"/>
        <w:bottom w:val="none" w:sz="0" w:space="0" w:color="auto"/>
        <w:right w:val="none" w:sz="0" w:space="0" w:color="auto"/>
      </w:divBdr>
    </w:div>
    <w:div w:id="469830896">
      <w:bodyDiv w:val="1"/>
      <w:marLeft w:val="0"/>
      <w:marRight w:val="0"/>
      <w:marTop w:val="0"/>
      <w:marBottom w:val="0"/>
      <w:divBdr>
        <w:top w:val="none" w:sz="0" w:space="0" w:color="auto"/>
        <w:left w:val="none" w:sz="0" w:space="0" w:color="auto"/>
        <w:bottom w:val="none" w:sz="0" w:space="0" w:color="auto"/>
        <w:right w:val="none" w:sz="0" w:space="0" w:color="auto"/>
      </w:divBdr>
    </w:div>
    <w:div w:id="561215804">
      <w:bodyDiv w:val="1"/>
      <w:marLeft w:val="0"/>
      <w:marRight w:val="0"/>
      <w:marTop w:val="0"/>
      <w:marBottom w:val="0"/>
      <w:divBdr>
        <w:top w:val="none" w:sz="0" w:space="0" w:color="auto"/>
        <w:left w:val="none" w:sz="0" w:space="0" w:color="auto"/>
        <w:bottom w:val="none" w:sz="0" w:space="0" w:color="auto"/>
        <w:right w:val="none" w:sz="0" w:space="0" w:color="auto"/>
      </w:divBdr>
    </w:div>
    <w:div w:id="561411632">
      <w:bodyDiv w:val="1"/>
      <w:marLeft w:val="0"/>
      <w:marRight w:val="0"/>
      <w:marTop w:val="0"/>
      <w:marBottom w:val="0"/>
      <w:divBdr>
        <w:top w:val="none" w:sz="0" w:space="0" w:color="auto"/>
        <w:left w:val="none" w:sz="0" w:space="0" w:color="auto"/>
        <w:bottom w:val="none" w:sz="0" w:space="0" w:color="auto"/>
        <w:right w:val="none" w:sz="0" w:space="0" w:color="auto"/>
      </w:divBdr>
    </w:div>
    <w:div w:id="577252923">
      <w:bodyDiv w:val="1"/>
      <w:marLeft w:val="0"/>
      <w:marRight w:val="0"/>
      <w:marTop w:val="0"/>
      <w:marBottom w:val="0"/>
      <w:divBdr>
        <w:top w:val="none" w:sz="0" w:space="0" w:color="auto"/>
        <w:left w:val="none" w:sz="0" w:space="0" w:color="auto"/>
        <w:bottom w:val="none" w:sz="0" w:space="0" w:color="auto"/>
        <w:right w:val="none" w:sz="0" w:space="0" w:color="auto"/>
      </w:divBdr>
    </w:div>
    <w:div w:id="626468501">
      <w:bodyDiv w:val="1"/>
      <w:marLeft w:val="0"/>
      <w:marRight w:val="0"/>
      <w:marTop w:val="0"/>
      <w:marBottom w:val="0"/>
      <w:divBdr>
        <w:top w:val="none" w:sz="0" w:space="0" w:color="auto"/>
        <w:left w:val="none" w:sz="0" w:space="0" w:color="auto"/>
        <w:bottom w:val="none" w:sz="0" w:space="0" w:color="auto"/>
        <w:right w:val="none" w:sz="0" w:space="0" w:color="auto"/>
      </w:divBdr>
    </w:div>
    <w:div w:id="676662386">
      <w:bodyDiv w:val="1"/>
      <w:marLeft w:val="0"/>
      <w:marRight w:val="0"/>
      <w:marTop w:val="0"/>
      <w:marBottom w:val="0"/>
      <w:divBdr>
        <w:top w:val="none" w:sz="0" w:space="0" w:color="auto"/>
        <w:left w:val="none" w:sz="0" w:space="0" w:color="auto"/>
        <w:bottom w:val="none" w:sz="0" w:space="0" w:color="auto"/>
        <w:right w:val="none" w:sz="0" w:space="0" w:color="auto"/>
      </w:divBdr>
    </w:div>
    <w:div w:id="714155500">
      <w:bodyDiv w:val="1"/>
      <w:marLeft w:val="0"/>
      <w:marRight w:val="0"/>
      <w:marTop w:val="0"/>
      <w:marBottom w:val="0"/>
      <w:divBdr>
        <w:top w:val="none" w:sz="0" w:space="0" w:color="auto"/>
        <w:left w:val="none" w:sz="0" w:space="0" w:color="auto"/>
        <w:bottom w:val="none" w:sz="0" w:space="0" w:color="auto"/>
        <w:right w:val="none" w:sz="0" w:space="0" w:color="auto"/>
      </w:divBdr>
    </w:div>
    <w:div w:id="752164949">
      <w:bodyDiv w:val="1"/>
      <w:marLeft w:val="0"/>
      <w:marRight w:val="0"/>
      <w:marTop w:val="0"/>
      <w:marBottom w:val="0"/>
      <w:divBdr>
        <w:top w:val="none" w:sz="0" w:space="0" w:color="auto"/>
        <w:left w:val="none" w:sz="0" w:space="0" w:color="auto"/>
        <w:bottom w:val="none" w:sz="0" w:space="0" w:color="auto"/>
        <w:right w:val="none" w:sz="0" w:space="0" w:color="auto"/>
      </w:divBdr>
    </w:div>
    <w:div w:id="839926779">
      <w:bodyDiv w:val="1"/>
      <w:marLeft w:val="0"/>
      <w:marRight w:val="0"/>
      <w:marTop w:val="0"/>
      <w:marBottom w:val="0"/>
      <w:divBdr>
        <w:top w:val="none" w:sz="0" w:space="0" w:color="auto"/>
        <w:left w:val="none" w:sz="0" w:space="0" w:color="auto"/>
        <w:bottom w:val="none" w:sz="0" w:space="0" w:color="auto"/>
        <w:right w:val="none" w:sz="0" w:space="0" w:color="auto"/>
      </w:divBdr>
    </w:div>
    <w:div w:id="1142041883">
      <w:bodyDiv w:val="1"/>
      <w:marLeft w:val="0"/>
      <w:marRight w:val="0"/>
      <w:marTop w:val="0"/>
      <w:marBottom w:val="0"/>
      <w:divBdr>
        <w:top w:val="none" w:sz="0" w:space="0" w:color="auto"/>
        <w:left w:val="none" w:sz="0" w:space="0" w:color="auto"/>
        <w:bottom w:val="none" w:sz="0" w:space="0" w:color="auto"/>
        <w:right w:val="none" w:sz="0" w:space="0" w:color="auto"/>
      </w:divBdr>
    </w:div>
    <w:div w:id="1183015865">
      <w:bodyDiv w:val="1"/>
      <w:marLeft w:val="0"/>
      <w:marRight w:val="0"/>
      <w:marTop w:val="0"/>
      <w:marBottom w:val="0"/>
      <w:divBdr>
        <w:top w:val="none" w:sz="0" w:space="0" w:color="auto"/>
        <w:left w:val="none" w:sz="0" w:space="0" w:color="auto"/>
        <w:bottom w:val="none" w:sz="0" w:space="0" w:color="auto"/>
        <w:right w:val="none" w:sz="0" w:space="0" w:color="auto"/>
      </w:divBdr>
      <w:divsChild>
        <w:div w:id="266890014">
          <w:marLeft w:val="0"/>
          <w:marRight w:val="0"/>
          <w:marTop w:val="0"/>
          <w:marBottom w:val="0"/>
          <w:divBdr>
            <w:top w:val="none" w:sz="0" w:space="0" w:color="auto"/>
            <w:left w:val="none" w:sz="0" w:space="0" w:color="auto"/>
            <w:bottom w:val="none" w:sz="0" w:space="0" w:color="auto"/>
            <w:right w:val="none" w:sz="0" w:space="0" w:color="auto"/>
          </w:divBdr>
        </w:div>
        <w:div w:id="294717957">
          <w:marLeft w:val="0"/>
          <w:marRight w:val="0"/>
          <w:marTop w:val="0"/>
          <w:marBottom w:val="0"/>
          <w:divBdr>
            <w:top w:val="none" w:sz="0" w:space="0" w:color="auto"/>
            <w:left w:val="none" w:sz="0" w:space="0" w:color="auto"/>
            <w:bottom w:val="none" w:sz="0" w:space="0" w:color="auto"/>
            <w:right w:val="none" w:sz="0" w:space="0" w:color="auto"/>
          </w:divBdr>
        </w:div>
        <w:div w:id="1652516863">
          <w:marLeft w:val="0"/>
          <w:marRight w:val="0"/>
          <w:marTop w:val="0"/>
          <w:marBottom w:val="0"/>
          <w:divBdr>
            <w:top w:val="none" w:sz="0" w:space="0" w:color="auto"/>
            <w:left w:val="none" w:sz="0" w:space="0" w:color="auto"/>
            <w:bottom w:val="none" w:sz="0" w:space="0" w:color="auto"/>
            <w:right w:val="none" w:sz="0" w:space="0" w:color="auto"/>
          </w:divBdr>
        </w:div>
      </w:divsChild>
    </w:div>
    <w:div w:id="1186989908">
      <w:bodyDiv w:val="1"/>
      <w:marLeft w:val="0"/>
      <w:marRight w:val="0"/>
      <w:marTop w:val="0"/>
      <w:marBottom w:val="0"/>
      <w:divBdr>
        <w:top w:val="none" w:sz="0" w:space="0" w:color="auto"/>
        <w:left w:val="none" w:sz="0" w:space="0" w:color="auto"/>
        <w:bottom w:val="none" w:sz="0" w:space="0" w:color="auto"/>
        <w:right w:val="none" w:sz="0" w:space="0" w:color="auto"/>
      </w:divBdr>
    </w:div>
    <w:div w:id="1191651748">
      <w:bodyDiv w:val="1"/>
      <w:marLeft w:val="0"/>
      <w:marRight w:val="0"/>
      <w:marTop w:val="0"/>
      <w:marBottom w:val="0"/>
      <w:divBdr>
        <w:top w:val="none" w:sz="0" w:space="0" w:color="auto"/>
        <w:left w:val="none" w:sz="0" w:space="0" w:color="auto"/>
        <w:bottom w:val="none" w:sz="0" w:space="0" w:color="auto"/>
        <w:right w:val="none" w:sz="0" w:space="0" w:color="auto"/>
      </w:divBdr>
    </w:div>
    <w:div w:id="1209612914">
      <w:bodyDiv w:val="1"/>
      <w:marLeft w:val="0"/>
      <w:marRight w:val="0"/>
      <w:marTop w:val="0"/>
      <w:marBottom w:val="0"/>
      <w:divBdr>
        <w:top w:val="none" w:sz="0" w:space="0" w:color="auto"/>
        <w:left w:val="none" w:sz="0" w:space="0" w:color="auto"/>
        <w:bottom w:val="none" w:sz="0" w:space="0" w:color="auto"/>
        <w:right w:val="none" w:sz="0" w:space="0" w:color="auto"/>
      </w:divBdr>
    </w:div>
    <w:div w:id="1240553815">
      <w:bodyDiv w:val="1"/>
      <w:marLeft w:val="0"/>
      <w:marRight w:val="0"/>
      <w:marTop w:val="0"/>
      <w:marBottom w:val="0"/>
      <w:divBdr>
        <w:top w:val="none" w:sz="0" w:space="0" w:color="auto"/>
        <w:left w:val="none" w:sz="0" w:space="0" w:color="auto"/>
        <w:bottom w:val="none" w:sz="0" w:space="0" w:color="auto"/>
        <w:right w:val="none" w:sz="0" w:space="0" w:color="auto"/>
      </w:divBdr>
    </w:div>
    <w:div w:id="1280339199">
      <w:bodyDiv w:val="1"/>
      <w:marLeft w:val="0"/>
      <w:marRight w:val="0"/>
      <w:marTop w:val="0"/>
      <w:marBottom w:val="0"/>
      <w:divBdr>
        <w:top w:val="none" w:sz="0" w:space="0" w:color="auto"/>
        <w:left w:val="none" w:sz="0" w:space="0" w:color="auto"/>
        <w:bottom w:val="none" w:sz="0" w:space="0" w:color="auto"/>
        <w:right w:val="none" w:sz="0" w:space="0" w:color="auto"/>
      </w:divBdr>
      <w:divsChild>
        <w:div w:id="2038894008">
          <w:marLeft w:val="0"/>
          <w:marRight w:val="0"/>
          <w:marTop w:val="0"/>
          <w:marBottom w:val="0"/>
          <w:divBdr>
            <w:top w:val="none" w:sz="0" w:space="0" w:color="auto"/>
            <w:left w:val="none" w:sz="0" w:space="0" w:color="auto"/>
            <w:bottom w:val="none" w:sz="0" w:space="0" w:color="auto"/>
            <w:right w:val="none" w:sz="0" w:space="0" w:color="auto"/>
          </w:divBdr>
          <w:divsChild>
            <w:div w:id="990402165">
              <w:marLeft w:val="240"/>
              <w:marRight w:val="0"/>
              <w:marTop w:val="0"/>
              <w:marBottom w:val="0"/>
              <w:divBdr>
                <w:top w:val="none" w:sz="0" w:space="0" w:color="auto"/>
                <w:left w:val="none" w:sz="0" w:space="0" w:color="auto"/>
                <w:bottom w:val="none" w:sz="0" w:space="0" w:color="auto"/>
                <w:right w:val="none" w:sz="0" w:space="0" w:color="auto"/>
              </w:divBdr>
              <w:divsChild>
                <w:div w:id="1143699963">
                  <w:marLeft w:val="0"/>
                  <w:marRight w:val="0"/>
                  <w:marTop w:val="0"/>
                  <w:marBottom w:val="270"/>
                  <w:divBdr>
                    <w:top w:val="single" w:sz="6" w:space="8" w:color="D3D1D1"/>
                    <w:left w:val="single" w:sz="6" w:space="0" w:color="D3D1D1"/>
                    <w:bottom w:val="single" w:sz="6" w:space="8" w:color="D3D1D1"/>
                    <w:right w:val="single" w:sz="6" w:space="0" w:color="D3D1D1"/>
                  </w:divBdr>
                  <w:divsChild>
                    <w:div w:id="1795979865">
                      <w:marLeft w:val="120"/>
                      <w:marRight w:val="120"/>
                      <w:marTop w:val="0"/>
                      <w:marBottom w:val="0"/>
                      <w:divBdr>
                        <w:top w:val="none" w:sz="0" w:space="0" w:color="auto"/>
                        <w:left w:val="none" w:sz="0" w:space="0" w:color="auto"/>
                        <w:bottom w:val="none" w:sz="0" w:space="0" w:color="auto"/>
                        <w:right w:val="none" w:sz="0" w:space="0" w:color="auto"/>
                      </w:divBdr>
                      <w:divsChild>
                        <w:div w:id="4431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01654">
      <w:bodyDiv w:val="1"/>
      <w:marLeft w:val="0"/>
      <w:marRight w:val="0"/>
      <w:marTop w:val="0"/>
      <w:marBottom w:val="0"/>
      <w:divBdr>
        <w:top w:val="none" w:sz="0" w:space="0" w:color="auto"/>
        <w:left w:val="none" w:sz="0" w:space="0" w:color="auto"/>
        <w:bottom w:val="none" w:sz="0" w:space="0" w:color="auto"/>
        <w:right w:val="none" w:sz="0" w:space="0" w:color="auto"/>
      </w:divBdr>
    </w:div>
    <w:div w:id="1305307167">
      <w:bodyDiv w:val="1"/>
      <w:marLeft w:val="0"/>
      <w:marRight w:val="0"/>
      <w:marTop w:val="0"/>
      <w:marBottom w:val="0"/>
      <w:divBdr>
        <w:top w:val="none" w:sz="0" w:space="0" w:color="auto"/>
        <w:left w:val="none" w:sz="0" w:space="0" w:color="auto"/>
        <w:bottom w:val="none" w:sz="0" w:space="0" w:color="auto"/>
        <w:right w:val="none" w:sz="0" w:space="0" w:color="auto"/>
      </w:divBdr>
    </w:div>
    <w:div w:id="1402676238">
      <w:bodyDiv w:val="1"/>
      <w:marLeft w:val="0"/>
      <w:marRight w:val="0"/>
      <w:marTop w:val="0"/>
      <w:marBottom w:val="0"/>
      <w:divBdr>
        <w:top w:val="none" w:sz="0" w:space="0" w:color="auto"/>
        <w:left w:val="none" w:sz="0" w:space="0" w:color="auto"/>
        <w:bottom w:val="none" w:sz="0" w:space="0" w:color="auto"/>
        <w:right w:val="none" w:sz="0" w:space="0" w:color="auto"/>
      </w:divBdr>
      <w:divsChild>
        <w:div w:id="949162047">
          <w:marLeft w:val="0"/>
          <w:marRight w:val="0"/>
          <w:marTop w:val="0"/>
          <w:marBottom w:val="0"/>
          <w:divBdr>
            <w:top w:val="none" w:sz="0" w:space="0" w:color="auto"/>
            <w:left w:val="none" w:sz="0" w:space="0" w:color="auto"/>
            <w:bottom w:val="none" w:sz="0" w:space="0" w:color="auto"/>
            <w:right w:val="none" w:sz="0" w:space="0" w:color="auto"/>
          </w:divBdr>
          <w:divsChild>
            <w:div w:id="708728669">
              <w:marLeft w:val="240"/>
              <w:marRight w:val="0"/>
              <w:marTop w:val="0"/>
              <w:marBottom w:val="0"/>
              <w:divBdr>
                <w:top w:val="none" w:sz="0" w:space="0" w:color="auto"/>
                <w:left w:val="none" w:sz="0" w:space="0" w:color="auto"/>
                <w:bottom w:val="none" w:sz="0" w:space="0" w:color="auto"/>
                <w:right w:val="none" w:sz="0" w:space="0" w:color="auto"/>
              </w:divBdr>
              <w:divsChild>
                <w:div w:id="1765566399">
                  <w:marLeft w:val="0"/>
                  <w:marRight w:val="0"/>
                  <w:marTop w:val="0"/>
                  <w:marBottom w:val="270"/>
                  <w:divBdr>
                    <w:top w:val="single" w:sz="6" w:space="8" w:color="D3D1D1"/>
                    <w:left w:val="single" w:sz="6" w:space="0" w:color="D3D1D1"/>
                    <w:bottom w:val="single" w:sz="6" w:space="8" w:color="D3D1D1"/>
                    <w:right w:val="single" w:sz="6" w:space="0" w:color="D3D1D1"/>
                  </w:divBdr>
                  <w:divsChild>
                    <w:div w:id="48968313">
                      <w:marLeft w:val="120"/>
                      <w:marRight w:val="120"/>
                      <w:marTop w:val="0"/>
                      <w:marBottom w:val="0"/>
                      <w:divBdr>
                        <w:top w:val="none" w:sz="0" w:space="0" w:color="auto"/>
                        <w:left w:val="none" w:sz="0" w:space="0" w:color="auto"/>
                        <w:bottom w:val="none" w:sz="0" w:space="0" w:color="auto"/>
                        <w:right w:val="none" w:sz="0" w:space="0" w:color="auto"/>
                      </w:divBdr>
                      <w:divsChild>
                        <w:div w:id="673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27859">
      <w:bodyDiv w:val="1"/>
      <w:marLeft w:val="0"/>
      <w:marRight w:val="0"/>
      <w:marTop w:val="0"/>
      <w:marBottom w:val="0"/>
      <w:divBdr>
        <w:top w:val="none" w:sz="0" w:space="0" w:color="auto"/>
        <w:left w:val="none" w:sz="0" w:space="0" w:color="auto"/>
        <w:bottom w:val="none" w:sz="0" w:space="0" w:color="auto"/>
        <w:right w:val="none" w:sz="0" w:space="0" w:color="auto"/>
      </w:divBdr>
    </w:div>
    <w:div w:id="1535775083">
      <w:bodyDiv w:val="1"/>
      <w:marLeft w:val="0"/>
      <w:marRight w:val="0"/>
      <w:marTop w:val="0"/>
      <w:marBottom w:val="0"/>
      <w:divBdr>
        <w:top w:val="none" w:sz="0" w:space="0" w:color="auto"/>
        <w:left w:val="none" w:sz="0" w:space="0" w:color="auto"/>
        <w:bottom w:val="none" w:sz="0" w:space="0" w:color="auto"/>
        <w:right w:val="none" w:sz="0" w:space="0" w:color="auto"/>
      </w:divBdr>
      <w:divsChild>
        <w:div w:id="1506703294">
          <w:marLeft w:val="0"/>
          <w:marRight w:val="0"/>
          <w:marTop w:val="0"/>
          <w:marBottom w:val="0"/>
          <w:divBdr>
            <w:top w:val="none" w:sz="0" w:space="0" w:color="auto"/>
            <w:left w:val="none" w:sz="0" w:space="0" w:color="auto"/>
            <w:bottom w:val="none" w:sz="0" w:space="0" w:color="auto"/>
            <w:right w:val="none" w:sz="0" w:space="0" w:color="auto"/>
          </w:divBdr>
          <w:divsChild>
            <w:div w:id="1796099043">
              <w:marLeft w:val="0"/>
              <w:marRight w:val="0"/>
              <w:marTop w:val="0"/>
              <w:marBottom w:val="0"/>
              <w:divBdr>
                <w:top w:val="none" w:sz="0" w:space="0" w:color="auto"/>
                <w:left w:val="none" w:sz="0" w:space="0" w:color="auto"/>
                <w:bottom w:val="none" w:sz="0" w:space="0" w:color="auto"/>
                <w:right w:val="none" w:sz="0" w:space="0" w:color="auto"/>
              </w:divBdr>
              <w:divsChild>
                <w:div w:id="1337001834">
                  <w:marLeft w:val="0"/>
                  <w:marRight w:val="0"/>
                  <w:marTop w:val="0"/>
                  <w:marBottom w:val="0"/>
                  <w:divBdr>
                    <w:top w:val="none" w:sz="0" w:space="0" w:color="auto"/>
                    <w:left w:val="none" w:sz="0" w:space="0" w:color="auto"/>
                    <w:bottom w:val="none" w:sz="0" w:space="0" w:color="auto"/>
                    <w:right w:val="none" w:sz="0" w:space="0" w:color="auto"/>
                  </w:divBdr>
                  <w:divsChild>
                    <w:div w:id="953168361">
                      <w:marLeft w:val="0"/>
                      <w:marRight w:val="0"/>
                      <w:marTop w:val="0"/>
                      <w:marBottom w:val="0"/>
                      <w:divBdr>
                        <w:top w:val="none" w:sz="0" w:space="0" w:color="auto"/>
                        <w:left w:val="none" w:sz="0" w:space="0" w:color="auto"/>
                        <w:bottom w:val="none" w:sz="0" w:space="0" w:color="auto"/>
                        <w:right w:val="none" w:sz="0" w:space="0" w:color="auto"/>
                      </w:divBdr>
                      <w:divsChild>
                        <w:div w:id="466243818">
                          <w:marLeft w:val="0"/>
                          <w:marRight w:val="0"/>
                          <w:marTop w:val="0"/>
                          <w:marBottom w:val="0"/>
                          <w:divBdr>
                            <w:top w:val="none" w:sz="0" w:space="0" w:color="auto"/>
                            <w:left w:val="none" w:sz="0" w:space="0" w:color="auto"/>
                            <w:bottom w:val="none" w:sz="0" w:space="0" w:color="auto"/>
                            <w:right w:val="none" w:sz="0" w:space="0" w:color="auto"/>
                          </w:divBdr>
                          <w:divsChild>
                            <w:div w:id="1090855108">
                              <w:marLeft w:val="0"/>
                              <w:marRight w:val="0"/>
                              <w:marTop w:val="0"/>
                              <w:marBottom w:val="0"/>
                              <w:divBdr>
                                <w:top w:val="none" w:sz="0" w:space="0" w:color="auto"/>
                                <w:left w:val="none" w:sz="0" w:space="0" w:color="auto"/>
                                <w:bottom w:val="none" w:sz="0" w:space="0" w:color="auto"/>
                                <w:right w:val="none" w:sz="0" w:space="0" w:color="auto"/>
                              </w:divBdr>
                              <w:divsChild>
                                <w:div w:id="658340891">
                                  <w:marLeft w:val="0"/>
                                  <w:marRight w:val="0"/>
                                  <w:marTop w:val="0"/>
                                  <w:marBottom w:val="0"/>
                                  <w:divBdr>
                                    <w:top w:val="none" w:sz="0" w:space="0" w:color="auto"/>
                                    <w:left w:val="none" w:sz="0" w:space="0" w:color="auto"/>
                                    <w:bottom w:val="none" w:sz="0" w:space="0" w:color="auto"/>
                                    <w:right w:val="none" w:sz="0" w:space="0" w:color="auto"/>
                                  </w:divBdr>
                                  <w:divsChild>
                                    <w:div w:id="1049913142">
                                      <w:marLeft w:val="0"/>
                                      <w:marRight w:val="0"/>
                                      <w:marTop w:val="0"/>
                                      <w:marBottom w:val="0"/>
                                      <w:divBdr>
                                        <w:top w:val="none" w:sz="0" w:space="0" w:color="auto"/>
                                        <w:left w:val="none" w:sz="0" w:space="0" w:color="auto"/>
                                        <w:bottom w:val="none" w:sz="0" w:space="0" w:color="auto"/>
                                        <w:right w:val="none" w:sz="0" w:space="0" w:color="auto"/>
                                      </w:divBdr>
                                    </w:div>
                                    <w:div w:id="1303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5548">
      <w:bodyDiv w:val="1"/>
      <w:marLeft w:val="0"/>
      <w:marRight w:val="0"/>
      <w:marTop w:val="0"/>
      <w:marBottom w:val="0"/>
      <w:divBdr>
        <w:top w:val="none" w:sz="0" w:space="0" w:color="auto"/>
        <w:left w:val="none" w:sz="0" w:space="0" w:color="auto"/>
        <w:bottom w:val="none" w:sz="0" w:space="0" w:color="auto"/>
        <w:right w:val="none" w:sz="0" w:space="0" w:color="auto"/>
      </w:divBdr>
    </w:div>
    <w:div w:id="1782340458">
      <w:bodyDiv w:val="1"/>
      <w:marLeft w:val="0"/>
      <w:marRight w:val="0"/>
      <w:marTop w:val="0"/>
      <w:marBottom w:val="0"/>
      <w:divBdr>
        <w:top w:val="none" w:sz="0" w:space="0" w:color="auto"/>
        <w:left w:val="none" w:sz="0" w:space="0" w:color="auto"/>
        <w:bottom w:val="none" w:sz="0" w:space="0" w:color="auto"/>
        <w:right w:val="none" w:sz="0" w:space="0" w:color="auto"/>
      </w:divBdr>
      <w:divsChild>
        <w:div w:id="1482235420">
          <w:marLeft w:val="0"/>
          <w:marRight w:val="0"/>
          <w:marTop w:val="0"/>
          <w:marBottom w:val="0"/>
          <w:divBdr>
            <w:top w:val="none" w:sz="0" w:space="0" w:color="auto"/>
            <w:left w:val="none" w:sz="0" w:space="0" w:color="auto"/>
            <w:bottom w:val="none" w:sz="0" w:space="0" w:color="auto"/>
            <w:right w:val="none" w:sz="0" w:space="0" w:color="auto"/>
          </w:divBdr>
        </w:div>
        <w:div w:id="748582483">
          <w:marLeft w:val="0"/>
          <w:marRight w:val="0"/>
          <w:marTop w:val="0"/>
          <w:marBottom w:val="0"/>
          <w:divBdr>
            <w:top w:val="none" w:sz="0" w:space="0" w:color="auto"/>
            <w:left w:val="none" w:sz="0" w:space="0" w:color="auto"/>
            <w:bottom w:val="none" w:sz="0" w:space="0" w:color="auto"/>
            <w:right w:val="none" w:sz="0" w:space="0" w:color="auto"/>
          </w:divBdr>
        </w:div>
      </w:divsChild>
    </w:div>
    <w:div w:id="1831363754">
      <w:bodyDiv w:val="1"/>
      <w:marLeft w:val="0"/>
      <w:marRight w:val="0"/>
      <w:marTop w:val="0"/>
      <w:marBottom w:val="0"/>
      <w:divBdr>
        <w:top w:val="none" w:sz="0" w:space="0" w:color="auto"/>
        <w:left w:val="none" w:sz="0" w:space="0" w:color="auto"/>
        <w:bottom w:val="none" w:sz="0" w:space="0" w:color="auto"/>
        <w:right w:val="none" w:sz="0" w:space="0" w:color="auto"/>
      </w:divBdr>
      <w:divsChild>
        <w:div w:id="1344437534">
          <w:marLeft w:val="0"/>
          <w:marRight w:val="0"/>
          <w:marTop w:val="0"/>
          <w:marBottom w:val="0"/>
          <w:divBdr>
            <w:top w:val="none" w:sz="0" w:space="0" w:color="auto"/>
            <w:left w:val="none" w:sz="0" w:space="0" w:color="auto"/>
            <w:bottom w:val="none" w:sz="0" w:space="0" w:color="auto"/>
            <w:right w:val="none" w:sz="0" w:space="0" w:color="auto"/>
          </w:divBdr>
        </w:div>
        <w:div w:id="277684527">
          <w:marLeft w:val="0"/>
          <w:marRight w:val="0"/>
          <w:marTop w:val="0"/>
          <w:marBottom w:val="0"/>
          <w:divBdr>
            <w:top w:val="none" w:sz="0" w:space="0" w:color="auto"/>
            <w:left w:val="none" w:sz="0" w:space="0" w:color="auto"/>
            <w:bottom w:val="none" w:sz="0" w:space="0" w:color="auto"/>
            <w:right w:val="none" w:sz="0" w:space="0" w:color="auto"/>
          </w:divBdr>
        </w:div>
        <w:div w:id="593560941">
          <w:marLeft w:val="0"/>
          <w:marRight w:val="0"/>
          <w:marTop w:val="0"/>
          <w:marBottom w:val="0"/>
          <w:divBdr>
            <w:top w:val="none" w:sz="0" w:space="0" w:color="auto"/>
            <w:left w:val="none" w:sz="0" w:space="0" w:color="auto"/>
            <w:bottom w:val="none" w:sz="0" w:space="0" w:color="auto"/>
            <w:right w:val="none" w:sz="0" w:space="0" w:color="auto"/>
          </w:divBdr>
        </w:div>
        <w:div w:id="1038550829">
          <w:marLeft w:val="0"/>
          <w:marRight w:val="0"/>
          <w:marTop w:val="0"/>
          <w:marBottom w:val="0"/>
          <w:divBdr>
            <w:top w:val="none" w:sz="0" w:space="0" w:color="auto"/>
            <w:left w:val="none" w:sz="0" w:space="0" w:color="auto"/>
            <w:bottom w:val="none" w:sz="0" w:space="0" w:color="auto"/>
            <w:right w:val="none" w:sz="0" w:space="0" w:color="auto"/>
          </w:divBdr>
        </w:div>
        <w:div w:id="1229652678">
          <w:marLeft w:val="0"/>
          <w:marRight w:val="0"/>
          <w:marTop w:val="0"/>
          <w:marBottom w:val="0"/>
          <w:divBdr>
            <w:top w:val="none" w:sz="0" w:space="0" w:color="auto"/>
            <w:left w:val="none" w:sz="0" w:space="0" w:color="auto"/>
            <w:bottom w:val="none" w:sz="0" w:space="0" w:color="auto"/>
            <w:right w:val="none" w:sz="0" w:space="0" w:color="auto"/>
          </w:divBdr>
        </w:div>
      </w:divsChild>
    </w:div>
    <w:div w:id="1884172894">
      <w:bodyDiv w:val="1"/>
      <w:marLeft w:val="0"/>
      <w:marRight w:val="0"/>
      <w:marTop w:val="0"/>
      <w:marBottom w:val="0"/>
      <w:divBdr>
        <w:top w:val="none" w:sz="0" w:space="0" w:color="auto"/>
        <w:left w:val="none" w:sz="0" w:space="0" w:color="auto"/>
        <w:bottom w:val="none" w:sz="0" w:space="0" w:color="auto"/>
        <w:right w:val="none" w:sz="0" w:space="0" w:color="auto"/>
      </w:divBdr>
    </w:div>
    <w:div w:id="1930963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083721-0C06-4FAF-970E-E8B147DB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4309</CharactersWithSpaces>
  <SharedDoc>false</SharedDoc>
  <HLinks>
    <vt:vector size="156" baseType="variant">
      <vt:variant>
        <vt:i4>4325387</vt:i4>
      </vt:variant>
      <vt:variant>
        <vt:i4>133</vt:i4>
      </vt:variant>
      <vt:variant>
        <vt:i4>0</vt:i4>
      </vt:variant>
      <vt:variant>
        <vt:i4>5</vt:i4>
      </vt:variant>
      <vt:variant>
        <vt:lpwstr/>
      </vt:variant>
      <vt:variant>
        <vt:lpwstr>_ENREF_39</vt:lpwstr>
      </vt:variant>
      <vt:variant>
        <vt:i4>4325387</vt:i4>
      </vt:variant>
      <vt:variant>
        <vt:i4>127</vt:i4>
      </vt:variant>
      <vt:variant>
        <vt:i4>0</vt:i4>
      </vt:variant>
      <vt:variant>
        <vt:i4>5</vt:i4>
      </vt:variant>
      <vt:variant>
        <vt:lpwstr/>
      </vt:variant>
      <vt:variant>
        <vt:lpwstr>_ENREF_33</vt:lpwstr>
      </vt:variant>
      <vt:variant>
        <vt:i4>4390923</vt:i4>
      </vt:variant>
      <vt:variant>
        <vt:i4>124</vt:i4>
      </vt:variant>
      <vt:variant>
        <vt:i4>0</vt:i4>
      </vt:variant>
      <vt:variant>
        <vt:i4>5</vt:i4>
      </vt:variant>
      <vt:variant>
        <vt:lpwstr/>
      </vt:variant>
      <vt:variant>
        <vt:lpwstr>_ENREF_28</vt:lpwstr>
      </vt:variant>
      <vt:variant>
        <vt:i4>4521995</vt:i4>
      </vt:variant>
      <vt:variant>
        <vt:i4>118</vt:i4>
      </vt:variant>
      <vt:variant>
        <vt:i4>0</vt:i4>
      </vt:variant>
      <vt:variant>
        <vt:i4>5</vt:i4>
      </vt:variant>
      <vt:variant>
        <vt:lpwstr/>
      </vt:variant>
      <vt:variant>
        <vt:lpwstr>_ENREF_41</vt:lpwstr>
      </vt:variant>
      <vt:variant>
        <vt:i4>4521995</vt:i4>
      </vt:variant>
      <vt:variant>
        <vt:i4>112</vt:i4>
      </vt:variant>
      <vt:variant>
        <vt:i4>0</vt:i4>
      </vt:variant>
      <vt:variant>
        <vt:i4>5</vt:i4>
      </vt:variant>
      <vt:variant>
        <vt:lpwstr/>
      </vt:variant>
      <vt:variant>
        <vt:lpwstr>_ENREF_40</vt:lpwstr>
      </vt:variant>
      <vt:variant>
        <vt:i4>4325387</vt:i4>
      </vt:variant>
      <vt:variant>
        <vt:i4>106</vt:i4>
      </vt:variant>
      <vt:variant>
        <vt:i4>0</vt:i4>
      </vt:variant>
      <vt:variant>
        <vt:i4>5</vt:i4>
      </vt:variant>
      <vt:variant>
        <vt:lpwstr/>
      </vt:variant>
      <vt:variant>
        <vt:lpwstr>_ENREF_39</vt:lpwstr>
      </vt:variant>
      <vt:variant>
        <vt:i4>4325387</vt:i4>
      </vt:variant>
      <vt:variant>
        <vt:i4>103</vt:i4>
      </vt:variant>
      <vt:variant>
        <vt:i4>0</vt:i4>
      </vt:variant>
      <vt:variant>
        <vt:i4>5</vt:i4>
      </vt:variant>
      <vt:variant>
        <vt:lpwstr/>
      </vt:variant>
      <vt:variant>
        <vt:lpwstr>_ENREF_38</vt:lpwstr>
      </vt:variant>
      <vt:variant>
        <vt:i4>4784139</vt:i4>
      </vt:variant>
      <vt:variant>
        <vt:i4>100</vt:i4>
      </vt:variant>
      <vt:variant>
        <vt:i4>0</vt:i4>
      </vt:variant>
      <vt:variant>
        <vt:i4>5</vt:i4>
      </vt:variant>
      <vt:variant>
        <vt:lpwstr/>
      </vt:variant>
      <vt:variant>
        <vt:lpwstr>_ENREF_8</vt:lpwstr>
      </vt:variant>
      <vt:variant>
        <vt:i4>4390923</vt:i4>
      </vt:variant>
      <vt:variant>
        <vt:i4>92</vt:i4>
      </vt:variant>
      <vt:variant>
        <vt:i4>0</vt:i4>
      </vt:variant>
      <vt:variant>
        <vt:i4>5</vt:i4>
      </vt:variant>
      <vt:variant>
        <vt:lpwstr/>
      </vt:variant>
      <vt:variant>
        <vt:lpwstr>_ENREF_28</vt:lpwstr>
      </vt:variant>
      <vt:variant>
        <vt:i4>4194315</vt:i4>
      </vt:variant>
      <vt:variant>
        <vt:i4>89</vt:i4>
      </vt:variant>
      <vt:variant>
        <vt:i4>0</vt:i4>
      </vt:variant>
      <vt:variant>
        <vt:i4>5</vt:i4>
      </vt:variant>
      <vt:variant>
        <vt:lpwstr/>
      </vt:variant>
      <vt:variant>
        <vt:lpwstr>_ENREF_18</vt:lpwstr>
      </vt:variant>
      <vt:variant>
        <vt:i4>4194315</vt:i4>
      </vt:variant>
      <vt:variant>
        <vt:i4>86</vt:i4>
      </vt:variant>
      <vt:variant>
        <vt:i4>0</vt:i4>
      </vt:variant>
      <vt:variant>
        <vt:i4>5</vt:i4>
      </vt:variant>
      <vt:variant>
        <vt:lpwstr/>
      </vt:variant>
      <vt:variant>
        <vt:lpwstr>_ENREF_17</vt:lpwstr>
      </vt:variant>
      <vt:variant>
        <vt:i4>4390923</vt:i4>
      </vt:variant>
      <vt:variant>
        <vt:i4>83</vt:i4>
      </vt:variant>
      <vt:variant>
        <vt:i4>0</vt:i4>
      </vt:variant>
      <vt:variant>
        <vt:i4>5</vt:i4>
      </vt:variant>
      <vt:variant>
        <vt:lpwstr/>
      </vt:variant>
      <vt:variant>
        <vt:lpwstr>_ENREF_2</vt:lpwstr>
      </vt:variant>
      <vt:variant>
        <vt:i4>4390923</vt:i4>
      </vt:variant>
      <vt:variant>
        <vt:i4>75</vt:i4>
      </vt:variant>
      <vt:variant>
        <vt:i4>0</vt:i4>
      </vt:variant>
      <vt:variant>
        <vt:i4>5</vt:i4>
      </vt:variant>
      <vt:variant>
        <vt:lpwstr/>
      </vt:variant>
      <vt:variant>
        <vt:lpwstr>_ENREF_27</vt:lpwstr>
      </vt:variant>
      <vt:variant>
        <vt:i4>4390923</vt:i4>
      </vt:variant>
      <vt:variant>
        <vt:i4>69</vt:i4>
      </vt:variant>
      <vt:variant>
        <vt:i4>0</vt:i4>
      </vt:variant>
      <vt:variant>
        <vt:i4>5</vt:i4>
      </vt:variant>
      <vt:variant>
        <vt:lpwstr/>
      </vt:variant>
      <vt:variant>
        <vt:lpwstr>_ENREF_26</vt:lpwstr>
      </vt:variant>
      <vt:variant>
        <vt:i4>4390923</vt:i4>
      </vt:variant>
      <vt:variant>
        <vt:i4>66</vt:i4>
      </vt:variant>
      <vt:variant>
        <vt:i4>0</vt:i4>
      </vt:variant>
      <vt:variant>
        <vt:i4>5</vt:i4>
      </vt:variant>
      <vt:variant>
        <vt:lpwstr/>
      </vt:variant>
      <vt:variant>
        <vt:lpwstr>_ENREF_25</vt:lpwstr>
      </vt:variant>
      <vt:variant>
        <vt:i4>4390923</vt:i4>
      </vt:variant>
      <vt:variant>
        <vt:i4>60</vt:i4>
      </vt:variant>
      <vt:variant>
        <vt:i4>0</vt:i4>
      </vt:variant>
      <vt:variant>
        <vt:i4>5</vt:i4>
      </vt:variant>
      <vt:variant>
        <vt:lpwstr/>
      </vt:variant>
      <vt:variant>
        <vt:lpwstr>_ENREF_22</vt:lpwstr>
      </vt:variant>
      <vt:variant>
        <vt:i4>4194315</vt:i4>
      </vt:variant>
      <vt:variant>
        <vt:i4>52</vt:i4>
      </vt:variant>
      <vt:variant>
        <vt:i4>0</vt:i4>
      </vt:variant>
      <vt:variant>
        <vt:i4>5</vt:i4>
      </vt:variant>
      <vt:variant>
        <vt:lpwstr/>
      </vt:variant>
      <vt:variant>
        <vt:lpwstr>_ENREF_19</vt:lpwstr>
      </vt:variant>
      <vt:variant>
        <vt:i4>4194315</vt:i4>
      </vt:variant>
      <vt:variant>
        <vt:i4>49</vt:i4>
      </vt:variant>
      <vt:variant>
        <vt:i4>0</vt:i4>
      </vt:variant>
      <vt:variant>
        <vt:i4>5</vt:i4>
      </vt:variant>
      <vt:variant>
        <vt:lpwstr/>
      </vt:variant>
      <vt:variant>
        <vt:lpwstr>_ENREF_12</vt:lpwstr>
      </vt:variant>
      <vt:variant>
        <vt:i4>4194315</vt:i4>
      </vt:variant>
      <vt:variant>
        <vt:i4>41</vt:i4>
      </vt:variant>
      <vt:variant>
        <vt:i4>0</vt:i4>
      </vt:variant>
      <vt:variant>
        <vt:i4>5</vt:i4>
      </vt:variant>
      <vt:variant>
        <vt:lpwstr/>
      </vt:variant>
      <vt:variant>
        <vt:lpwstr>_ENREF_18</vt:lpwstr>
      </vt:variant>
      <vt:variant>
        <vt:i4>4194315</vt:i4>
      </vt:variant>
      <vt:variant>
        <vt:i4>38</vt:i4>
      </vt:variant>
      <vt:variant>
        <vt:i4>0</vt:i4>
      </vt:variant>
      <vt:variant>
        <vt:i4>5</vt:i4>
      </vt:variant>
      <vt:variant>
        <vt:lpwstr/>
      </vt:variant>
      <vt:variant>
        <vt:lpwstr>_ENREF_17</vt:lpwstr>
      </vt:variant>
      <vt:variant>
        <vt:i4>4587531</vt:i4>
      </vt:variant>
      <vt:variant>
        <vt:i4>35</vt:i4>
      </vt:variant>
      <vt:variant>
        <vt:i4>0</vt:i4>
      </vt:variant>
      <vt:variant>
        <vt:i4>5</vt:i4>
      </vt:variant>
      <vt:variant>
        <vt:lpwstr/>
      </vt:variant>
      <vt:variant>
        <vt:lpwstr>_ENREF_7</vt:lpwstr>
      </vt:variant>
      <vt:variant>
        <vt:i4>4194315</vt:i4>
      </vt:variant>
      <vt:variant>
        <vt:i4>27</vt:i4>
      </vt:variant>
      <vt:variant>
        <vt:i4>0</vt:i4>
      </vt:variant>
      <vt:variant>
        <vt:i4>5</vt:i4>
      </vt:variant>
      <vt:variant>
        <vt:lpwstr/>
      </vt:variant>
      <vt:variant>
        <vt:lpwstr>_ENREF_10</vt:lpwstr>
      </vt:variant>
      <vt:variant>
        <vt:i4>4718603</vt:i4>
      </vt:variant>
      <vt:variant>
        <vt:i4>19</vt:i4>
      </vt:variant>
      <vt:variant>
        <vt:i4>0</vt:i4>
      </vt:variant>
      <vt:variant>
        <vt:i4>5</vt:i4>
      </vt:variant>
      <vt:variant>
        <vt:lpwstr/>
      </vt:variant>
      <vt:variant>
        <vt:lpwstr>_ENREF_9</vt:lpwstr>
      </vt:variant>
      <vt:variant>
        <vt:i4>4784139</vt:i4>
      </vt:variant>
      <vt:variant>
        <vt:i4>16</vt:i4>
      </vt:variant>
      <vt:variant>
        <vt:i4>0</vt:i4>
      </vt:variant>
      <vt:variant>
        <vt:i4>5</vt:i4>
      </vt:variant>
      <vt:variant>
        <vt:lpwstr/>
      </vt:variant>
      <vt:variant>
        <vt:lpwstr>_ENREF_8</vt:lpwstr>
      </vt:variant>
      <vt:variant>
        <vt:i4>4587531</vt:i4>
      </vt:variant>
      <vt:variant>
        <vt:i4>10</vt:i4>
      </vt:variant>
      <vt:variant>
        <vt:i4>0</vt:i4>
      </vt:variant>
      <vt:variant>
        <vt:i4>5</vt:i4>
      </vt:variant>
      <vt:variant>
        <vt:lpwstr/>
      </vt:variant>
      <vt:variant>
        <vt:lpwstr>_ENREF_7</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Lebel</dc:creator>
  <cp:lastModifiedBy>Alexandre Lebel</cp:lastModifiedBy>
  <cp:revision>2</cp:revision>
  <cp:lastPrinted>2015-08-31T22:28:00Z</cp:lastPrinted>
  <dcterms:created xsi:type="dcterms:W3CDTF">2017-01-13T21:58:00Z</dcterms:created>
  <dcterms:modified xsi:type="dcterms:W3CDTF">2017-01-13T21:58:00Z</dcterms:modified>
</cp:coreProperties>
</file>