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D4" w:rsidRPr="003952B3" w:rsidRDefault="00B403D4" w:rsidP="00B403D4">
      <w:pPr>
        <w:spacing w:line="360" w:lineRule="auto"/>
        <w:jc w:val="center"/>
        <w:rPr>
          <w:rFonts w:ascii="Arial" w:hAnsi="Arial"/>
          <w:b/>
          <w:lang w:val="en-GB"/>
        </w:rPr>
      </w:pPr>
      <w:r w:rsidRPr="003952B3">
        <w:rPr>
          <w:rFonts w:ascii="Arial" w:hAnsi="Arial" w:cs="Arial"/>
          <w:b/>
          <w:lang w:val="en-GB"/>
        </w:rPr>
        <w:t xml:space="preserve">GC/MS and Proteomics to unravel the painting history of the </w:t>
      </w:r>
      <w:r>
        <w:rPr>
          <w:rFonts w:ascii="Arial" w:hAnsi="Arial" w:cs="Arial"/>
          <w:b/>
          <w:lang w:val="en-GB"/>
        </w:rPr>
        <w:t>lost</w:t>
      </w:r>
      <w:r w:rsidRPr="003952B3">
        <w:rPr>
          <w:rFonts w:ascii="Arial" w:hAnsi="Arial" w:cs="Arial"/>
          <w:b/>
          <w:lang w:val="en-GB"/>
        </w:rPr>
        <w:t xml:space="preserve"> Giant </w:t>
      </w:r>
      <w:proofErr w:type="spellStart"/>
      <w:r w:rsidRPr="003952B3">
        <w:rPr>
          <w:rFonts w:ascii="Arial" w:hAnsi="Arial" w:cs="Arial"/>
          <w:b/>
          <w:lang w:val="en-GB"/>
        </w:rPr>
        <w:t>Buddhas</w:t>
      </w:r>
      <w:proofErr w:type="spellEnd"/>
      <w:r w:rsidRPr="003952B3">
        <w:rPr>
          <w:rFonts w:ascii="Arial" w:hAnsi="Arial" w:cs="Arial"/>
          <w:b/>
          <w:lang w:val="en-GB"/>
        </w:rPr>
        <w:t xml:space="preserve"> of </w:t>
      </w:r>
      <w:proofErr w:type="spellStart"/>
      <w:r w:rsidRPr="003952B3">
        <w:rPr>
          <w:rFonts w:ascii="Arial" w:hAnsi="Arial" w:cs="Arial"/>
          <w:b/>
          <w:lang w:val="en-GB"/>
        </w:rPr>
        <w:t>Bāmiyān</w:t>
      </w:r>
      <w:proofErr w:type="spellEnd"/>
      <w:r w:rsidRPr="003952B3">
        <w:rPr>
          <w:rFonts w:ascii="Arial" w:hAnsi="Arial" w:cs="Arial"/>
          <w:b/>
          <w:lang w:val="en-GB"/>
        </w:rPr>
        <w:t xml:space="preserve"> (Afghanistan)</w:t>
      </w:r>
    </w:p>
    <w:p w:rsidR="00B403D4" w:rsidRPr="00C71203" w:rsidRDefault="00B403D4" w:rsidP="00B403D4">
      <w:pPr>
        <w:spacing w:line="360" w:lineRule="auto"/>
        <w:jc w:val="center"/>
        <w:rPr>
          <w:rFonts w:ascii="Arial" w:hAnsi="Arial"/>
          <w:vertAlign w:val="superscript"/>
        </w:rPr>
      </w:pPr>
      <w:r w:rsidRPr="00C71203">
        <w:rPr>
          <w:rFonts w:ascii="Arial" w:hAnsi="Arial"/>
        </w:rPr>
        <w:t xml:space="preserve">Anna </w:t>
      </w:r>
      <w:proofErr w:type="spellStart"/>
      <w:r w:rsidRPr="00C71203">
        <w:rPr>
          <w:rFonts w:ascii="Arial" w:hAnsi="Arial"/>
        </w:rPr>
        <w:t>Lluveras</w:t>
      </w:r>
      <w:proofErr w:type="spellEnd"/>
      <w:r w:rsidRPr="00C71203">
        <w:rPr>
          <w:rFonts w:ascii="Arial" w:hAnsi="Arial"/>
        </w:rPr>
        <w:t>-Tenorio, Roberto Vinciguerra</w:t>
      </w:r>
      <w:bookmarkStart w:id="0" w:name="_GoBack"/>
      <w:bookmarkEnd w:id="0"/>
      <w:r w:rsidRPr="00C71203">
        <w:rPr>
          <w:rFonts w:ascii="Arial" w:hAnsi="Arial"/>
        </w:rPr>
        <w:t xml:space="preserve">, Eugenio Galano, Catharina </w:t>
      </w:r>
      <w:proofErr w:type="spellStart"/>
      <w:r w:rsidRPr="00C71203">
        <w:rPr>
          <w:rFonts w:ascii="Arial" w:hAnsi="Arial"/>
        </w:rPr>
        <w:t>Blaensdorf</w:t>
      </w:r>
      <w:proofErr w:type="spellEnd"/>
      <w:r w:rsidRPr="00C71203">
        <w:rPr>
          <w:rFonts w:ascii="Arial" w:hAnsi="Arial"/>
        </w:rPr>
        <w:t xml:space="preserve">, Erwin </w:t>
      </w:r>
      <w:proofErr w:type="spellStart"/>
      <w:r w:rsidRPr="00C71203">
        <w:rPr>
          <w:rFonts w:ascii="Arial" w:hAnsi="Arial"/>
        </w:rPr>
        <w:t>Emmerling</w:t>
      </w:r>
      <w:proofErr w:type="spellEnd"/>
      <w:r w:rsidRPr="00C71203">
        <w:rPr>
          <w:rFonts w:ascii="Arial" w:hAnsi="Arial"/>
        </w:rPr>
        <w:t xml:space="preserve">, Maria Perla Colombini, Leila </w:t>
      </w:r>
      <w:proofErr w:type="spellStart"/>
      <w:r w:rsidRPr="00C71203">
        <w:rPr>
          <w:rFonts w:ascii="Arial" w:hAnsi="Arial"/>
        </w:rPr>
        <w:t>Birolo</w:t>
      </w:r>
      <w:proofErr w:type="spellEnd"/>
      <w:r w:rsidRPr="00C71203">
        <w:rPr>
          <w:rFonts w:ascii="Arial" w:hAnsi="Arial"/>
        </w:rPr>
        <w:t>, Ilaria Bonaduce</w:t>
      </w:r>
    </w:p>
    <w:p w:rsidR="00B403D4" w:rsidRPr="00B403D4" w:rsidRDefault="00B403D4" w:rsidP="007C3A15">
      <w:pPr>
        <w:rPr>
          <w:b/>
          <w:sz w:val="24"/>
          <w:szCs w:val="24"/>
        </w:rPr>
      </w:pPr>
    </w:p>
    <w:p w:rsidR="00B403D4" w:rsidRPr="00B403D4" w:rsidRDefault="00B403D4" w:rsidP="007C3A15">
      <w:pPr>
        <w:rPr>
          <w:b/>
          <w:sz w:val="24"/>
          <w:szCs w:val="24"/>
        </w:rPr>
      </w:pPr>
    </w:p>
    <w:p w:rsidR="007C3A15" w:rsidRPr="00CC1EE9" w:rsidRDefault="00207757" w:rsidP="007C3A1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S4 </w:t>
      </w:r>
      <w:r w:rsidR="007C3A15" w:rsidRPr="00CC1EE9">
        <w:rPr>
          <w:b/>
          <w:sz w:val="24"/>
          <w:szCs w:val="24"/>
          <w:lang w:val="en-US"/>
        </w:rPr>
        <w:t xml:space="preserve">GC/MS </w:t>
      </w:r>
      <w:r w:rsidR="00B403D4">
        <w:rPr>
          <w:b/>
          <w:sz w:val="24"/>
          <w:szCs w:val="24"/>
          <w:lang w:val="en-US"/>
        </w:rPr>
        <w:t>a</w:t>
      </w:r>
      <w:r w:rsidR="00B403D4" w:rsidRPr="00CC1EE9">
        <w:rPr>
          <w:b/>
          <w:sz w:val="24"/>
          <w:szCs w:val="24"/>
          <w:lang w:val="en-US"/>
        </w:rPr>
        <w:t>mino</w:t>
      </w:r>
      <w:r w:rsidR="00B403D4">
        <w:rPr>
          <w:b/>
          <w:sz w:val="24"/>
          <w:szCs w:val="24"/>
          <w:lang w:val="en-US"/>
        </w:rPr>
        <w:t xml:space="preserve"> </w:t>
      </w:r>
      <w:r w:rsidR="007C3A15" w:rsidRPr="00CC1EE9">
        <w:rPr>
          <w:b/>
          <w:sz w:val="24"/>
          <w:szCs w:val="24"/>
          <w:lang w:val="en-US"/>
        </w:rPr>
        <w:t>acidic fraction</w:t>
      </w:r>
    </w:p>
    <w:p w:rsidR="007C3A15" w:rsidRDefault="007C3A15" w:rsidP="007C3A15">
      <w:pPr>
        <w:rPr>
          <w:lang w:val="en-US"/>
        </w:rPr>
      </w:pPr>
    </w:p>
    <w:p w:rsidR="007C3A15" w:rsidRDefault="007C3A15" w:rsidP="007C3A15">
      <w:pPr>
        <w:jc w:val="both"/>
        <w:rPr>
          <w:lang w:val="en-US"/>
        </w:rPr>
      </w:pPr>
      <w:r w:rsidRPr="00C07287">
        <w:rPr>
          <w:lang w:val="en-GB"/>
        </w:rPr>
        <w:t>In Table S</w:t>
      </w:r>
      <w:r w:rsidR="00865418">
        <w:rPr>
          <w:lang w:val="en-GB"/>
        </w:rPr>
        <w:t>4</w:t>
      </w:r>
      <w:r w:rsidRPr="00C07287">
        <w:rPr>
          <w:lang w:val="en-GB"/>
        </w:rPr>
        <w:t xml:space="preserve"> the relative amino acid percentage of the samples with an amino acid content above the detection limit is reported together with the amount of proteinaceous material found. Samples 235-6, 235-1, 497-1, 22-5,22-2, 22-1, </w:t>
      </w:r>
      <w:r w:rsidRPr="00C07287">
        <w:rPr>
          <w:lang w:val="en-US"/>
        </w:rPr>
        <w:t xml:space="preserve">172a-4 showed an </w:t>
      </w:r>
      <w:proofErr w:type="spellStart"/>
      <w:r w:rsidRPr="00C07287">
        <w:rPr>
          <w:lang w:val="en-US"/>
        </w:rPr>
        <w:t>amminoacidic</w:t>
      </w:r>
      <w:proofErr w:type="spellEnd"/>
      <w:r w:rsidRPr="00C07287">
        <w:rPr>
          <w:lang w:val="en-US"/>
        </w:rPr>
        <w:t xml:space="preserve"> content below the detection limit and were considered blanks of the procedure.</w:t>
      </w:r>
    </w:p>
    <w:p w:rsidR="00C07287" w:rsidRPr="00C07287" w:rsidRDefault="00C07287" w:rsidP="007C3A15">
      <w:pPr>
        <w:jc w:val="both"/>
        <w:rPr>
          <w:lang w:val="en-US"/>
        </w:rPr>
      </w:pPr>
    </w:p>
    <w:p w:rsidR="007C3A15" w:rsidRPr="004B1CC1" w:rsidRDefault="007C3A15" w:rsidP="007C3A15">
      <w:pPr>
        <w:rPr>
          <w:b/>
          <w:lang w:val="en-US"/>
        </w:rPr>
      </w:pPr>
      <w:r w:rsidRPr="004B1CC1">
        <w:rPr>
          <w:b/>
          <w:lang w:val="en-US"/>
        </w:rPr>
        <w:t>Table S</w:t>
      </w:r>
      <w:r w:rsidR="00C07287" w:rsidRPr="004B1CC1">
        <w:rPr>
          <w:b/>
          <w:lang w:val="en-US"/>
        </w:rPr>
        <w:t>4</w:t>
      </w:r>
      <w:r w:rsidRPr="004B1CC1">
        <w:rPr>
          <w:b/>
          <w:lang w:val="en-US"/>
        </w:rPr>
        <w:t xml:space="preserve">. </w:t>
      </w:r>
      <w:proofErr w:type="spellStart"/>
      <w:r w:rsidRPr="004B1CC1">
        <w:rPr>
          <w:b/>
          <w:lang w:val="en-US"/>
        </w:rPr>
        <w:t>Ammino</w:t>
      </w:r>
      <w:proofErr w:type="spellEnd"/>
      <w:r w:rsidRPr="004B1CC1">
        <w:rPr>
          <w:b/>
          <w:lang w:val="en-US"/>
        </w:rPr>
        <w:t xml:space="preserve"> acid relative percentage content of the sub-samples </w:t>
      </w:r>
      <w:proofErr w:type="spellStart"/>
      <w:r w:rsidRPr="004B1CC1">
        <w:rPr>
          <w:b/>
          <w:lang w:val="en-US"/>
        </w:rPr>
        <w:t>analysed</w:t>
      </w:r>
      <w:proofErr w:type="spellEnd"/>
      <w:r w:rsidRPr="004B1CC1">
        <w:rPr>
          <w:b/>
          <w:lang w:val="en-US"/>
        </w:rPr>
        <w:t xml:space="preserve"> and amount of proteinaceous material found 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858"/>
        <w:gridCol w:w="449"/>
        <w:gridCol w:w="812"/>
        <w:gridCol w:w="775"/>
        <w:gridCol w:w="761"/>
        <w:gridCol w:w="761"/>
        <w:gridCol w:w="761"/>
        <w:gridCol w:w="775"/>
        <w:gridCol w:w="806"/>
        <w:gridCol w:w="836"/>
        <w:gridCol w:w="836"/>
        <w:gridCol w:w="558"/>
        <w:gridCol w:w="866"/>
      </w:tblGrid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Sample</w:t>
            </w:r>
          </w:p>
        </w:tc>
        <w:tc>
          <w:tcPr>
            <w:tcW w:w="228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F032DD">
                  <w:rPr>
                    <w:rFonts w:ascii="Arial" w:hAnsi="Arial" w:cs="Arial"/>
                    <w:b/>
                    <w:iCs/>
                    <w:sz w:val="18"/>
                    <w:szCs w:val="18"/>
                  </w:rPr>
                  <w:t>Ala</w:t>
                </w:r>
              </w:smartTag>
            </w:smartTag>
          </w:p>
        </w:tc>
        <w:tc>
          <w:tcPr>
            <w:tcW w:w="412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393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Val</w:t>
            </w:r>
          </w:p>
        </w:tc>
        <w:tc>
          <w:tcPr>
            <w:tcW w:w="386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Leu</w:t>
            </w:r>
          </w:p>
        </w:tc>
        <w:tc>
          <w:tcPr>
            <w:tcW w:w="386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Ile</w:t>
            </w:r>
          </w:p>
        </w:tc>
        <w:tc>
          <w:tcPr>
            <w:tcW w:w="386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Ser</w:t>
            </w:r>
          </w:p>
        </w:tc>
        <w:tc>
          <w:tcPr>
            <w:tcW w:w="393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Pro</w:t>
            </w:r>
          </w:p>
        </w:tc>
        <w:tc>
          <w:tcPr>
            <w:tcW w:w="409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424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Asp</w:t>
            </w:r>
          </w:p>
        </w:tc>
        <w:tc>
          <w:tcPr>
            <w:tcW w:w="424" w:type="pct"/>
            <w:tcBorders>
              <w:top w:val="single" w:sz="12" w:space="0" w:color="000000"/>
              <w:bottom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Glu</w:t>
            </w:r>
          </w:p>
        </w:tc>
        <w:tc>
          <w:tcPr>
            <w:tcW w:w="283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Hyp</w:t>
            </w:r>
            <w:proofErr w:type="spellEnd"/>
          </w:p>
        </w:tc>
        <w:tc>
          <w:tcPr>
            <w:tcW w:w="439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protein</w:t>
            </w:r>
            <w:proofErr w:type="spellEnd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content</w:t>
            </w:r>
            <w:proofErr w:type="spellEnd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/</w:t>
            </w:r>
            <w:proofErr w:type="spellStart"/>
            <w:r w:rsidRPr="00F032DD">
              <w:rPr>
                <w:rFonts w:ascii="Arial" w:hAnsi="Arial" w:cs="Arial"/>
                <w:b/>
                <w:iCs/>
                <w:sz w:val="18"/>
                <w:szCs w:val="18"/>
              </w:rPr>
              <w:t>μg</w:t>
            </w:r>
            <w:proofErr w:type="spellEnd"/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277</w:t>
            </w:r>
          </w:p>
        </w:tc>
        <w:tc>
          <w:tcPr>
            <w:tcW w:w="228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09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28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188-4</w:t>
            </w:r>
          </w:p>
        </w:tc>
        <w:tc>
          <w:tcPr>
            <w:tcW w:w="228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09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28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188-3</w:t>
            </w:r>
          </w:p>
        </w:tc>
        <w:tc>
          <w:tcPr>
            <w:tcW w:w="228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409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28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235-5</w:t>
            </w:r>
          </w:p>
        </w:tc>
        <w:tc>
          <w:tcPr>
            <w:tcW w:w="228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412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393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409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424" w:type="pct"/>
            <w:tcBorders>
              <w:top w:val="single" w:sz="6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28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235-2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214-7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7.3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8.2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4.1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6.5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12.2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214-5-6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6.4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7.2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11.6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5.0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214-3-4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3.6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7.1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7.1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497-2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5.4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8.0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12.2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14.9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8.0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7.7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10.8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22.4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497-3-2-1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7.2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10.5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11.9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9.7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5.8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12.1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25.5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20"/>
                <w:szCs w:val="20"/>
              </w:rPr>
            </w:pPr>
            <w:r w:rsidRPr="00CC1EE9">
              <w:rPr>
                <w:rFonts w:cs="Arial"/>
                <w:sz w:val="20"/>
                <w:szCs w:val="20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CC1EE9" w:rsidRDefault="007C3A15" w:rsidP="007C3A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14-7-6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5.3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7.5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8.1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14-5-4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8.8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4.4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5.5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7.1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6.7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F032DD" w:rsidRDefault="007C3A15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0.1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4.9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3.6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7C3A15" w:rsidRDefault="007C3A15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7C3A15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Default="007C3A15" w:rsidP="004D5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246 </w:t>
            </w:r>
            <w:r w:rsidR="004D58AC">
              <w:rPr>
                <w:rFonts w:ascii="Arial" w:hAnsi="Arial" w:cs="Arial"/>
                <w:b/>
                <w:sz w:val="18"/>
                <w:szCs w:val="18"/>
              </w:rPr>
              <w:t>bulk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4.2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3.3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5.7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8.1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5.1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5.5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11.8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4.9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14.2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37.1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116E24" w:rsidRDefault="007C3A15" w:rsidP="007C3A15">
            <w:pPr>
              <w:jc w:val="center"/>
            </w:pPr>
            <w:r w:rsidRPr="00116E24"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3A15" w:rsidRPr="007407B4" w:rsidRDefault="007C3A15" w:rsidP="007C3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6.7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246-3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3.7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2.3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9.8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4.9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4.2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10.7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3.3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14.1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40.7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4E00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246-2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5.5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9.5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5.3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5.0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13.5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5.6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13.1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30.0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4E00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4.7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97-7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97-6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97-5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97-3-4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97-2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5.2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4D58AC" w:rsidRDefault="004D58AC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14.9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1.1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1.6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11.2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</w:tcPr>
          <w:p w:rsidR="004D58AC" w:rsidRDefault="004D58AC" w:rsidP="007C3A1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</w:tcPr>
          <w:p w:rsidR="004D58AC" w:rsidRDefault="004D58AC" w:rsidP="007C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A94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2400-bulk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7.0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6.1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8.4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5.4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4.8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8.5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21.5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27.5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0.4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7C3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10.2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A94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9.8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3.5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10.1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21.8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26.6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0.7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7C3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6.4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7.2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11.8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12.0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7.2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8.3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3.5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13.0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23.3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0.5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4E00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9.6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A94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2400-1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14.1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6.1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9.7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4.2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4.1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10.6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15.2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27.9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4E007D">
            <w:pPr>
              <w:jc w:val="center"/>
            </w:pPr>
            <w:r w:rsidRPr="00116E24">
              <w:t>0.5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4E00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A944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172a-bulk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11.7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7.8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6.5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3.8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11.7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11.5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6.0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12.4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23.3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7C3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2.0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172a-2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5.3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5.7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7.9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11.0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6.7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9.9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8.9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4.7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12.7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27.4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7C3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2.5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172a-3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11.3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7.7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6.3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10.1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4.6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10.9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8.0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2.9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10.2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116E24" w:rsidRDefault="004D58AC" w:rsidP="007C3A15">
            <w:pPr>
              <w:jc w:val="center"/>
            </w:pPr>
            <w:r w:rsidRPr="00116E24">
              <w:t>27.5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7C3A15">
            <w:pPr>
              <w:jc w:val="center"/>
            </w:pPr>
            <w:r w:rsidRPr="00116E24">
              <w:t>0.5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7407B4" w:rsidRDefault="004D58AC" w:rsidP="007C3A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07B4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172</w:t>
            </w:r>
            <w:r>
              <w:rPr>
                <w:rFonts w:ascii="Arial" w:hAnsi="Arial" w:cs="Arial"/>
                <w:b/>
                <w:sz w:val="18"/>
                <w:szCs w:val="18"/>
              </w:rPr>
              <w:t>-4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96-6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168-3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4D58AC" w:rsidRPr="00F032DD" w:rsidTr="004D58AC">
        <w:trPr>
          <w:trHeight w:val="290"/>
          <w:jc w:val="center"/>
        </w:trPr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2DD">
              <w:rPr>
                <w:rFonts w:ascii="Arial" w:hAnsi="Arial" w:cs="Arial"/>
                <w:b/>
                <w:sz w:val="18"/>
                <w:szCs w:val="18"/>
              </w:rPr>
              <w:t>168-2</w:t>
            </w:r>
          </w:p>
        </w:tc>
        <w:tc>
          <w:tcPr>
            <w:tcW w:w="228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28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2D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43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D58AC" w:rsidRPr="00F032DD" w:rsidRDefault="004D58AC" w:rsidP="007C3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</w:tbl>
    <w:p w:rsidR="007C3A15" w:rsidRDefault="007C3A15" w:rsidP="007C3A15">
      <w:pPr>
        <w:rPr>
          <w:lang w:val="en-US"/>
        </w:rPr>
      </w:pPr>
    </w:p>
    <w:p w:rsidR="007C3A15" w:rsidRDefault="007C3A15" w:rsidP="007C3A15">
      <w:pPr>
        <w:rPr>
          <w:lang w:val="en-US"/>
        </w:rPr>
      </w:pPr>
    </w:p>
    <w:p w:rsidR="007C3A15" w:rsidRDefault="007C3A15" w:rsidP="007C3A15">
      <w:pPr>
        <w:rPr>
          <w:lang w:val="en-US"/>
        </w:rPr>
      </w:pPr>
    </w:p>
    <w:p w:rsidR="007C3A15" w:rsidRDefault="007C3A15" w:rsidP="007C3A15">
      <w:pPr>
        <w:rPr>
          <w:lang w:val="en-GB"/>
        </w:rPr>
      </w:pPr>
    </w:p>
    <w:p w:rsidR="007C3A15" w:rsidRDefault="007C3A15" w:rsidP="007C3A15">
      <w:pPr>
        <w:rPr>
          <w:lang w:val="en-GB"/>
        </w:rPr>
      </w:pPr>
    </w:p>
    <w:p w:rsidR="007C3A15" w:rsidRDefault="007C3A15" w:rsidP="007C3A15">
      <w:pPr>
        <w:rPr>
          <w:lang w:val="en-GB"/>
        </w:rPr>
      </w:pPr>
    </w:p>
    <w:p w:rsidR="00865418" w:rsidRDefault="00865418" w:rsidP="00865418">
      <w:pPr>
        <w:spacing w:line="360" w:lineRule="auto"/>
        <w:jc w:val="both"/>
        <w:rPr>
          <w:lang w:val="en-GB" w:eastAsia="es-ES"/>
        </w:rPr>
      </w:pPr>
    </w:p>
    <w:p w:rsidR="00865418" w:rsidRDefault="00865418">
      <w:pPr>
        <w:rPr>
          <w:lang w:val="en-GB" w:eastAsia="es-ES"/>
        </w:rPr>
      </w:pPr>
    </w:p>
    <w:sectPr w:rsidR="00865418" w:rsidSect="007C3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C9" w:rsidRDefault="00A008C9" w:rsidP="007C3A15">
      <w:pPr>
        <w:spacing w:after="0" w:line="240" w:lineRule="auto"/>
      </w:pPr>
      <w:r>
        <w:separator/>
      </w:r>
    </w:p>
  </w:endnote>
  <w:endnote w:type="continuationSeparator" w:id="0">
    <w:p w:rsidR="00A008C9" w:rsidRDefault="00A008C9" w:rsidP="007C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C9" w:rsidRDefault="00A008C9" w:rsidP="007C3A15">
      <w:pPr>
        <w:spacing w:after="0" w:line="240" w:lineRule="auto"/>
      </w:pPr>
      <w:r>
        <w:separator/>
      </w:r>
    </w:p>
  </w:footnote>
  <w:footnote w:type="continuationSeparator" w:id="0">
    <w:p w:rsidR="00A008C9" w:rsidRDefault="00A008C9" w:rsidP="007C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8"/>
    <w:rsid w:val="000B2B29"/>
    <w:rsid w:val="001A7928"/>
    <w:rsid w:val="001D0FD7"/>
    <w:rsid w:val="00207757"/>
    <w:rsid w:val="00294CDC"/>
    <w:rsid w:val="003A4D30"/>
    <w:rsid w:val="004441C1"/>
    <w:rsid w:val="004B1CC1"/>
    <w:rsid w:val="004B4A74"/>
    <w:rsid w:val="004D58AC"/>
    <w:rsid w:val="004E007D"/>
    <w:rsid w:val="004F65AC"/>
    <w:rsid w:val="00566049"/>
    <w:rsid w:val="0057160D"/>
    <w:rsid w:val="005D4D12"/>
    <w:rsid w:val="0068500B"/>
    <w:rsid w:val="00704E3E"/>
    <w:rsid w:val="007C222B"/>
    <w:rsid w:val="007C3A15"/>
    <w:rsid w:val="007E0CB5"/>
    <w:rsid w:val="00865418"/>
    <w:rsid w:val="008912E2"/>
    <w:rsid w:val="008A7C16"/>
    <w:rsid w:val="0097388D"/>
    <w:rsid w:val="009F1E72"/>
    <w:rsid w:val="00A008C9"/>
    <w:rsid w:val="00A05BB6"/>
    <w:rsid w:val="00A52C6E"/>
    <w:rsid w:val="00A944D1"/>
    <w:rsid w:val="00AA219F"/>
    <w:rsid w:val="00AE3043"/>
    <w:rsid w:val="00AE532C"/>
    <w:rsid w:val="00B23DDD"/>
    <w:rsid w:val="00B403D4"/>
    <w:rsid w:val="00B614F1"/>
    <w:rsid w:val="00BB5749"/>
    <w:rsid w:val="00BF419C"/>
    <w:rsid w:val="00C07287"/>
    <w:rsid w:val="00C85F8D"/>
    <w:rsid w:val="00C87ED0"/>
    <w:rsid w:val="00DA08D9"/>
    <w:rsid w:val="00DB205A"/>
    <w:rsid w:val="00DD6EFF"/>
    <w:rsid w:val="00F25E25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C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3A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C3A1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7C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C3A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C3A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A15"/>
    <w:rPr>
      <w:rFonts w:ascii="Tahoma" w:hAnsi="Tahoma" w:cs="Tahoma"/>
      <w:sz w:val="16"/>
      <w:szCs w:val="16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07287"/>
    <w:rPr>
      <w:rFonts w:ascii="Courier New" w:eastAsia="Times New Roman" w:hAnsi="Courier New" w:cs="Courier New"/>
      <w:sz w:val="20"/>
      <w:szCs w:val="20"/>
    </w:rPr>
  </w:style>
  <w:style w:type="character" w:customStyle="1" w:styleId="identical">
    <w:name w:val="identical"/>
    <w:basedOn w:val="Carpredefinitoparagrafo"/>
    <w:rsid w:val="00865418"/>
  </w:style>
  <w:style w:type="character" w:customStyle="1" w:styleId="gap">
    <w:name w:val="gap"/>
    <w:basedOn w:val="Carpredefinitoparagrafo"/>
    <w:rsid w:val="00865418"/>
  </w:style>
  <w:style w:type="character" w:customStyle="1" w:styleId="similar">
    <w:name w:val="similar"/>
    <w:basedOn w:val="Carpredefinitoparagrafo"/>
    <w:rsid w:val="00865418"/>
  </w:style>
  <w:style w:type="character" w:customStyle="1" w:styleId="lesssimilar">
    <w:name w:val="lesssimilar"/>
    <w:basedOn w:val="Carpredefinitoparagrafo"/>
    <w:rsid w:val="00865418"/>
  </w:style>
  <w:style w:type="table" w:customStyle="1" w:styleId="Sfondochiaro1">
    <w:name w:val="Sfondo chiaro1"/>
    <w:basedOn w:val="Tabellanormale"/>
    <w:uiPriority w:val="60"/>
    <w:rsid w:val="00865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86541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65418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4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4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4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7C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3A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C3A1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7C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C3A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7C3A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A15"/>
    <w:rPr>
      <w:rFonts w:ascii="Tahoma" w:hAnsi="Tahoma" w:cs="Tahoma"/>
      <w:sz w:val="16"/>
      <w:szCs w:val="16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07287"/>
    <w:rPr>
      <w:rFonts w:ascii="Courier New" w:eastAsia="Times New Roman" w:hAnsi="Courier New" w:cs="Courier New"/>
      <w:sz w:val="20"/>
      <w:szCs w:val="20"/>
    </w:rPr>
  </w:style>
  <w:style w:type="character" w:customStyle="1" w:styleId="identical">
    <w:name w:val="identical"/>
    <w:basedOn w:val="Carpredefinitoparagrafo"/>
    <w:rsid w:val="00865418"/>
  </w:style>
  <w:style w:type="character" w:customStyle="1" w:styleId="gap">
    <w:name w:val="gap"/>
    <w:basedOn w:val="Carpredefinitoparagrafo"/>
    <w:rsid w:val="00865418"/>
  </w:style>
  <w:style w:type="character" w:customStyle="1" w:styleId="similar">
    <w:name w:val="similar"/>
    <w:basedOn w:val="Carpredefinitoparagrafo"/>
    <w:rsid w:val="00865418"/>
  </w:style>
  <w:style w:type="character" w:customStyle="1" w:styleId="lesssimilar">
    <w:name w:val="lesssimilar"/>
    <w:basedOn w:val="Carpredefinitoparagrafo"/>
    <w:rsid w:val="00865418"/>
  </w:style>
  <w:style w:type="table" w:customStyle="1" w:styleId="Sfondochiaro1">
    <w:name w:val="Sfondo chiaro1"/>
    <w:basedOn w:val="Tabellanormale"/>
    <w:uiPriority w:val="60"/>
    <w:rsid w:val="00865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86541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65418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4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4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pc</cp:lastModifiedBy>
  <cp:revision>3</cp:revision>
  <cp:lastPrinted>2016-07-26T12:48:00Z</cp:lastPrinted>
  <dcterms:created xsi:type="dcterms:W3CDTF">2017-01-18T10:19:00Z</dcterms:created>
  <dcterms:modified xsi:type="dcterms:W3CDTF">2017-01-25T12:14:00Z</dcterms:modified>
</cp:coreProperties>
</file>