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39" w:rsidRDefault="009443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TECHNICAL APPENDIX</w:t>
      </w:r>
    </w:p>
    <w:p w:rsidR="0047756D" w:rsidRPr="00C2756E" w:rsidRDefault="00F01C5A">
      <w:pPr>
        <w:rPr>
          <w:rFonts w:ascii="Times New Roman" w:hAnsi="Times New Roman" w:cs="Times New Roman"/>
          <w:b/>
          <w:sz w:val="24"/>
          <w:szCs w:val="24"/>
        </w:rPr>
      </w:pPr>
      <w:r w:rsidRPr="00C2756E">
        <w:rPr>
          <w:rFonts w:ascii="Times New Roman" w:hAnsi="Times New Roman" w:cs="Times New Roman"/>
          <w:b/>
          <w:sz w:val="24"/>
          <w:szCs w:val="24"/>
        </w:rPr>
        <w:t>Statistical model for the c</w:t>
      </w:r>
      <w:r w:rsidR="008A5649" w:rsidRPr="00C2756E">
        <w:rPr>
          <w:rFonts w:ascii="Times New Roman" w:hAnsi="Times New Roman" w:cs="Times New Roman"/>
          <w:b/>
          <w:sz w:val="24"/>
          <w:szCs w:val="24"/>
        </w:rPr>
        <w:t>ost-effectiveness analysis</w:t>
      </w:r>
    </w:p>
    <w:p w:rsidR="008F47A8" w:rsidRPr="00C2756E" w:rsidRDefault="00207AFC" w:rsidP="00DA672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756E">
        <w:rPr>
          <w:rFonts w:ascii="Times New Roman" w:hAnsi="Times New Roman" w:cs="Times New Roman"/>
          <w:sz w:val="24"/>
          <w:szCs w:val="24"/>
        </w:rPr>
        <w:t>T</w:t>
      </w:r>
      <w:r w:rsidR="00E119A9" w:rsidRPr="00C2756E">
        <w:rPr>
          <w:rFonts w:ascii="Times New Roman" w:hAnsi="Times New Roman" w:cs="Times New Roman"/>
          <w:sz w:val="24"/>
          <w:szCs w:val="24"/>
        </w:rPr>
        <w:t>he</w:t>
      </w:r>
      <w:r w:rsidRPr="00C2756E">
        <w:rPr>
          <w:rFonts w:ascii="Times New Roman" w:hAnsi="Times New Roman" w:cs="Times New Roman"/>
          <w:sz w:val="24"/>
          <w:szCs w:val="24"/>
        </w:rPr>
        <w:t xml:space="preserve"> cost-effectiveness</w:t>
      </w:r>
      <w:r w:rsidR="00E119A9" w:rsidRPr="00C2756E">
        <w:rPr>
          <w:rFonts w:ascii="Times New Roman" w:hAnsi="Times New Roman" w:cs="Times New Roman"/>
          <w:sz w:val="24"/>
          <w:szCs w:val="24"/>
        </w:rPr>
        <w:t xml:space="preserve"> analysis was carried out </w:t>
      </w:r>
      <w:r w:rsidRPr="00C2756E">
        <w:rPr>
          <w:rFonts w:ascii="Times New Roman" w:hAnsi="Times New Roman" w:cs="Times New Roman"/>
          <w:sz w:val="24"/>
          <w:szCs w:val="24"/>
        </w:rPr>
        <w:t>with family as unit of analysis</w:t>
      </w:r>
      <w:r w:rsidR="00E119A9" w:rsidRPr="00C2756E">
        <w:rPr>
          <w:rFonts w:ascii="Times New Roman" w:hAnsi="Times New Roman" w:cs="Times New Roman"/>
          <w:sz w:val="24"/>
          <w:szCs w:val="24"/>
        </w:rPr>
        <w:t xml:space="preserve"> </w:t>
      </w:r>
      <w:r w:rsidRPr="00C2756E">
        <w:rPr>
          <w:rFonts w:ascii="Times New Roman" w:hAnsi="Times New Roman" w:cs="Times New Roman"/>
          <w:sz w:val="24"/>
          <w:szCs w:val="24"/>
        </w:rPr>
        <w:t xml:space="preserve">and, </w:t>
      </w:r>
      <w:r w:rsidR="00E119A9" w:rsidRPr="00C2756E">
        <w:rPr>
          <w:rFonts w:ascii="Times New Roman" w:hAnsi="Times New Roman" w:cs="Times New Roman"/>
          <w:sz w:val="24"/>
          <w:szCs w:val="24"/>
        </w:rPr>
        <w:t>as for the clinical analysis of the trial, the clustered nature of the trial design (i.e. randomisation w</w:t>
      </w:r>
      <w:r w:rsidR="000B3144" w:rsidRPr="00C2756E">
        <w:rPr>
          <w:rFonts w:ascii="Times New Roman" w:hAnsi="Times New Roman" w:cs="Times New Roman"/>
          <w:sz w:val="24"/>
          <w:szCs w:val="24"/>
        </w:rPr>
        <w:t>as at the Children Centre) needed</w:t>
      </w:r>
      <w:r w:rsidR="00E119A9" w:rsidRPr="00C2756E">
        <w:rPr>
          <w:rFonts w:ascii="Times New Roman" w:hAnsi="Times New Roman" w:cs="Times New Roman"/>
          <w:sz w:val="24"/>
          <w:szCs w:val="24"/>
        </w:rPr>
        <w:t xml:space="preserve"> to be accounted for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begin"/>
      </w:r>
      <w:r w:rsidR="00C2756E" w:rsidRPr="00C275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&lt;EndNote&gt;&lt;Cite&gt;&lt;Author&gt;Gomes&lt;/Author&gt;&lt;Year&gt;2012&lt;/Year&gt;&lt;RecNum&gt;5887&lt;/RecNum&gt;&lt;DisplayText&gt;(1)&lt;/DisplayText&gt;&lt;record&gt;&lt;rec-number&gt;5887&lt;/rec-number&gt;&lt;foreign-keys&gt;&lt;key app="EN" db-id="5r92asw0fzraznedr5u5te9bpt29dzx5r9ds"&gt;5887&lt;/key&gt;&lt;/foreign-keys&gt;&lt;ref-type name="Journal Article"&gt;17&lt;/ref-type&gt;&lt;contributors&gt;&lt;authors&gt;&lt;author&gt;Gomes, M. &lt;/author&gt;&lt;author&gt;Ng, ES. &lt;/author&gt;&lt;author&gt;Grieve, R. &lt;/author&gt;&lt;author&gt;Nixon, R. &lt;/author&gt;&lt;author&gt;Carpenter, J. &lt;/author&gt;&lt;author&gt;Thompson, S.G.&lt;/author&gt;&lt;/authors&gt;&lt;/contributors&gt;&lt;titles&gt;&lt;title&gt;Developing appropriate methods for cost-effectiveness analysis of cluster randomized trials&lt;/title&gt;&lt;secondary-title&gt;Medical Decision Making&lt;/secondary-title&gt;&lt;/titles&gt;&lt;periodical&gt;&lt;full-title&gt;Medical Decision Making&lt;/full-title&gt;&lt;/periodical&gt;&lt;pages&gt;350-61&lt;/pages&gt;&lt;volume&gt;32&lt;/volume&gt;&lt;number&gt;2&lt;/number&gt;&lt;edition&gt;2011 Oct 19&lt;/edition&gt;&lt;dates&gt;&lt;year&gt;2012&lt;/year&gt;&lt;/dates&gt;&lt;urls&gt;&lt;/urls&gt;&lt;electronic-resource-num&gt;10.1177/0272989X11418372&lt;/electronic-resource-num&gt;&lt;/record&gt;&lt;/Cite&gt;&lt;/EndNote&gt;</w:instrTex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separate"/>
      </w:r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Gomes, 2012 #5887" w:history="1">
        <w:r w:rsidR="00C2756E" w:rsidRPr="00C2756E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)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end"/>
      </w:r>
      <w:r w:rsidRPr="00C2756E">
        <w:rPr>
          <w:rFonts w:ascii="Times New Roman" w:hAnsi="Times New Roman" w:cs="Times New Roman"/>
          <w:sz w:val="24"/>
          <w:szCs w:val="24"/>
        </w:rPr>
        <w:t>.</w:t>
      </w:r>
      <w:r w:rsidR="00E119A9" w:rsidRPr="00C2756E">
        <w:rPr>
          <w:rFonts w:ascii="Times New Roman" w:hAnsi="Times New Roman" w:cs="Times New Roman"/>
          <w:sz w:val="24"/>
          <w:szCs w:val="24"/>
        </w:rPr>
        <w:t xml:space="preserve"> Additionally, the clinical and </w:t>
      </w:r>
      <w:r w:rsidRPr="00C2756E">
        <w:rPr>
          <w:rFonts w:ascii="Times New Roman" w:hAnsi="Times New Roman" w:cs="Times New Roman"/>
          <w:sz w:val="24"/>
          <w:szCs w:val="24"/>
        </w:rPr>
        <w:t>cost</w:t>
      </w:r>
      <w:r w:rsidR="000012A6" w:rsidRPr="00C2756E">
        <w:rPr>
          <w:rFonts w:ascii="Times New Roman" w:hAnsi="Times New Roman" w:cs="Times New Roman"/>
          <w:sz w:val="24"/>
          <w:szCs w:val="24"/>
        </w:rPr>
        <w:t xml:space="preserve"> endpoints may </w:t>
      </w:r>
      <w:r w:rsidR="008F47A8" w:rsidRPr="00C2756E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0B3144" w:rsidRPr="00C2756E">
        <w:rPr>
          <w:rFonts w:ascii="Times New Roman" w:hAnsi="Times New Roman" w:cs="Times New Roman"/>
          <w:sz w:val="24"/>
          <w:szCs w:val="24"/>
        </w:rPr>
        <w:t xml:space="preserve">be </w:t>
      </w:r>
      <w:r w:rsidR="000012A6" w:rsidRPr="00C2756E">
        <w:rPr>
          <w:rFonts w:ascii="Times New Roman" w:hAnsi="Times New Roman" w:cs="Times New Roman"/>
          <w:sz w:val="24"/>
          <w:szCs w:val="24"/>
        </w:rPr>
        <w:t>correlated</w:t>
      </w:r>
      <w:r w:rsidR="000B3144" w:rsidRPr="00C2756E">
        <w:rPr>
          <w:rFonts w:ascii="Times New Roman" w:hAnsi="Times New Roman" w:cs="Times New Roman"/>
          <w:sz w:val="24"/>
          <w:szCs w:val="24"/>
        </w:rPr>
        <w:t xml:space="preserve"> within families, </w:t>
      </w:r>
      <w:r w:rsidR="00E119A9" w:rsidRPr="00C2756E">
        <w:rPr>
          <w:rFonts w:ascii="Times New Roman" w:hAnsi="Times New Roman" w:cs="Times New Roman"/>
          <w:sz w:val="24"/>
          <w:szCs w:val="24"/>
        </w:rPr>
        <w:t>as well as within Children Centre clust</w:t>
      </w:r>
      <w:r w:rsidR="000B3144" w:rsidRPr="00C2756E">
        <w:rPr>
          <w:rFonts w:ascii="Times New Roman" w:hAnsi="Times New Roman" w:cs="Times New Roman"/>
          <w:sz w:val="24"/>
          <w:szCs w:val="24"/>
        </w:rPr>
        <w:t>ers, and thus the analysis needed to simultaneously</w:t>
      </w:r>
      <w:r w:rsidR="00E119A9" w:rsidRPr="00C2756E">
        <w:rPr>
          <w:rFonts w:ascii="Times New Roman" w:hAnsi="Times New Roman" w:cs="Times New Roman"/>
          <w:sz w:val="24"/>
          <w:szCs w:val="24"/>
        </w:rPr>
        <w:t xml:space="preserve"> allow for this. </w:t>
      </w:r>
      <w:r w:rsidR="008151E9" w:rsidRPr="00C2756E">
        <w:rPr>
          <w:rFonts w:ascii="Times New Roman" w:hAnsi="Times New Roman" w:cs="Times New Roman"/>
          <w:sz w:val="24"/>
          <w:szCs w:val="24"/>
        </w:rPr>
        <w:t>W</w:t>
      </w:r>
      <w:r w:rsidR="00351D5F" w:rsidRPr="00C2756E">
        <w:rPr>
          <w:rFonts w:ascii="Times New Roman" w:hAnsi="Times New Roman" w:cs="Times New Roman"/>
          <w:sz w:val="24"/>
          <w:szCs w:val="24"/>
        </w:rPr>
        <w:t>e adopt</w:t>
      </w:r>
      <w:r w:rsidR="008151E9" w:rsidRPr="00C2756E">
        <w:rPr>
          <w:rFonts w:ascii="Times New Roman" w:hAnsi="Times New Roman" w:cs="Times New Roman"/>
          <w:sz w:val="24"/>
          <w:szCs w:val="24"/>
        </w:rPr>
        <w:t>ed</w:t>
      </w:r>
      <w:r w:rsidR="00351D5F" w:rsidRPr="00C2756E">
        <w:rPr>
          <w:rFonts w:ascii="Times New Roman" w:hAnsi="Times New Roman" w:cs="Times New Roman"/>
          <w:sz w:val="24"/>
          <w:szCs w:val="24"/>
        </w:rPr>
        <w:t xml:space="preserve"> a hierarchical modelling approach here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begin"/>
      </w:r>
      <w:r w:rsidR="00C2756E" w:rsidRPr="00C275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&lt;EndNote&gt;&lt;Cite&gt;&lt;Author&gt;Grieve&lt;/Author&gt;&lt;Year&gt;2010&lt;/Year&gt;&lt;RecNum&gt;5888&lt;/RecNum&gt;&lt;DisplayText&gt;(2)&lt;/DisplayText&gt;&lt;record&gt;&lt;rec-number&gt;5888&lt;/rec-number&gt;&lt;foreign-keys&gt;&lt;key app="EN" db-id="5r92asw0fzraznedr5u5te9bpt29dzx5r9ds"&gt;5888&lt;/key&gt;&lt;/foreign-keys&gt;&lt;ref-type name="Journal Article"&gt;17&lt;/ref-type&gt;&lt;contributors&gt;&lt;authors&gt;&lt;author&gt;Grieve, R. &lt;/author&gt;&lt;author&gt;Nixon, R. &lt;/author&gt;&lt;author&gt;Thompson, S.&lt;/author&gt;&lt;/authors&gt;&lt;/contributors&gt;&lt;titles&gt;&lt;title&gt;Bayesian hierarchical models for cost-effectiveness analyses that use data from cluster randomized trials&lt;/title&gt;&lt;secondary-title&gt;Medical Decision Making&lt;/secondary-title&gt;&lt;/titles&gt;&lt;periodical&gt;&lt;full-title&gt;Medical Decision Making&lt;/full-title&gt;&lt;/periodical&gt;&lt;pages&gt;163-175&lt;/pages&gt;&lt;volume&gt;30&lt;/volume&gt;&lt;number&gt;2&lt;/number&gt;&lt;edition&gt;2009 Aug 12&lt;/edition&gt;&lt;dates&gt;&lt;year&gt;2010&lt;/year&gt;&lt;/dates&gt;&lt;urls&gt;&lt;/urls&gt;&lt;electronic-resource-num&gt;10.1177/0272989X09341752&lt;/electronic-resource-num&gt;&lt;/record&gt;&lt;/Cite&gt;&lt;/EndNote&gt;</w:instrTex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separate"/>
      </w:r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Grieve, 2010 #5888" w:history="1">
        <w:r w:rsidR="00C2756E" w:rsidRPr="00C2756E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)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end"/>
      </w:r>
      <w:r w:rsidR="00351D5F" w:rsidRPr="00C2756E">
        <w:rPr>
          <w:rFonts w:ascii="Times New Roman" w:hAnsi="Times New Roman" w:cs="Times New Roman"/>
          <w:sz w:val="24"/>
          <w:szCs w:val="24"/>
        </w:rPr>
        <w:t xml:space="preserve"> </w:t>
      </w:r>
      <w:r w:rsidR="000012A6" w:rsidRPr="00C2756E">
        <w:rPr>
          <w:rFonts w:ascii="Times New Roman" w:hAnsi="Times New Roman" w:cs="Times New Roman"/>
          <w:sz w:val="24"/>
          <w:szCs w:val="24"/>
        </w:rPr>
        <w:t xml:space="preserve">which </w:t>
      </w:r>
      <w:r w:rsidR="008151E9" w:rsidRPr="00C2756E">
        <w:rPr>
          <w:rFonts w:ascii="Times New Roman" w:hAnsi="Times New Roman" w:cs="Times New Roman"/>
          <w:sz w:val="24"/>
          <w:szCs w:val="24"/>
        </w:rPr>
        <w:t>extended</w:t>
      </w:r>
      <w:r w:rsidR="000012A6" w:rsidRPr="00C2756E">
        <w:rPr>
          <w:rFonts w:ascii="Times New Roman" w:hAnsi="Times New Roman" w:cs="Times New Roman"/>
          <w:sz w:val="24"/>
          <w:szCs w:val="24"/>
        </w:rPr>
        <w:t xml:space="preserve"> the hierarchical model used to analyse th</w:t>
      </w:r>
      <w:r w:rsidR="008F47A8" w:rsidRPr="00C2756E">
        <w:rPr>
          <w:rFonts w:ascii="Times New Roman" w:hAnsi="Times New Roman" w:cs="Times New Roman"/>
          <w:sz w:val="24"/>
          <w:szCs w:val="24"/>
        </w:rPr>
        <w:t xml:space="preserve">e effectiveness data </w:t>
      </w:r>
      <w:r w:rsidRPr="00C2756E">
        <w:rPr>
          <w:rFonts w:ascii="Times New Roman" w:hAnsi="Times New Roman" w:cs="Times New Roman"/>
          <w:sz w:val="24"/>
          <w:szCs w:val="24"/>
        </w:rPr>
        <w:t>in the primary clinical analysis</w:t>
      </w:r>
      <w:r w:rsidR="003161CA" w:rsidRPr="00C2756E">
        <w:rPr>
          <w:rFonts w:ascii="Times New Roman" w:hAnsi="Times New Roman" w:cs="Times New Roman"/>
          <w:sz w:val="24"/>
          <w:szCs w:val="24"/>
        </w:rPr>
        <w:t xml:space="preserve">. </w:t>
      </w:r>
      <w:r w:rsidRPr="00C2756E">
        <w:rPr>
          <w:rFonts w:ascii="Times New Roman" w:hAnsi="Times New Roman" w:cs="Times New Roman"/>
          <w:sz w:val="24"/>
          <w:szCs w:val="24"/>
        </w:rPr>
        <w:t>The</w:t>
      </w:r>
      <w:r w:rsidR="003161CA" w:rsidRPr="00C2756E">
        <w:rPr>
          <w:rFonts w:ascii="Times New Roman" w:hAnsi="Times New Roman" w:cs="Times New Roman"/>
          <w:sz w:val="24"/>
          <w:szCs w:val="24"/>
        </w:rPr>
        <w:t xml:space="preserve"> effectiveness outcome (family have fire escape plan)</w:t>
      </w:r>
      <w:r w:rsidRPr="00C2756E">
        <w:rPr>
          <w:rFonts w:ascii="Times New Roman" w:hAnsi="Times New Roman" w:cs="Times New Roman"/>
          <w:sz w:val="24"/>
          <w:szCs w:val="24"/>
        </w:rPr>
        <w:t xml:space="preserve"> in our application</w:t>
      </w:r>
      <w:r w:rsidR="003161CA" w:rsidRPr="00C2756E">
        <w:rPr>
          <w:rFonts w:ascii="Times New Roman" w:hAnsi="Times New Roman" w:cs="Times New Roman"/>
          <w:sz w:val="24"/>
          <w:szCs w:val="24"/>
        </w:rPr>
        <w:t xml:space="preserve"> </w:t>
      </w:r>
      <w:r w:rsidRPr="00C2756E">
        <w:rPr>
          <w:rFonts w:ascii="Times New Roman" w:hAnsi="Times New Roman" w:cs="Times New Roman"/>
          <w:sz w:val="24"/>
          <w:szCs w:val="24"/>
        </w:rPr>
        <w:t>is dichotomous and therefore we had to adopt a m</w:t>
      </w:r>
      <w:r w:rsidR="006A5C47" w:rsidRPr="00C2756E">
        <w:rPr>
          <w:rFonts w:ascii="Times New Roman" w:hAnsi="Times New Roman" w:cs="Times New Roman"/>
          <w:sz w:val="24"/>
          <w:szCs w:val="24"/>
        </w:rPr>
        <w:t>ultivariate methods for analysing a mixture of continuous and dichotomous outcomes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begin"/>
      </w:r>
      <w:r w:rsidR="00C2756E" w:rsidRPr="00C275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&lt;EndNote&gt;&lt;Cite&gt;&lt;Author&gt;Teixeira-Pinto&lt;/Author&gt;&lt;Year&gt;2009&lt;/Year&gt;&lt;RecNum&gt;5891&lt;/RecNum&gt;&lt;DisplayText&gt;(3)&lt;/DisplayText&gt;&lt;record&gt;&lt;rec-number&gt;5891&lt;/rec-number&gt;&lt;foreign-keys&gt;&lt;key app="EN" db-id="5r92asw0fzraznedr5u5te9bpt29dzx5r9ds"&gt;5891&lt;/key&gt;&lt;/foreign-keys&gt;&lt;ref-type name="Journal Article"&gt;17&lt;/ref-type&gt;&lt;contributors&gt;&lt;authors&gt;&lt;author&gt;Teixeira-Pinto, A., Normand, SL.&lt;/author&gt;&lt;/authors&gt;&lt;/contributors&gt;&lt;titles&gt;&lt;title&gt;Correlated bivariate continuous and binary outcomes: issues and applications&lt;/title&gt;&lt;secondary-title&gt;Statistics in Medicine&lt;/secondary-title&gt;&lt;/titles&gt;&lt;periodical&gt;&lt;full-title&gt;Statistics in Medicine&lt;/full-title&gt;&lt;abbr-1&gt;Stat Med&lt;/abbr-1&gt;&lt;/periodical&gt;&lt;pages&gt;1753-73&lt;/pages&gt;&lt;volume&gt;28&lt;/volume&gt;&lt;number&gt;13&lt;/number&gt;&lt;dates&gt;&lt;year&gt;2009&lt;/year&gt;&lt;/dates&gt;&lt;urls&gt;&lt;/urls&gt;&lt;/record&gt;&lt;/Cite&gt;&lt;/EndNote&gt;</w:instrTex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separate"/>
      </w:r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Teixeira-Pinto, 2009 #5891" w:history="1">
        <w:r w:rsidR="00C2756E" w:rsidRPr="00C2756E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)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end"/>
      </w:r>
      <w:r w:rsidR="004D7317" w:rsidRPr="00C2756E">
        <w:rPr>
          <w:rFonts w:ascii="Times New Roman" w:hAnsi="Times New Roman" w:cs="Times New Roman"/>
          <w:sz w:val="24"/>
          <w:szCs w:val="24"/>
        </w:rPr>
        <w:t xml:space="preserve"> allow</w:t>
      </w:r>
      <w:r w:rsidRPr="00C2756E">
        <w:rPr>
          <w:rFonts w:ascii="Times New Roman" w:hAnsi="Times New Roman" w:cs="Times New Roman"/>
          <w:sz w:val="24"/>
          <w:szCs w:val="24"/>
        </w:rPr>
        <w:t>ing</w:t>
      </w:r>
      <w:r w:rsidR="004D7317" w:rsidRPr="00C2756E">
        <w:rPr>
          <w:rFonts w:ascii="Times New Roman" w:hAnsi="Times New Roman" w:cs="Times New Roman"/>
          <w:sz w:val="24"/>
          <w:szCs w:val="24"/>
        </w:rPr>
        <w:t xml:space="preserve"> for clustering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begin"/>
      </w:r>
      <w:r w:rsidR="00C2756E" w:rsidRPr="00C275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&lt;EndNote&gt;&lt;Cite&gt;&lt;Author&gt;Fitzmaurice&lt;/Author&gt;&lt;Year&gt;1995&lt;/Year&gt;&lt;RecNum&gt;5892&lt;/RecNum&gt;&lt;DisplayText&gt;(4)&lt;/DisplayText&gt;&lt;record&gt;&lt;rec-number&gt;5892&lt;/rec-number&gt;&lt;foreign-keys&gt;&lt;key app="EN" db-id="5r92asw0fzraznedr5u5te9bpt29dzx5r9ds"&gt;5892&lt;/key&gt;&lt;/foreign-keys&gt;&lt;ref-type name="Journal Article"&gt;17&lt;/ref-type&gt;&lt;contributors&gt;&lt;authors&gt;&lt;author&gt;Fitzmaurice, GM., Laird, NM.&lt;/author&gt;&lt;/authors&gt;&lt;/contributors&gt;&lt;titles&gt;&lt;title&gt;Regression Models for a Bivariate Discrete and Continuous Outcome with Clustering&lt;/title&gt;&lt;secondary-title&gt;Journal of the American Statistical Association&lt;/secondary-title&gt;&lt;/titles&gt;&lt;periodical&gt;&lt;full-title&gt;Journal of the American Statistical Association&lt;/full-title&gt;&lt;/periodical&gt;&lt;pages&gt;845-852&lt;/pages&gt;&lt;volume&gt;90&lt;/volume&gt;&lt;number&gt;431&lt;/number&gt;&lt;dates&gt;&lt;year&gt;1995&lt;/year&gt;&lt;/dates&gt;&lt;urls&gt;&lt;related-urls&gt;&lt;url&gt;http://www.jstor.org/stable/2291318&lt;/url&gt;&lt;/related-urls&gt;&lt;/urls&gt;&lt;/record&gt;&lt;/Cite&gt;&lt;/EndNote&gt;</w:instrTex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separate"/>
      </w:r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Fitzmaurice, 1995 #5892" w:history="1">
        <w:r w:rsidR="00C2756E" w:rsidRPr="00C2756E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)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end"/>
      </w:r>
      <w:r w:rsidRPr="00C2756E">
        <w:rPr>
          <w:rFonts w:ascii="Times New Roman" w:hAnsi="Times New Roman" w:cs="Times New Roman"/>
          <w:sz w:val="24"/>
          <w:szCs w:val="24"/>
        </w:rPr>
        <w:t>.  T</w:t>
      </w:r>
      <w:r w:rsidR="00DA672B" w:rsidRPr="00C2756E">
        <w:rPr>
          <w:rFonts w:ascii="Times New Roman" w:hAnsi="Times New Roman" w:cs="Times New Roman"/>
          <w:sz w:val="24"/>
          <w:szCs w:val="24"/>
        </w:rPr>
        <w:t xml:space="preserve">he model </w:t>
      </w:r>
      <w:r w:rsidRPr="00C2756E">
        <w:rPr>
          <w:rFonts w:ascii="Times New Roman" w:hAnsi="Times New Roman" w:cs="Times New Roman"/>
          <w:sz w:val="24"/>
          <w:szCs w:val="24"/>
        </w:rPr>
        <w:t xml:space="preserve">factorised the </w:t>
      </w:r>
      <w:r w:rsidR="00DA672B" w:rsidRPr="00C2756E">
        <w:rPr>
          <w:rFonts w:ascii="Times New Roman" w:hAnsi="Times New Roman" w:cs="Times New Roman"/>
          <w:sz w:val="24"/>
          <w:szCs w:val="24"/>
        </w:rPr>
        <w:t xml:space="preserve">likelihood </w:t>
      </w:r>
      <w:r w:rsidR="000012A6" w:rsidRPr="00C2756E">
        <w:rPr>
          <w:rFonts w:ascii="Times New Roman" w:hAnsi="Times New Roman" w:cs="Times New Roman"/>
          <w:sz w:val="24"/>
          <w:szCs w:val="24"/>
        </w:rPr>
        <w:t xml:space="preserve">for costs and effects into </w:t>
      </w:r>
      <w:r w:rsidR="00733AB7" w:rsidRPr="00C2756E">
        <w:rPr>
          <w:rFonts w:ascii="Times New Roman" w:hAnsi="Times New Roman" w:cs="Times New Roman"/>
          <w:sz w:val="24"/>
          <w:szCs w:val="24"/>
        </w:rPr>
        <w:t xml:space="preserve">the product of a marginal and conditional likelihood </w:t>
      </w:r>
      <w:r w:rsidR="008F47A8" w:rsidRPr="00C2756E">
        <w:rPr>
          <w:rFonts w:ascii="Times New Roman" w:hAnsi="Times New Roman" w:cs="Times New Roman"/>
          <w:sz w:val="24"/>
          <w:szCs w:val="24"/>
        </w:rPr>
        <w:t>(</w:t>
      </w:r>
      <w:r w:rsidR="009F0AE6" w:rsidRPr="00C2756E">
        <w:rPr>
          <w:rFonts w:ascii="Times New Roman" w:hAnsi="Times New Roman" w:cs="Times New Roman"/>
          <w:sz w:val="24"/>
          <w:szCs w:val="24"/>
        </w:rPr>
        <w:t>continuous</w:t>
      </w:r>
      <w:r w:rsidR="00182F7F" w:rsidRPr="00C2756E">
        <w:rPr>
          <w:rFonts w:ascii="Times New Roman" w:hAnsi="Times New Roman" w:cs="Times New Roman"/>
          <w:sz w:val="24"/>
          <w:szCs w:val="24"/>
        </w:rPr>
        <w:t xml:space="preserve"> for costs and logistic for effects)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begin"/>
      </w:r>
      <w:r w:rsidR="00C2756E" w:rsidRPr="00C275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&lt;EndNote&gt;&lt;Cite&gt;&lt;Author&gt;Teixeira-Pinto&lt;/Author&gt;&lt;Year&gt;2009&lt;/Year&gt;&lt;RecNum&gt;5891&lt;/RecNum&gt;&lt;DisplayText&gt;(3)&lt;/DisplayText&gt;&lt;record&gt;&lt;rec-number&gt;5891&lt;/rec-number&gt;&lt;foreign-keys&gt;&lt;key app="EN" db-id="5r92asw0fzraznedr5u5te9bpt29dzx5r9ds"&gt;5891&lt;/key&gt;&lt;/foreign-keys&gt;&lt;ref-type name="Journal Article"&gt;17&lt;/ref-type&gt;&lt;contributors&gt;&lt;authors&gt;&lt;author&gt;Teixeira-Pinto, A., Normand, SL.&lt;/author&gt;&lt;/authors&gt;&lt;/contributors&gt;&lt;titles&gt;&lt;title&gt;Correlated bivariate continuous and binary outcomes: issues and applications&lt;/title&gt;&lt;secondary-title&gt;Statistics in Medicine&lt;/secondary-title&gt;&lt;/titles&gt;&lt;periodical&gt;&lt;full-title&gt;Statistics in Medicine&lt;/full-title&gt;&lt;abbr-1&gt;Stat Med&lt;/abbr-1&gt;&lt;/periodical&gt;&lt;pages&gt;1753-73&lt;/pages&gt;&lt;volume&gt;28&lt;/volume&gt;&lt;number&gt;13&lt;/number&gt;&lt;dates&gt;&lt;year&gt;2009&lt;/year&gt;&lt;/dates&gt;&lt;urls&gt;&lt;/urls&gt;&lt;/record&gt;&lt;/Cite&gt;&lt;/EndNote&gt;</w:instrTex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separate"/>
      </w:r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Teixeira-Pinto, 2009 #5891" w:history="1">
        <w:r w:rsidR="00C2756E" w:rsidRPr="00C2756E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)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end"/>
      </w:r>
      <w:r w:rsidR="00DA672B" w:rsidRPr="00C2756E">
        <w:rPr>
          <w:rFonts w:ascii="Times New Roman" w:hAnsi="Times New Roman" w:cs="Times New Roman"/>
          <w:sz w:val="24"/>
          <w:szCs w:val="24"/>
        </w:rPr>
        <w:t>.</w:t>
      </w:r>
      <w:r w:rsidRPr="00C2756E">
        <w:rPr>
          <w:rFonts w:ascii="Times New Roman" w:hAnsi="Times New Roman" w:cs="Times New Roman"/>
          <w:sz w:val="24"/>
          <w:szCs w:val="24"/>
        </w:rPr>
        <w:t xml:space="preserve">  Within this model specification total cost at the family level was model using a Gamma distribution to allow for </w:t>
      </w:r>
      <w:r w:rsidR="009F0AE6" w:rsidRPr="00C2756E">
        <w:rPr>
          <w:rFonts w:ascii="Times New Roman" w:hAnsi="Times New Roman" w:cs="Times New Roman"/>
          <w:sz w:val="24"/>
          <w:szCs w:val="24"/>
        </w:rPr>
        <w:t>heavily (right) skewed</w:t>
      </w:r>
      <w:r w:rsidRPr="00C2756E">
        <w:rPr>
          <w:rFonts w:ascii="Times New Roman" w:hAnsi="Times New Roman" w:cs="Times New Roman"/>
          <w:sz w:val="24"/>
          <w:szCs w:val="24"/>
        </w:rPr>
        <w:t xml:space="preserve"> data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begin"/>
      </w:r>
      <w:r w:rsidR="00C2756E" w:rsidRPr="00C275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&lt;EndNote&gt;&lt;Cite&gt;&lt;Author&gt;Thompson&lt;/Author&gt;&lt;Year&gt;2005&lt;/Year&gt;&lt;RecNum&gt;5890&lt;/RecNum&gt;&lt;DisplayText&gt;(5)&lt;/DisplayText&gt;&lt;record&gt;&lt;rec-number&gt;5890&lt;/rec-number&gt;&lt;foreign-keys&gt;&lt;key app="EN" db-id="5r92asw0fzraznedr5u5te9bpt29dzx5r9ds"&gt;5890&lt;/key&gt;&lt;/foreign-keys&gt;&lt;ref-type name="Journal Article"&gt;17&lt;/ref-type&gt;&lt;contributors&gt;&lt;authors&gt;&lt;author&gt;Thompson, SG., Nixon, RM.&lt;/author&gt;&lt;/authors&gt;&lt;/contributors&gt;&lt;titles&gt;&lt;title&gt;How Sensitive Are Cost-Effectiveness Analyses to Choice of Parametric Distributions? &lt;/title&gt;&lt;secondary-title&gt;Medical Decision Making&lt;/secondary-title&gt;&lt;/titles&gt;&lt;periodical&gt;&lt;full-title&gt;Medical Decision Making&lt;/full-title&gt;&lt;/periodical&gt;&lt;pages&gt;416-423&lt;/pages&gt;&lt;volume&gt;25&lt;/volume&gt;&lt;number&gt;4&lt;/number&gt;&lt;dates&gt;&lt;year&gt;2005&lt;/year&gt;&lt;/dates&gt;&lt;urls&gt;&lt;/urls&gt;&lt;/record&gt;&lt;/Cite&gt;&lt;/EndNote&gt;</w:instrTex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separate"/>
      </w:r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Thompson, 2005 #5890" w:history="1">
        <w:r w:rsidR="00C2756E" w:rsidRPr="00C2756E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)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end"/>
      </w:r>
      <w:r w:rsidR="00042FAE" w:rsidRPr="00C2756E">
        <w:rPr>
          <w:rFonts w:ascii="Times New Roman" w:hAnsi="Times New Roman" w:cs="Times New Roman"/>
          <w:sz w:val="24"/>
          <w:szCs w:val="24"/>
        </w:rPr>
        <w:t xml:space="preserve">.  </w:t>
      </w:r>
      <w:r w:rsidRPr="00C2756E">
        <w:rPr>
          <w:rFonts w:ascii="Times New Roman" w:hAnsi="Times New Roman" w:cs="Times New Roman"/>
          <w:sz w:val="24"/>
          <w:szCs w:val="24"/>
        </w:rPr>
        <w:t xml:space="preserve">Note to fit a Gamma distribution </w:t>
      </w:r>
      <w:r w:rsidR="00042FAE" w:rsidRPr="00C2756E">
        <w:rPr>
          <w:rFonts w:ascii="Times New Roman" w:hAnsi="Times New Roman" w:cs="Times New Roman"/>
          <w:sz w:val="24"/>
          <w:szCs w:val="24"/>
        </w:rPr>
        <w:t xml:space="preserve">£1 </w:t>
      </w:r>
      <w:r w:rsidRPr="00C2756E">
        <w:rPr>
          <w:rFonts w:ascii="Times New Roman" w:hAnsi="Times New Roman" w:cs="Times New Roman"/>
          <w:sz w:val="24"/>
          <w:szCs w:val="24"/>
        </w:rPr>
        <w:t xml:space="preserve">had to be added </w:t>
      </w:r>
      <w:r w:rsidR="00042FAE" w:rsidRPr="00C2756E">
        <w:rPr>
          <w:rFonts w:ascii="Times New Roman" w:hAnsi="Times New Roman" w:cs="Times New Roman"/>
          <w:sz w:val="24"/>
          <w:szCs w:val="24"/>
        </w:rPr>
        <w:t>to</w:t>
      </w:r>
      <w:r w:rsidR="005B4CEA" w:rsidRPr="00C2756E">
        <w:rPr>
          <w:rFonts w:ascii="Times New Roman" w:hAnsi="Times New Roman" w:cs="Times New Roman"/>
          <w:sz w:val="24"/>
          <w:szCs w:val="24"/>
        </w:rPr>
        <w:t xml:space="preserve"> each family</w:t>
      </w:r>
      <w:r w:rsidR="00042FAE" w:rsidRPr="00C2756E">
        <w:rPr>
          <w:rFonts w:ascii="Times New Roman" w:hAnsi="Times New Roman" w:cs="Times New Roman"/>
          <w:sz w:val="24"/>
          <w:szCs w:val="24"/>
        </w:rPr>
        <w:t xml:space="preserve"> cost</w:t>
      </w:r>
      <w:r w:rsidR="00B363AA" w:rsidRPr="00C2756E">
        <w:rPr>
          <w:rFonts w:ascii="Times New Roman" w:hAnsi="Times New Roman" w:cs="Times New Roman"/>
          <w:sz w:val="24"/>
          <w:szCs w:val="24"/>
        </w:rPr>
        <w:t xml:space="preserve"> due the presence of zero costs in the dataset</w:t>
      </w:r>
      <w:r w:rsidR="00042FAE" w:rsidRPr="00C2756E">
        <w:rPr>
          <w:rFonts w:ascii="Times New Roman" w:hAnsi="Times New Roman" w:cs="Times New Roman"/>
          <w:sz w:val="24"/>
          <w:szCs w:val="24"/>
        </w:rPr>
        <w:t>.</w:t>
      </w:r>
      <w:r w:rsidRPr="00C275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FAE" w:rsidRPr="00C2756E" w:rsidRDefault="000D0F14" w:rsidP="00042F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756E">
        <w:rPr>
          <w:rFonts w:ascii="Times New Roman" w:hAnsi="Times New Roman" w:cs="Times New Roman"/>
          <w:sz w:val="24"/>
          <w:szCs w:val="24"/>
        </w:rPr>
        <w:t xml:space="preserve">Algebraically, the model specified as follows: </w:t>
      </w:r>
    </w:p>
    <w:p w:rsidR="00042FAE" w:rsidRPr="00042FAE" w:rsidRDefault="000F6D04" w:rsidP="00042FAE">
      <w:pPr>
        <w:spacing w:before="2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ijk</m:t>
              </m:r>
            </m:sub>
          </m:sSub>
          <m:r>
            <w:rPr>
              <w:rFonts w:ascii="Cambria Math" w:hAnsi="Cambria Math"/>
            </w:rPr>
            <m:t>~Bernulli(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ijk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042FAE" w:rsidRPr="0010447B" w:rsidRDefault="000F6D04" w:rsidP="00042FAE">
      <w:pPr>
        <w:spacing w:before="2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ijk</m:t>
              </m:r>
            </m:sub>
          </m:sSub>
          <m:r>
            <w:rPr>
              <w:rFonts w:ascii="Cambria Math" w:hAnsi="Cambria Math"/>
            </w:rPr>
            <m:t>~ Gamma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ijk</m:t>
                  </m:r>
                </m:sub>
              </m:sSub>
              <m:r>
                <w:rPr>
                  <w:rFonts w:ascii="Cambria Math" w:hAnsi="Cambria Math"/>
                </w:rPr>
                <m:t xml:space="preserve">  </m:t>
              </m:r>
            </m:e>
          </m:d>
        </m:oMath>
      </m:oMathPara>
    </w:p>
    <w:p w:rsidR="0010447B" w:rsidRPr="001B4D28" w:rsidRDefault="0010447B" w:rsidP="0010447B">
      <w:pPr>
        <w:spacing w:before="240"/>
      </w:pPr>
      <m:oMathPara>
        <m:oMath>
          <m:r>
            <w:rPr>
              <w:rFonts w:ascii="Cambria Math" w:hAnsi="Cambria Math"/>
            </w:rPr>
            <m:t>logit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ijk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042FAE" w:rsidRPr="00042FAE" w:rsidRDefault="000F6D04" w:rsidP="00042FAE">
      <w:pPr>
        <w:spacing w:before="2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ijk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ijk</m:t>
                  </m:r>
                </m:sub>
              </m:sSub>
            </m:den>
          </m:f>
        </m:oMath>
      </m:oMathPara>
    </w:p>
    <w:p w:rsidR="000D0F14" w:rsidRPr="001B4D28" w:rsidRDefault="000F6D04" w:rsidP="000D0F14">
      <w:pPr>
        <w:spacing w:before="2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ijk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ijk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ijk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1B4D28" w:rsidRDefault="000F6D04" w:rsidP="00962CE4">
      <w:pPr>
        <w:spacing w:before="240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~Normal(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τ.e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2CE4">
        <w:t>)</w:t>
      </w:r>
    </w:p>
    <w:p w:rsidR="00962CE4" w:rsidRDefault="000F6D04" w:rsidP="00962CE4">
      <w:pPr>
        <w:spacing w:before="240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~Normal(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τ.c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2CE4">
        <w:t>)</w:t>
      </w:r>
    </w:p>
    <w:p w:rsidR="0010447B" w:rsidRPr="00404DA1" w:rsidRDefault="000F6D04" w:rsidP="000D0F14">
      <w:pPr>
        <w:spacing w:before="24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e.clus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e.clus</m:t>
              </m:r>
            </m:sup>
          </m:sSubSup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962CE4" w:rsidRPr="00404DA1" w:rsidRDefault="000F6D04" w:rsidP="000D0F14">
      <w:pPr>
        <w:spacing w:before="24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c.clus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c.clus</m:t>
              </m:r>
            </m:sup>
          </m:sSubSup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bSup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c.clus</m:t>
              </m:r>
            </m:sup>
          </m:sSubSup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sub>
          </m:sSub>
        </m:oMath>
      </m:oMathPara>
    </w:p>
    <w:p w:rsidR="000B0C75" w:rsidRPr="00C2756E" w:rsidRDefault="004D0F17" w:rsidP="00042F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756E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</m:oMath>
      <w:r w:rsidR="00851C77" w:rsidRPr="00C2756E">
        <w:rPr>
          <w:rFonts w:ascii="Times New Roman" w:hAnsi="Times New Roman" w:cs="Times New Roman"/>
          <w:sz w:val="24"/>
          <w:szCs w:val="24"/>
        </w:rPr>
        <w:t xml:space="preserve"> and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</m:oMath>
      <w:r w:rsidR="00851C77" w:rsidRPr="00C2756E">
        <w:rPr>
          <w:rFonts w:ascii="Times New Roman" w:hAnsi="Times New Roman" w:cs="Times New Roman"/>
          <w:sz w:val="24"/>
          <w:szCs w:val="24"/>
        </w:rPr>
        <w:t xml:space="preserve">  are the effects</w:t>
      </w:r>
      <w:r w:rsidR="00841DC7" w:rsidRPr="00C2756E">
        <w:rPr>
          <w:rFonts w:ascii="Times New Roman" w:hAnsi="Times New Roman" w:cs="Times New Roman"/>
          <w:sz w:val="24"/>
          <w:szCs w:val="24"/>
        </w:rPr>
        <w:t xml:space="preserve"> (</w:t>
      </w:r>
      <w:r w:rsidR="00584DAE" w:rsidRPr="00C2756E">
        <w:rPr>
          <w:rFonts w:ascii="Times New Roman" w:hAnsi="Times New Roman" w:cs="Times New Roman"/>
          <w:i/>
          <w:sz w:val="24"/>
          <w:szCs w:val="24"/>
        </w:rPr>
        <w:t>e</w:t>
      </w:r>
      <w:r w:rsidR="00584DAE" w:rsidRPr="00C2756E">
        <w:rPr>
          <w:rFonts w:ascii="Times New Roman" w:hAnsi="Times New Roman" w:cs="Times New Roman"/>
          <w:sz w:val="24"/>
          <w:szCs w:val="24"/>
        </w:rPr>
        <w:t xml:space="preserve">=0 no fire escape plan; </w:t>
      </w:r>
      <w:r w:rsidR="00584DAE" w:rsidRPr="00C2756E">
        <w:rPr>
          <w:rFonts w:ascii="Times New Roman" w:hAnsi="Times New Roman" w:cs="Times New Roman"/>
          <w:i/>
          <w:sz w:val="24"/>
          <w:szCs w:val="24"/>
        </w:rPr>
        <w:t>e</w:t>
      </w:r>
      <w:r w:rsidR="00584DAE" w:rsidRPr="00C2756E">
        <w:rPr>
          <w:rFonts w:ascii="Times New Roman" w:hAnsi="Times New Roman" w:cs="Times New Roman"/>
          <w:sz w:val="24"/>
          <w:szCs w:val="24"/>
        </w:rPr>
        <w:t>=1 fire escape plan exists)</w:t>
      </w:r>
      <w:r w:rsidR="00851C77" w:rsidRPr="00C2756E">
        <w:rPr>
          <w:rFonts w:ascii="Times New Roman" w:hAnsi="Times New Roman" w:cs="Times New Roman"/>
          <w:sz w:val="24"/>
          <w:szCs w:val="24"/>
        </w:rPr>
        <w:t xml:space="preserve"> and costs in the </w:t>
      </w:r>
      <w:proofErr w:type="spellStart"/>
      <w:r w:rsidR="00851C77" w:rsidRPr="00C2756E">
        <w:rPr>
          <w:rFonts w:ascii="Times New Roman" w:hAnsi="Times New Roman" w:cs="Times New Roman"/>
          <w:i/>
          <w:sz w:val="24"/>
          <w:szCs w:val="24"/>
        </w:rPr>
        <w:t>i</w:t>
      </w:r>
      <w:r w:rsidR="00851C77" w:rsidRPr="00C2756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851C77" w:rsidRPr="00C2756E">
        <w:rPr>
          <w:rFonts w:ascii="Times New Roman" w:hAnsi="Times New Roman" w:cs="Times New Roman"/>
          <w:sz w:val="24"/>
          <w:szCs w:val="24"/>
        </w:rPr>
        <w:t xml:space="preserve"> family of the</w:t>
      </w:r>
      <w:r w:rsidR="00851C77" w:rsidRPr="00C275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1C77" w:rsidRPr="00C2756E">
        <w:rPr>
          <w:rFonts w:ascii="Times New Roman" w:hAnsi="Times New Roman" w:cs="Times New Roman"/>
          <w:i/>
          <w:sz w:val="24"/>
          <w:szCs w:val="24"/>
        </w:rPr>
        <w:t>j</w:t>
      </w:r>
      <w:r w:rsidR="00851C77" w:rsidRPr="00C2756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851C77" w:rsidRPr="00C2756E">
        <w:rPr>
          <w:rFonts w:ascii="Times New Roman" w:hAnsi="Times New Roman" w:cs="Times New Roman"/>
          <w:sz w:val="24"/>
          <w:szCs w:val="24"/>
        </w:rPr>
        <w:t xml:space="preserve"> cluster allocated to the </w:t>
      </w:r>
      <w:r w:rsidR="00851C77" w:rsidRPr="00C2756E">
        <w:rPr>
          <w:rFonts w:ascii="Times New Roman" w:hAnsi="Times New Roman" w:cs="Times New Roman"/>
          <w:i/>
          <w:sz w:val="24"/>
          <w:szCs w:val="24"/>
        </w:rPr>
        <w:t>k</w:t>
      </w:r>
      <w:r w:rsidR="00851C77" w:rsidRPr="00C2756E">
        <w:rPr>
          <w:rFonts w:ascii="Times New Roman" w:hAnsi="Times New Roman" w:cs="Times New Roman"/>
          <w:sz w:val="24"/>
          <w:szCs w:val="24"/>
        </w:rPr>
        <w:t>th intervention group (</w:t>
      </w:r>
      <w:r w:rsidR="00851C77" w:rsidRPr="00C2756E">
        <w:rPr>
          <w:rFonts w:ascii="Times New Roman" w:hAnsi="Times New Roman" w:cs="Times New Roman"/>
          <w:i/>
          <w:sz w:val="24"/>
          <w:szCs w:val="24"/>
        </w:rPr>
        <w:t>k</w:t>
      </w:r>
      <w:r w:rsidR="00851C77" w:rsidRPr="00C2756E">
        <w:rPr>
          <w:rFonts w:ascii="Times New Roman" w:hAnsi="Times New Roman" w:cs="Times New Roman"/>
          <w:sz w:val="24"/>
          <w:szCs w:val="24"/>
        </w:rPr>
        <w:t xml:space="preserve">=1 Usual care, </w:t>
      </w:r>
      <w:r w:rsidR="00851C77" w:rsidRPr="00C2756E">
        <w:rPr>
          <w:rFonts w:ascii="Times New Roman" w:hAnsi="Times New Roman" w:cs="Times New Roman"/>
          <w:i/>
          <w:sz w:val="24"/>
          <w:szCs w:val="24"/>
        </w:rPr>
        <w:t>k</w:t>
      </w:r>
      <w:r w:rsidR="00851C77" w:rsidRPr="00C2756E">
        <w:rPr>
          <w:rFonts w:ascii="Times New Roman" w:hAnsi="Times New Roman" w:cs="Times New Roman"/>
          <w:sz w:val="24"/>
          <w:szCs w:val="24"/>
        </w:rPr>
        <w:t xml:space="preserve">=2 IPB only, </w:t>
      </w:r>
      <w:r w:rsidR="00851C77" w:rsidRPr="00C2756E">
        <w:rPr>
          <w:rFonts w:ascii="Times New Roman" w:hAnsi="Times New Roman" w:cs="Times New Roman"/>
          <w:i/>
          <w:sz w:val="24"/>
          <w:szCs w:val="24"/>
        </w:rPr>
        <w:t>k</w:t>
      </w:r>
      <w:r w:rsidR="00851C77" w:rsidRPr="00C2756E">
        <w:rPr>
          <w:rFonts w:ascii="Times New Roman" w:hAnsi="Times New Roman" w:cs="Times New Roman"/>
          <w:sz w:val="24"/>
          <w:szCs w:val="24"/>
        </w:rPr>
        <w:t>=3 IPB + facilitation)</w:t>
      </w:r>
      <w:r w:rsidR="00102C6B" w:rsidRPr="00C2756E">
        <w:rPr>
          <w:rFonts w:ascii="Times New Roman" w:hAnsi="Times New Roman" w:cs="Times New Roman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</m:oMath>
      <w:r w:rsidR="00102C6B" w:rsidRPr="00C2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C6B" w:rsidRPr="00C2756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02C6B" w:rsidRPr="00C2756E">
        <w:rPr>
          <w:rFonts w:ascii="Times New Roman" w:hAnsi="Times New Roman" w:cs="Times New Roman"/>
          <w:sz w:val="24"/>
          <w:szCs w:val="24"/>
        </w:rPr>
        <w:t xml:space="preserve"> the underlying probability of a fire escape plan a</w:t>
      </w:r>
      <w:r w:rsidR="000B0C75" w:rsidRPr="00C2756E">
        <w:rPr>
          <w:rFonts w:ascii="Times New Roman" w:hAnsi="Times New Roman" w:cs="Times New Roman"/>
          <w:sz w:val="24"/>
          <w:szCs w:val="24"/>
        </w:rPr>
        <w:t xml:space="preserve">t the </w:t>
      </w:r>
      <w:r w:rsidR="00102C6B" w:rsidRPr="00C2756E">
        <w:rPr>
          <w:rFonts w:ascii="Times New Roman" w:hAnsi="Times New Roman" w:cs="Times New Roman"/>
          <w:sz w:val="24"/>
          <w:szCs w:val="24"/>
        </w:rPr>
        <w:t xml:space="preserve">family </w:t>
      </w:r>
      <w:r w:rsidR="000B0C75" w:rsidRPr="00C2756E">
        <w:rPr>
          <w:rFonts w:ascii="Times New Roman" w:hAnsi="Times New Roman" w:cs="Times New Roman"/>
          <w:sz w:val="24"/>
          <w:szCs w:val="24"/>
        </w:rPr>
        <w:t>level</w:t>
      </w:r>
      <w:r w:rsidR="00102C6B" w:rsidRPr="00C2756E">
        <w:rPr>
          <w:rFonts w:ascii="Times New Roman" w:hAnsi="Times New Roman" w:cs="Times New Roman"/>
          <w:sz w:val="24"/>
          <w:szCs w:val="24"/>
        </w:rPr>
        <w:t xml:space="preserve">, </w:t>
      </w:r>
      <w:r w:rsidRPr="00C2756E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102C6B" w:rsidRPr="00C2756E">
        <w:rPr>
          <w:rFonts w:ascii="Times New Roman" w:hAnsi="Times New Roman" w:cs="Times New Roman"/>
          <w:sz w:val="24"/>
          <w:szCs w:val="24"/>
        </w:rPr>
        <w:t xml:space="preserve"> is the shape parameter of the Gamma distribution and is intervention group specific,</w:t>
      </w:r>
      <w:r w:rsidRPr="00C2756E">
        <w:rPr>
          <w:rFonts w:ascii="Times New Roman" w:hAnsi="Times New Roman" w:cs="Times New Roman"/>
          <w:sz w:val="24"/>
          <w:szCs w:val="24"/>
        </w:rPr>
        <w:t xml:space="preserve"> </w:t>
      </w:r>
      <w:r w:rsidR="00102C6B" w:rsidRPr="00C2756E">
        <w:rPr>
          <w:rFonts w:ascii="Times New Roman" w:hAnsi="Times New Roman" w:cs="Times New Roman"/>
          <w:sz w:val="24"/>
          <w:szCs w:val="24"/>
        </w:rPr>
        <w:t>and</w:t>
      </w:r>
      <w:r w:rsidRPr="00C2756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</m:oMath>
      <w:r w:rsidR="00102C6B" w:rsidRPr="00C2756E">
        <w:rPr>
          <w:rFonts w:ascii="Times New Roman" w:hAnsi="Times New Roman" w:cs="Times New Roman"/>
          <w:sz w:val="24"/>
          <w:szCs w:val="24"/>
        </w:rPr>
        <w:t xml:space="preserve"> is the rate parameter of the Gamma distribution </w:t>
      </w:r>
      <w:r w:rsidR="0037020E" w:rsidRPr="00C2756E">
        <w:rPr>
          <w:rFonts w:ascii="Times New Roman" w:hAnsi="Times New Roman" w:cs="Times New Roman"/>
          <w:sz w:val="24"/>
          <w:szCs w:val="24"/>
        </w:rPr>
        <w:t>at the</w:t>
      </w:r>
      <w:r w:rsidR="00102C6B" w:rsidRPr="00C2756E">
        <w:rPr>
          <w:rFonts w:ascii="Times New Roman" w:hAnsi="Times New Roman" w:cs="Times New Roman"/>
          <w:sz w:val="24"/>
          <w:szCs w:val="24"/>
        </w:rPr>
        <w:t xml:space="preserve"> </w:t>
      </w:r>
      <w:r w:rsidR="00102C6B" w:rsidRPr="00C2756E">
        <w:rPr>
          <w:rFonts w:ascii="Times New Roman" w:hAnsi="Times New Roman" w:cs="Times New Roman"/>
          <w:sz w:val="24"/>
          <w:szCs w:val="24"/>
        </w:rPr>
        <w:lastRenderedPageBreak/>
        <w:t xml:space="preserve">family </w:t>
      </w:r>
      <w:r w:rsidR="0037020E" w:rsidRPr="00C2756E">
        <w:rPr>
          <w:rFonts w:ascii="Times New Roman" w:hAnsi="Times New Roman" w:cs="Times New Roman"/>
          <w:sz w:val="24"/>
          <w:szCs w:val="24"/>
        </w:rPr>
        <w:t>level</w:t>
      </w:r>
      <w:r w:rsidR="00102C6B" w:rsidRPr="00C2756E">
        <w:rPr>
          <w:rFonts w:ascii="Times New Roman" w:hAnsi="Times New Roman" w:cs="Times New Roman"/>
          <w:sz w:val="24"/>
          <w:szCs w:val="24"/>
        </w:rPr>
        <w:t xml:space="preserve">.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</m:oMath>
      <w:r w:rsidR="00DB761C" w:rsidRPr="00C2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61C" w:rsidRPr="00C2756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B761C" w:rsidRPr="00C2756E">
        <w:rPr>
          <w:rFonts w:ascii="Times New Roman" w:hAnsi="Times New Roman" w:cs="Times New Roman"/>
          <w:sz w:val="24"/>
          <w:szCs w:val="24"/>
        </w:rPr>
        <w:t xml:space="preserve"> the underlying mean of the costs (and is a function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</m:oMath>
      <w:r w:rsidR="00DB761C" w:rsidRPr="00C2756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A00FD9" w:rsidRPr="00C2756E">
        <w:rPr>
          <w:rFonts w:ascii="Times New Roman" w:hAnsi="Times New Roman" w:cs="Times New Roman"/>
          <w:sz w:val="24"/>
          <w:szCs w:val="24"/>
        </w:rPr>
        <w:t xml:space="preserve">) </w:t>
      </w:r>
      <w:r w:rsidR="000B0C75" w:rsidRPr="00C2756E">
        <w:rPr>
          <w:rFonts w:ascii="Times New Roman" w:hAnsi="Times New Roman" w:cs="Times New Roman"/>
          <w:sz w:val="24"/>
          <w:szCs w:val="24"/>
        </w:rPr>
        <w:t>at the</w:t>
      </w:r>
      <w:r w:rsidR="00A00FD9" w:rsidRPr="00C2756E">
        <w:rPr>
          <w:rFonts w:ascii="Times New Roman" w:hAnsi="Times New Roman" w:cs="Times New Roman"/>
          <w:sz w:val="24"/>
          <w:szCs w:val="24"/>
        </w:rPr>
        <w:t xml:space="preserve"> family </w:t>
      </w:r>
      <w:r w:rsidR="000B0C75" w:rsidRPr="00C2756E">
        <w:rPr>
          <w:rFonts w:ascii="Times New Roman" w:hAnsi="Times New Roman" w:cs="Times New Roman"/>
          <w:sz w:val="24"/>
          <w:szCs w:val="24"/>
        </w:rPr>
        <w:t>level</w:t>
      </w:r>
      <w:r w:rsidR="00DB761C" w:rsidRPr="00C2756E">
        <w:rPr>
          <w:rFonts w:ascii="Times New Roman" w:hAnsi="Times New Roman" w:cs="Times New Roman"/>
          <w:sz w:val="24"/>
          <w:szCs w:val="24"/>
        </w:rPr>
        <w:t>.</w:t>
      </w:r>
      <w:r w:rsidR="000B0C75" w:rsidRPr="00C2756E">
        <w:rPr>
          <w:rFonts w:ascii="Times New Roman" w:hAnsi="Times New Roman" w:cs="Times New Roman"/>
          <w:sz w:val="24"/>
          <w:szCs w:val="24"/>
        </w:rPr>
        <w:t xml:space="preserve"> </w:t>
      </w:r>
      <w:r w:rsidRPr="00C2756E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</m:sSubSup>
      </m:oMath>
      <w:r w:rsidRPr="00C2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512" w:rsidRPr="00C2756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D6512" w:rsidRPr="00C2756E">
        <w:rPr>
          <w:rFonts w:ascii="Times New Roman" w:hAnsi="Times New Roman" w:cs="Times New Roman"/>
          <w:sz w:val="24"/>
          <w:szCs w:val="24"/>
        </w:rPr>
        <w:t xml:space="preserve"> the underlying mean effect on the logit scale for the </w:t>
      </w:r>
      <w:proofErr w:type="spellStart"/>
      <w:r w:rsidR="00FD6512" w:rsidRPr="00C2756E">
        <w:rPr>
          <w:rFonts w:ascii="Times New Roman" w:hAnsi="Times New Roman" w:cs="Times New Roman"/>
          <w:i/>
          <w:sz w:val="24"/>
          <w:szCs w:val="24"/>
        </w:rPr>
        <w:t>j</w:t>
      </w:r>
      <w:r w:rsidR="00FD6512" w:rsidRPr="00C2756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FD6512" w:rsidRPr="00C2756E">
        <w:rPr>
          <w:rFonts w:ascii="Times New Roman" w:hAnsi="Times New Roman" w:cs="Times New Roman"/>
          <w:sz w:val="24"/>
          <w:szCs w:val="24"/>
        </w:rPr>
        <w:t xml:space="preserve"> cluster, </w:t>
      </w:r>
      <w:r w:rsidR="000B0C75" w:rsidRPr="00C2756E">
        <w:rPr>
          <w:rFonts w:ascii="Times New Roman" w:hAnsi="Times New Roman" w:cs="Times New Roman"/>
          <w:sz w:val="24"/>
          <w:szCs w:val="24"/>
        </w:rPr>
        <w:t>and</w:t>
      </w:r>
      <w:r w:rsidRPr="00C2756E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</m:sSubSup>
      </m:oMath>
      <w:r w:rsidRPr="00C2756E">
        <w:rPr>
          <w:rFonts w:ascii="Times New Roman" w:hAnsi="Times New Roman" w:cs="Times New Roman"/>
          <w:sz w:val="24"/>
          <w:szCs w:val="24"/>
        </w:rPr>
        <w:t xml:space="preserve"> </w:t>
      </w:r>
      <w:r w:rsidR="00FD6512" w:rsidRPr="00C2756E">
        <w:rPr>
          <w:rFonts w:ascii="Times New Roman" w:hAnsi="Times New Roman" w:cs="Times New Roman"/>
          <w:sz w:val="24"/>
          <w:szCs w:val="24"/>
        </w:rPr>
        <w:t xml:space="preserve">is the intercept of the linear predictor for cost for the </w:t>
      </w:r>
      <w:r w:rsidR="00FD6512" w:rsidRPr="00C2756E">
        <w:rPr>
          <w:rFonts w:ascii="Times New Roman" w:hAnsi="Times New Roman" w:cs="Times New Roman"/>
          <w:i/>
          <w:sz w:val="24"/>
          <w:szCs w:val="24"/>
        </w:rPr>
        <w:t>k</w:t>
      </w:r>
      <w:r w:rsidR="00FD6512" w:rsidRPr="00C2756E">
        <w:rPr>
          <w:rFonts w:ascii="Times New Roman" w:hAnsi="Times New Roman" w:cs="Times New Roman"/>
          <w:sz w:val="24"/>
          <w:szCs w:val="24"/>
        </w:rPr>
        <w:t xml:space="preserve">th cluster.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FD6512" w:rsidRPr="00C2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512" w:rsidRPr="00C2756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D6512" w:rsidRPr="00C2756E">
        <w:rPr>
          <w:rFonts w:ascii="Times New Roman" w:hAnsi="Times New Roman" w:cs="Times New Roman"/>
          <w:sz w:val="24"/>
          <w:szCs w:val="24"/>
        </w:rPr>
        <w:t xml:space="preserve"> the regression coefficient which links the cost and effect equations </w:t>
      </w:r>
      <w:r w:rsidR="001A307F" w:rsidRPr="00C2756E">
        <w:rPr>
          <w:rFonts w:ascii="Times New Roman" w:hAnsi="Times New Roman" w:cs="Times New Roman"/>
          <w:sz w:val="24"/>
          <w:szCs w:val="24"/>
        </w:rPr>
        <w:t xml:space="preserve">at the family level </w:t>
      </w:r>
      <w:r w:rsidR="00FD6512" w:rsidRPr="00C2756E">
        <w:rPr>
          <w:rFonts w:ascii="Times New Roman" w:hAnsi="Times New Roman" w:cs="Times New Roman"/>
          <w:sz w:val="24"/>
          <w:szCs w:val="24"/>
        </w:rPr>
        <w:t>and is treatment arm specific</w:t>
      </w:r>
      <w:r w:rsidR="008D34DA" w:rsidRPr="00C2756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</m:sSubSup>
      </m:oMath>
      <w:r w:rsidR="008D34DA" w:rsidRPr="00C2756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</m:sSubSup>
      </m:oMath>
      <w:r w:rsidR="008D34DA" w:rsidRPr="00C2756E">
        <w:rPr>
          <w:rFonts w:ascii="Times New Roman" w:hAnsi="Times New Roman" w:cs="Times New Roman"/>
          <w:sz w:val="24"/>
          <w:szCs w:val="24"/>
        </w:rPr>
        <w:t xml:space="preserve"> are the regression coefficients for the </w:t>
      </w:r>
      <w:r w:rsidR="008D34DA" w:rsidRPr="00C2756E">
        <w:rPr>
          <w:rFonts w:ascii="Times New Roman" w:hAnsi="Times New Roman" w:cs="Times New Roman"/>
          <w:i/>
          <w:sz w:val="24"/>
          <w:szCs w:val="24"/>
        </w:rPr>
        <w:t>t</w:t>
      </w:r>
      <w:r w:rsidR="008D34DA" w:rsidRPr="00C2756E">
        <w:rPr>
          <w:rFonts w:ascii="Times New Roman" w:hAnsi="Times New Roman" w:cs="Times New Roman"/>
          <w:sz w:val="24"/>
          <w:szCs w:val="24"/>
        </w:rPr>
        <w:t xml:space="preserve"> baseline </w:t>
      </w:r>
      <w:r w:rsidR="004F7F07" w:rsidRPr="00C2756E">
        <w:rPr>
          <w:rFonts w:ascii="Times New Roman" w:hAnsi="Times New Roman" w:cs="Times New Roman"/>
          <w:sz w:val="24"/>
          <w:szCs w:val="24"/>
        </w:rPr>
        <w:t xml:space="preserve">family level </w:t>
      </w:r>
      <w:r w:rsidR="00D5799E" w:rsidRPr="00C2756E">
        <w:rPr>
          <w:rFonts w:ascii="Times New Roman" w:hAnsi="Times New Roman" w:cs="Times New Roman"/>
          <w:sz w:val="24"/>
          <w:szCs w:val="24"/>
        </w:rPr>
        <w:t>covariate</w:t>
      </w:r>
      <w:r w:rsidR="002E4CBF" w:rsidRPr="00C2756E">
        <w:rPr>
          <w:rFonts w:ascii="Times New Roman" w:hAnsi="Times New Roman" w:cs="Times New Roman"/>
          <w:sz w:val="24"/>
          <w:szCs w:val="24"/>
        </w:rPr>
        <w:t>s</w:t>
      </w:r>
      <w:r w:rsidR="008D34DA" w:rsidRPr="00C2756E">
        <w:rPr>
          <w:rFonts w:ascii="Times New Roman" w:hAnsi="Times New Roman" w:cs="Times New Roman"/>
          <w:sz w:val="24"/>
          <w:szCs w:val="24"/>
        </w:rPr>
        <w:t xml:space="preserve"> included in the model (i.e. the same covariates as included in the clinical effectiveness analysis)</w:t>
      </w:r>
      <w:r w:rsidR="00FD6512" w:rsidRPr="00C2756E">
        <w:rPr>
          <w:rFonts w:ascii="Times New Roman" w:hAnsi="Times New Roman" w:cs="Times New Roman"/>
          <w:sz w:val="24"/>
          <w:szCs w:val="24"/>
        </w:rPr>
        <w:t xml:space="preserve">.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</m:sSubSup>
      </m:oMath>
      <w:r w:rsidR="00FD6512" w:rsidRPr="00C275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D6512" w:rsidRPr="00C2756E">
        <w:rPr>
          <w:rFonts w:ascii="Times New Roman" w:hAnsi="Times New Roman" w:cs="Times New Roman"/>
          <w:sz w:val="24"/>
          <w:szCs w:val="24"/>
        </w:rPr>
        <w:t>defined</w:t>
      </w:r>
      <w:proofErr w:type="gramEnd"/>
      <w:r w:rsidR="00FD6512" w:rsidRPr="00C2756E">
        <w:rPr>
          <w:rFonts w:ascii="Times New Roman" w:hAnsi="Times New Roman" w:cs="Times New Roman"/>
          <w:sz w:val="24"/>
          <w:szCs w:val="24"/>
        </w:rPr>
        <w:t xml:space="preserve"> further down as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e.clus</m:t>
            </m:r>
          </m:sup>
        </m:sSubSup>
      </m:oMath>
      <w:r w:rsidR="00FD6512" w:rsidRPr="00C2756E">
        <w:rPr>
          <w:rFonts w:ascii="Times New Roman" w:hAnsi="Times New Roman" w:cs="Times New Roman"/>
          <w:sz w:val="24"/>
          <w:szCs w:val="24"/>
        </w:rPr>
        <w:t xml:space="preserve"> )  and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c  </m:t>
            </m:r>
          </m:sup>
        </m:sSubSup>
      </m:oMath>
      <w:r w:rsidR="00FD6512" w:rsidRPr="00C2756E">
        <w:rPr>
          <w:rFonts w:ascii="Times New Roman" w:hAnsi="Times New Roman" w:cs="Times New Roman"/>
          <w:sz w:val="24"/>
          <w:szCs w:val="24"/>
        </w:rPr>
        <w:t xml:space="preserve"> are the underlying cluster specific means</w:t>
      </w:r>
      <w:r w:rsidR="001A307F" w:rsidRPr="00C2756E">
        <w:rPr>
          <w:rFonts w:ascii="Times New Roman" w:hAnsi="Times New Roman" w:cs="Times New Roman"/>
          <w:sz w:val="24"/>
          <w:szCs w:val="24"/>
        </w:rPr>
        <w:t xml:space="preserve">, within a intervention group, </w:t>
      </w:r>
      <w:r w:rsidR="00FD6512" w:rsidRPr="00C2756E">
        <w:rPr>
          <w:rFonts w:ascii="Times New Roman" w:hAnsi="Times New Roman" w:cs="Times New Roman"/>
          <w:sz w:val="24"/>
          <w:szCs w:val="24"/>
        </w:rPr>
        <w:t xml:space="preserve">are assumed to be exchangeable and Normally distributed with variance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τ.e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D6512" w:rsidRPr="00C2756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τ.c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D6512" w:rsidRPr="00C2756E">
        <w:rPr>
          <w:rFonts w:ascii="Times New Roman" w:hAnsi="Times New Roman" w:cs="Times New Roman"/>
          <w:sz w:val="24"/>
          <w:szCs w:val="24"/>
        </w:rPr>
        <w:t xml:space="preserve"> respectively.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c.clus</m:t>
            </m:r>
          </m:sup>
        </m:sSubSup>
      </m:oMath>
      <w:r w:rsidR="00FD6512" w:rsidRPr="00C275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D6512" w:rsidRPr="00C2756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D6512" w:rsidRPr="00C2756E">
        <w:rPr>
          <w:rFonts w:ascii="Times New Roman" w:hAnsi="Times New Roman" w:cs="Times New Roman"/>
          <w:sz w:val="24"/>
          <w:szCs w:val="24"/>
        </w:rPr>
        <w:t xml:space="preserve"> the </w:t>
      </w:r>
      <w:r w:rsidR="001A307F" w:rsidRPr="00C2756E">
        <w:rPr>
          <w:rFonts w:ascii="Times New Roman" w:hAnsi="Times New Roman" w:cs="Times New Roman"/>
          <w:sz w:val="24"/>
          <w:szCs w:val="24"/>
        </w:rPr>
        <w:t xml:space="preserve">intercept of the linear predictor for cost for the </w:t>
      </w:r>
      <w:r w:rsidR="00FD6512" w:rsidRPr="00C2756E">
        <w:rPr>
          <w:rFonts w:ascii="Times New Roman" w:hAnsi="Times New Roman" w:cs="Times New Roman"/>
          <w:sz w:val="24"/>
          <w:szCs w:val="24"/>
        </w:rPr>
        <w:t xml:space="preserve">underlying mean effect </w:t>
      </w:r>
      <w:r w:rsidR="001A307F" w:rsidRPr="00C2756E">
        <w:rPr>
          <w:rFonts w:ascii="Times New Roman" w:hAnsi="Times New Roman" w:cs="Times New Roman"/>
          <w:sz w:val="24"/>
          <w:szCs w:val="24"/>
        </w:rPr>
        <w:t xml:space="preserve"> and </w:t>
      </w:r>
      <w:r w:rsidR="00FD6512" w:rsidRPr="00C2756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c.clus</m:t>
            </m:r>
          </m:sup>
        </m:sSubSup>
      </m:oMath>
      <w:r w:rsidR="00FD6512" w:rsidRPr="00C2756E">
        <w:rPr>
          <w:rFonts w:ascii="Times New Roman" w:hAnsi="Times New Roman" w:cs="Times New Roman"/>
          <w:sz w:val="24"/>
          <w:szCs w:val="24"/>
        </w:rPr>
        <w:t xml:space="preserve"> </w:t>
      </w:r>
      <w:r w:rsidR="001A307F" w:rsidRPr="00C2756E">
        <w:rPr>
          <w:rFonts w:ascii="Times New Roman" w:hAnsi="Times New Roman" w:cs="Times New Roman"/>
          <w:sz w:val="24"/>
          <w:szCs w:val="24"/>
        </w:rPr>
        <w:t xml:space="preserve"> is the regression coefficient which links the cost and effect equations at the cluster level.</w:t>
      </w:r>
      <w:r w:rsidR="008D34DA" w:rsidRPr="00C2756E">
        <w:rPr>
          <w:rFonts w:ascii="Times New Roman" w:hAnsi="Times New Roman" w:cs="Times New Roman"/>
          <w:sz w:val="24"/>
          <w:szCs w:val="24"/>
        </w:rPr>
        <w:t xml:space="preserve">  Finally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e.clus</m:t>
            </m:r>
          </m:sup>
        </m:sSubSup>
      </m:oMath>
      <w:r w:rsidR="008D34DA" w:rsidRPr="00C2756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c.clus</m:t>
            </m:r>
          </m:sup>
        </m:sSubSup>
      </m:oMath>
      <w:r w:rsidR="008D34DA" w:rsidRPr="00C2756E">
        <w:rPr>
          <w:rFonts w:ascii="Times New Roman" w:hAnsi="Times New Roman" w:cs="Times New Roman"/>
          <w:sz w:val="24"/>
          <w:szCs w:val="24"/>
        </w:rPr>
        <w:t xml:space="preserve"> are the regression coefficients for the </w:t>
      </w:r>
      <w:r w:rsidR="008D34DA" w:rsidRPr="00C2756E">
        <w:rPr>
          <w:rFonts w:ascii="Times New Roman" w:hAnsi="Times New Roman" w:cs="Times New Roman"/>
          <w:i/>
          <w:sz w:val="24"/>
          <w:szCs w:val="24"/>
        </w:rPr>
        <w:t>t</w:t>
      </w:r>
      <w:r w:rsidR="008D34DA" w:rsidRPr="00C2756E">
        <w:rPr>
          <w:rFonts w:ascii="Times New Roman" w:hAnsi="Times New Roman" w:cs="Times New Roman"/>
          <w:sz w:val="24"/>
          <w:szCs w:val="24"/>
        </w:rPr>
        <w:t xml:space="preserve"> baseline </w:t>
      </w:r>
      <w:r w:rsidR="004F7F07" w:rsidRPr="00C2756E">
        <w:rPr>
          <w:rFonts w:ascii="Times New Roman" w:hAnsi="Times New Roman" w:cs="Times New Roman"/>
          <w:sz w:val="24"/>
          <w:szCs w:val="24"/>
        </w:rPr>
        <w:t xml:space="preserve">cluster level </w:t>
      </w:r>
      <w:r w:rsidR="008D34DA" w:rsidRPr="00C2756E">
        <w:rPr>
          <w:rFonts w:ascii="Times New Roman" w:hAnsi="Times New Roman" w:cs="Times New Roman"/>
          <w:sz w:val="24"/>
          <w:szCs w:val="24"/>
        </w:rPr>
        <w:t xml:space="preserve">covariates included in the model (i.e. the same covariates as included in the clinical effectiveness analysis).   </w:t>
      </w:r>
      <w:r w:rsidR="00D11A0A" w:rsidRPr="00C2756E">
        <w:rPr>
          <w:rFonts w:ascii="Times New Roman" w:hAnsi="Times New Roman" w:cs="Times New Roman"/>
          <w:sz w:val="24"/>
          <w:szCs w:val="24"/>
        </w:rPr>
        <w:t xml:space="preserve">Note that following preliminary runs of the model, the coefficient linking the cost and effect equations at the cluster level was omitted </w:t>
      </w:r>
      <w:r w:rsidR="002E4CBF" w:rsidRPr="00C2756E">
        <w:rPr>
          <w:rFonts w:ascii="Times New Roman" w:hAnsi="Times New Roman" w:cs="Times New Roman"/>
          <w:sz w:val="24"/>
          <w:szCs w:val="24"/>
        </w:rPr>
        <w:t>because it did not significantly improve the fit of the model</w:t>
      </w:r>
      <w:r w:rsidR="00D11A0A" w:rsidRPr="00C2756E">
        <w:rPr>
          <w:rFonts w:ascii="Times New Roman" w:hAnsi="Times New Roman" w:cs="Times New Roman"/>
          <w:sz w:val="24"/>
          <w:szCs w:val="24"/>
        </w:rPr>
        <w:t>.</w:t>
      </w:r>
    </w:p>
    <w:p w:rsidR="00E61DD5" w:rsidRPr="00C2756E" w:rsidRDefault="00D11A0A" w:rsidP="00DA672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756E">
        <w:rPr>
          <w:rFonts w:ascii="Times New Roman" w:hAnsi="Times New Roman" w:cs="Times New Roman"/>
          <w:sz w:val="24"/>
          <w:szCs w:val="24"/>
        </w:rPr>
        <w:t xml:space="preserve">The cost-effectiveness model was fitted using the </w:t>
      </w:r>
      <w:proofErr w:type="spellStart"/>
      <w:r w:rsidRPr="00C2756E">
        <w:rPr>
          <w:rFonts w:ascii="Times New Roman" w:hAnsi="Times New Roman" w:cs="Times New Roman"/>
          <w:sz w:val="24"/>
          <w:szCs w:val="24"/>
        </w:rPr>
        <w:t>WinBUGS</w:t>
      </w:r>
      <w:proofErr w:type="spellEnd"/>
      <w:r w:rsidR="00E61DD5" w:rsidRPr="00C2756E">
        <w:rPr>
          <w:rFonts w:ascii="Times New Roman" w:hAnsi="Times New Roman" w:cs="Times New Roman"/>
          <w:sz w:val="24"/>
          <w:szCs w:val="24"/>
        </w:rPr>
        <w:fldChar w:fldCharType="begin"/>
      </w:r>
      <w:r w:rsidR="00C2756E" w:rsidRPr="00C275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&lt;EndNote&gt;&lt;Cite&gt;&lt;Author&gt;Lunn&lt;/Author&gt;&lt;Year&gt;2000&lt;/Year&gt;&lt;RecNum&gt;5004&lt;/RecNum&gt;&lt;DisplayText&gt;(6)&lt;/DisplayText&gt;&lt;record&gt;&lt;rec-number&gt;5004&lt;/rec-number&gt;&lt;foreign-keys&gt;&lt;key app="EN" db-id="5r92asw0fzraznedr5u5te9bpt29dzx5r9ds"&gt;5004&lt;/key&gt;&lt;/foreign-keys&gt;&lt;ref-type name="Journal Article"&gt;17&lt;/ref-type&gt;&lt;contributors&gt;&lt;authors&gt;&lt;author&gt;Lunn, DavidJ&lt;/author&gt;&lt;author&gt;Thomas, Andrew&lt;/author&gt;&lt;author&gt;Best, Nicky&lt;/author&gt;&lt;author&gt;Spiegelhalter, David&lt;/author&gt;&lt;/authors&gt;&lt;/contributors&gt;&lt;titles&gt;&lt;title&gt;WinBUGS - A Bayesian modelling framework: Concepts, structure, and extensibility&lt;/title&gt;&lt;secondary-title&gt;Statistics and Computing&lt;/secondary-title&gt;&lt;alt-title&gt;Statistics and Computing&lt;/alt-title&gt;&lt;/titles&gt;&lt;periodical&gt;&lt;full-title&gt;Statistics and Computing&lt;/full-title&gt;&lt;abbr-1&gt;Statistics and Computing&lt;/abbr-1&gt;&lt;/periodical&gt;&lt;alt-periodical&gt;&lt;full-title&gt;Statistics and Computing&lt;/full-title&gt;&lt;abbr-1&gt;Statistics and Computing&lt;/abbr-1&gt;&lt;/alt-periodical&gt;&lt;pages&gt;325-337&lt;/pages&gt;&lt;volume&gt;10&lt;/volume&gt;&lt;number&gt;4&lt;/number&gt;&lt;keywords&gt;&lt;keyword&gt;WinBUGS&lt;/keyword&gt;&lt;keyword&gt;BUGS&lt;/keyword&gt;&lt;keyword&gt;Markov chain Monte Carlo&lt;/keyword&gt;&lt;keyword&gt;directed acyclic graphs&lt;/keyword&gt;&lt;keyword&gt;object-orientation&lt;/keyword&gt;&lt;keyword&gt;type extension&lt;/keyword&gt;&lt;keyword&gt;run-time linking&lt;/keyword&gt;&lt;/keywords&gt;&lt;dates&gt;&lt;year&gt;2000&lt;/year&gt;&lt;pub-dates&gt;&lt;date&gt;2000/10/01&lt;/date&gt;&lt;/pub-dates&gt;&lt;/dates&gt;&lt;publisher&gt;Kluwer Academic Publishers&lt;/publisher&gt;&lt;isbn&gt;0960-3174&lt;/isbn&gt;&lt;urls&gt;&lt;related-urls&gt;&lt;url&gt;http://dx.doi.org/10.1023/A%3A1008929526011&lt;/url&gt;&lt;/related-urls&gt;&lt;/urls&gt;&lt;electronic-resource-num&gt;10.1023/a:1008929526011&lt;/electronic-resource-num&gt;&lt;language&gt;English&lt;/language&gt;&lt;/record&gt;&lt;/Cite&gt;&lt;/EndNote&gt;</w:instrTex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separate"/>
      </w:r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Lunn, 2000 #5004" w:history="1">
        <w:r w:rsidR="00C2756E" w:rsidRPr="00C2756E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)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end"/>
      </w:r>
      <w:r w:rsidRPr="00C2756E">
        <w:rPr>
          <w:rFonts w:ascii="Times New Roman" w:hAnsi="Times New Roman" w:cs="Times New Roman"/>
          <w:sz w:val="24"/>
          <w:szCs w:val="24"/>
        </w:rPr>
        <w:t xml:space="preserve"> software which allows great flexibility in model specification and estimates model parameters using Markov Chain Monte Carlo (MCMC) methods.  </w:t>
      </w:r>
      <w:proofErr w:type="spellStart"/>
      <w:r w:rsidR="00412B13" w:rsidRPr="00C2756E">
        <w:rPr>
          <w:rFonts w:ascii="Times New Roman" w:hAnsi="Times New Roman" w:cs="Times New Roman"/>
          <w:sz w:val="24"/>
          <w:szCs w:val="24"/>
        </w:rPr>
        <w:t>WinBUGS</w:t>
      </w:r>
      <w:proofErr w:type="spellEnd"/>
      <w:r w:rsidR="00412B13" w:rsidRPr="00C2756E">
        <w:rPr>
          <w:rFonts w:ascii="Times New Roman" w:hAnsi="Times New Roman" w:cs="Times New Roman"/>
          <w:sz w:val="24"/>
          <w:szCs w:val="24"/>
        </w:rPr>
        <w:t xml:space="preserve"> uses the Bayesian statistical approach to inference, and as such requires prior distributions be placed on all unknown model parameters. For all parameters</w:t>
      </w:r>
      <w:r w:rsidR="00FB2D9D" w:rsidRPr="00C2756E">
        <w:rPr>
          <w:rFonts w:ascii="Times New Roman" w:hAnsi="Times New Roman" w:cs="Times New Roman"/>
          <w:sz w:val="24"/>
          <w:szCs w:val="24"/>
        </w:rPr>
        <w:t>,</w:t>
      </w:r>
      <w:r w:rsidR="00412B13" w:rsidRPr="00C2756E">
        <w:rPr>
          <w:rFonts w:ascii="Times New Roman" w:hAnsi="Times New Roman" w:cs="Times New Roman"/>
          <w:sz w:val="24"/>
          <w:szCs w:val="24"/>
        </w:rPr>
        <w:t xml:space="preserve"> vague prior distributions were specified, allowing the data to dominate the analysis</w:t>
      </w:r>
      <w:r w:rsidRPr="00C2756E">
        <w:rPr>
          <w:rFonts w:ascii="Times New Roman" w:hAnsi="Times New Roman" w:cs="Times New Roman"/>
          <w:sz w:val="24"/>
          <w:szCs w:val="24"/>
        </w:rPr>
        <w:t>.</w:t>
      </w:r>
      <w:r w:rsidR="0049491F" w:rsidRPr="00C2756E">
        <w:rPr>
          <w:rFonts w:ascii="Times New Roman" w:hAnsi="Times New Roman" w:cs="Times New Roman"/>
          <w:sz w:val="24"/>
          <w:szCs w:val="24"/>
        </w:rPr>
        <w:t xml:space="preserve"> </w:t>
      </w:r>
      <w:r w:rsidRPr="00C2756E">
        <w:rPr>
          <w:rFonts w:ascii="Times New Roman" w:hAnsi="Times New Roman" w:cs="Times New Roman"/>
          <w:sz w:val="24"/>
          <w:szCs w:val="24"/>
        </w:rPr>
        <w:t xml:space="preserve">Following preliminary analyses checking convergence and autocorrelation between consecutive samples, the model </w:t>
      </w:r>
      <w:r w:rsidR="00412B13" w:rsidRPr="00C2756E">
        <w:rPr>
          <w:rFonts w:ascii="Times New Roman" w:hAnsi="Times New Roman" w:cs="Times New Roman"/>
          <w:sz w:val="24"/>
          <w:szCs w:val="24"/>
        </w:rPr>
        <w:t xml:space="preserve">was “burnt in” for </w:t>
      </w:r>
      <w:r w:rsidR="00592689" w:rsidRPr="00C2756E">
        <w:rPr>
          <w:rFonts w:ascii="Times New Roman" w:hAnsi="Times New Roman" w:cs="Times New Roman"/>
          <w:sz w:val="24"/>
          <w:szCs w:val="24"/>
        </w:rPr>
        <w:t>20,000</w:t>
      </w:r>
      <w:r w:rsidR="00412B13" w:rsidRPr="00C2756E">
        <w:rPr>
          <w:rFonts w:ascii="Times New Roman" w:hAnsi="Times New Roman" w:cs="Times New Roman"/>
          <w:sz w:val="24"/>
          <w:szCs w:val="24"/>
        </w:rPr>
        <w:t xml:space="preserve"> iterations followed by a further </w:t>
      </w:r>
      <w:r w:rsidRPr="00C2756E">
        <w:rPr>
          <w:rFonts w:ascii="Times New Roman" w:hAnsi="Times New Roman" w:cs="Times New Roman"/>
          <w:sz w:val="24"/>
          <w:szCs w:val="24"/>
        </w:rPr>
        <w:t>18</w:t>
      </w:r>
      <w:r w:rsidR="00592689" w:rsidRPr="00C2756E">
        <w:rPr>
          <w:rFonts w:ascii="Times New Roman" w:hAnsi="Times New Roman" w:cs="Times New Roman"/>
          <w:sz w:val="24"/>
          <w:szCs w:val="24"/>
        </w:rPr>
        <w:t>0,000</w:t>
      </w:r>
      <w:r w:rsidR="00412B13" w:rsidRPr="00C2756E">
        <w:rPr>
          <w:rFonts w:ascii="Times New Roman" w:hAnsi="Times New Roman" w:cs="Times New Roman"/>
          <w:sz w:val="24"/>
          <w:szCs w:val="24"/>
        </w:rPr>
        <w:t xml:space="preserve"> iterations on which parameter estimation and inference was based.</w:t>
      </w:r>
      <w:r w:rsidR="006A6AAE" w:rsidRPr="00C2756E">
        <w:rPr>
          <w:rFonts w:ascii="Times New Roman" w:hAnsi="Times New Roman" w:cs="Times New Roman"/>
          <w:sz w:val="24"/>
          <w:szCs w:val="24"/>
        </w:rPr>
        <w:t xml:space="preserve"> Convergence of the MCMC sampler was assessed using the </w:t>
      </w:r>
      <w:proofErr w:type="spellStart"/>
      <w:r w:rsidR="006A6AAE" w:rsidRPr="00C2756E">
        <w:rPr>
          <w:rFonts w:ascii="Times New Roman" w:hAnsi="Times New Roman" w:cs="Times New Roman"/>
          <w:sz w:val="24"/>
          <w:szCs w:val="24"/>
        </w:rPr>
        <w:t>Gelm</w:t>
      </w:r>
      <w:r w:rsidR="00703DA8" w:rsidRPr="00C2756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03DA8" w:rsidRPr="00C2756E">
        <w:rPr>
          <w:rFonts w:ascii="Times New Roman" w:hAnsi="Times New Roman" w:cs="Times New Roman"/>
          <w:sz w:val="24"/>
          <w:szCs w:val="24"/>
        </w:rPr>
        <w:t xml:space="preserve"> Rubin diagnostic by running multiple</w:t>
      </w:r>
      <w:r w:rsidR="006A6AAE" w:rsidRPr="00C2756E">
        <w:rPr>
          <w:rFonts w:ascii="Times New Roman" w:hAnsi="Times New Roman" w:cs="Times New Roman"/>
          <w:sz w:val="24"/>
          <w:szCs w:val="24"/>
        </w:rPr>
        <w:t xml:space="preserve"> chains with different starting values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begin"/>
      </w:r>
      <w:r w:rsidR="00C2756E" w:rsidRPr="00C275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&lt;EndNote&gt;&lt;Cite&gt;&lt;Author&gt;Lunn&lt;/Author&gt;&lt;Year&gt;2012&lt;/Year&gt;&lt;RecNum&gt;5894&lt;/RecNum&gt;&lt;DisplayText&gt;(7)&lt;/DisplayText&gt;&lt;record&gt;&lt;rec-number&gt;5894&lt;/rec-number&gt;&lt;foreign-keys&gt;&lt;key app="EN" db-id="5r92asw0fzraznedr5u5te9bpt29dzx5r9ds"&gt;5894&lt;/key&gt;&lt;/foreign-keys&gt;&lt;ref-type name="Book"&gt;6&lt;/ref-type&gt;&lt;contributors&gt;&lt;authors&gt;&lt;author&gt;Lunn, D., Jackson, C., Best, N., Thomas, A., Spiegelhalter, D.&lt;/author&gt;&lt;/authors&gt;&lt;/contributors&gt;&lt;titles&gt;&lt;title&gt;The BUGS Book - A Practical Introduction to Bayesian Analysis&lt;/title&gt;&lt;/titles&gt;&lt;dates&gt;&lt;year&gt;2012&lt;/year&gt;&lt;/dates&gt;&lt;publisher&gt;Chapman and Hall/CRC&lt;/publisher&gt;&lt;urls&gt;&lt;/urls&gt;&lt;/record&gt;&lt;/Cite&gt;&lt;/EndNote&gt;</w:instrTex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separate"/>
      </w:r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" w:tooltip="Lunn, 2012 #5894" w:history="1">
        <w:r w:rsidR="00C2756E" w:rsidRPr="00C2756E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)</w:t>
      </w:r>
      <w:r w:rsidR="00E61DD5" w:rsidRPr="00C2756E">
        <w:rPr>
          <w:rFonts w:ascii="Times New Roman" w:hAnsi="Times New Roman" w:cs="Times New Roman"/>
          <w:sz w:val="24"/>
          <w:szCs w:val="24"/>
        </w:rPr>
        <w:fldChar w:fldCharType="end"/>
      </w:r>
      <w:r w:rsidR="006A6AAE" w:rsidRPr="00C2756E">
        <w:rPr>
          <w:rFonts w:ascii="Times New Roman" w:hAnsi="Times New Roman" w:cs="Times New Roman"/>
          <w:sz w:val="24"/>
          <w:szCs w:val="24"/>
        </w:rPr>
        <w:t>.</w:t>
      </w:r>
    </w:p>
    <w:p w:rsidR="00C2756E" w:rsidRPr="00C2756E" w:rsidRDefault="00E61DD5" w:rsidP="00C275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2756E">
        <w:rPr>
          <w:rFonts w:ascii="Times New Roman" w:hAnsi="Times New Roman" w:cs="Times New Roman"/>
          <w:sz w:val="24"/>
          <w:szCs w:val="24"/>
        </w:rPr>
        <w:fldChar w:fldCharType="begin"/>
      </w:r>
      <w:r w:rsidRPr="00C2756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2756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C2756E" w:rsidRPr="00C2756E">
        <w:rPr>
          <w:rFonts w:ascii="Times New Roman" w:hAnsi="Times New Roman" w:cs="Times New Roman"/>
          <w:noProof/>
          <w:sz w:val="24"/>
          <w:szCs w:val="24"/>
        </w:rPr>
        <w:t>1.</w:t>
      </w:r>
      <w:r w:rsidR="00C2756E" w:rsidRPr="00C2756E">
        <w:rPr>
          <w:rFonts w:ascii="Times New Roman" w:hAnsi="Times New Roman" w:cs="Times New Roman"/>
          <w:noProof/>
          <w:sz w:val="24"/>
          <w:szCs w:val="24"/>
        </w:rPr>
        <w:tab/>
        <w:t>Gomes M, Ng E, Grieve R, Nixon R, Carpenter J, Thompson SG. Developing appropriate methods for cost-effectiveness analysis of cluster randomized trials. Medical Decision Making. 2012;32(2):350-61. Epub 2011 Oct 19.</w:t>
      </w:r>
      <w:bookmarkEnd w:id="1"/>
    </w:p>
    <w:p w:rsidR="00C2756E" w:rsidRPr="00C2756E" w:rsidRDefault="00C2756E" w:rsidP="00C275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C2756E">
        <w:rPr>
          <w:rFonts w:ascii="Times New Roman" w:hAnsi="Times New Roman" w:cs="Times New Roman"/>
          <w:noProof/>
          <w:sz w:val="24"/>
          <w:szCs w:val="24"/>
        </w:rPr>
        <w:t>2.</w:t>
      </w:r>
      <w:r w:rsidRPr="00C2756E">
        <w:rPr>
          <w:rFonts w:ascii="Times New Roman" w:hAnsi="Times New Roman" w:cs="Times New Roman"/>
          <w:noProof/>
          <w:sz w:val="24"/>
          <w:szCs w:val="24"/>
        </w:rPr>
        <w:tab/>
        <w:t>Grieve R, Nixon R, Thompson S. Bayesian hierarchical models for cost-effectiveness analyses that use data from cluster randomized trials. Medical Decision Making. 2010;30(2):163-75. Epub 2009 Aug 12.</w:t>
      </w:r>
      <w:bookmarkEnd w:id="2"/>
    </w:p>
    <w:p w:rsidR="00C2756E" w:rsidRPr="00C2756E" w:rsidRDefault="00C2756E" w:rsidP="00C275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"/>
      <w:r w:rsidRPr="00C2756E">
        <w:rPr>
          <w:rFonts w:ascii="Times New Roman" w:hAnsi="Times New Roman" w:cs="Times New Roman"/>
          <w:noProof/>
          <w:sz w:val="24"/>
          <w:szCs w:val="24"/>
        </w:rPr>
        <w:t>3.</w:t>
      </w:r>
      <w:r w:rsidRPr="00C2756E">
        <w:rPr>
          <w:rFonts w:ascii="Times New Roman" w:hAnsi="Times New Roman" w:cs="Times New Roman"/>
          <w:noProof/>
          <w:sz w:val="24"/>
          <w:szCs w:val="24"/>
        </w:rPr>
        <w:tab/>
        <w:t>Teixeira-Pinto A, Normand, SL. Correlated bivariate continuous and binary outcomes: issues and applications. Stat Med. 2009;28(13):1753-73.</w:t>
      </w:r>
      <w:bookmarkEnd w:id="3"/>
    </w:p>
    <w:p w:rsidR="00C2756E" w:rsidRPr="00C2756E" w:rsidRDefault="00C2756E" w:rsidP="00C275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" w:name="_ENREF_4"/>
      <w:r w:rsidRPr="00C2756E">
        <w:rPr>
          <w:rFonts w:ascii="Times New Roman" w:hAnsi="Times New Roman" w:cs="Times New Roman"/>
          <w:noProof/>
          <w:sz w:val="24"/>
          <w:szCs w:val="24"/>
        </w:rPr>
        <w:t>4.</w:t>
      </w:r>
      <w:r w:rsidRPr="00C2756E">
        <w:rPr>
          <w:rFonts w:ascii="Times New Roman" w:hAnsi="Times New Roman" w:cs="Times New Roman"/>
          <w:noProof/>
          <w:sz w:val="24"/>
          <w:szCs w:val="24"/>
        </w:rPr>
        <w:tab/>
        <w:t>Fitzmaurice G, Laird, NM. Regression Models for a Bivariate Discrete and Continuous Outcome with Clustering. Journal of the American Statistical Association. 1995;90(431):845-52.</w:t>
      </w:r>
      <w:bookmarkEnd w:id="4"/>
    </w:p>
    <w:p w:rsidR="00C2756E" w:rsidRPr="00C2756E" w:rsidRDefault="00C2756E" w:rsidP="00C275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" w:name="_ENREF_5"/>
      <w:r w:rsidRPr="00C2756E">
        <w:rPr>
          <w:rFonts w:ascii="Times New Roman" w:hAnsi="Times New Roman" w:cs="Times New Roman"/>
          <w:noProof/>
          <w:sz w:val="24"/>
          <w:szCs w:val="24"/>
        </w:rPr>
        <w:t>5.</w:t>
      </w:r>
      <w:r w:rsidRPr="00C2756E">
        <w:rPr>
          <w:rFonts w:ascii="Times New Roman" w:hAnsi="Times New Roman" w:cs="Times New Roman"/>
          <w:noProof/>
          <w:sz w:val="24"/>
          <w:szCs w:val="24"/>
        </w:rPr>
        <w:tab/>
        <w:t>Thompson S, Nixon, RM. How Sensitive Are Cost-Effectiveness Analyses to Choice of Parametric Distributions? . Medical Decision Making. 2005;25(4):416-23.</w:t>
      </w:r>
      <w:bookmarkEnd w:id="5"/>
    </w:p>
    <w:p w:rsidR="00C2756E" w:rsidRPr="00C2756E" w:rsidRDefault="00C2756E" w:rsidP="00C275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6" w:name="_ENREF_6"/>
      <w:r w:rsidRPr="00C2756E">
        <w:rPr>
          <w:rFonts w:ascii="Times New Roman" w:hAnsi="Times New Roman" w:cs="Times New Roman"/>
          <w:noProof/>
          <w:sz w:val="24"/>
          <w:szCs w:val="24"/>
        </w:rPr>
        <w:t>6.</w:t>
      </w:r>
      <w:r w:rsidRPr="00C2756E">
        <w:rPr>
          <w:rFonts w:ascii="Times New Roman" w:hAnsi="Times New Roman" w:cs="Times New Roman"/>
          <w:noProof/>
          <w:sz w:val="24"/>
          <w:szCs w:val="24"/>
        </w:rPr>
        <w:tab/>
        <w:t>Lunn D, Thomas A, Best N, Spiegelhalter D. WinBUGS - A Bayesian modelling framework: Concepts, structure, and extensibility. Statistics and Computing. 2000 2000/10/01;10(4):325-37. English.</w:t>
      </w:r>
      <w:bookmarkEnd w:id="6"/>
    </w:p>
    <w:p w:rsidR="009C02BF" w:rsidRDefault="00C2756E" w:rsidP="00944339">
      <w:pPr>
        <w:spacing w:line="240" w:lineRule="auto"/>
      </w:pPr>
      <w:bookmarkStart w:id="7" w:name="_ENREF_7"/>
      <w:r w:rsidRPr="00C2756E">
        <w:rPr>
          <w:rFonts w:ascii="Times New Roman" w:hAnsi="Times New Roman" w:cs="Times New Roman"/>
          <w:noProof/>
          <w:sz w:val="24"/>
          <w:szCs w:val="24"/>
        </w:rPr>
        <w:t>7.</w:t>
      </w:r>
      <w:r w:rsidRPr="00C2756E">
        <w:rPr>
          <w:rFonts w:ascii="Times New Roman" w:hAnsi="Times New Roman" w:cs="Times New Roman"/>
          <w:noProof/>
          <w:sz w:val="24"/>
          <w:szCs w:val="24"/>
        </w:rPr>
        <w:tab/>
        <w:t>Lunn D, Jackson, C., Best, N., Thomas, A., Spiegelhalter, D. The BUGS Book - A Practical Introduction to Bayesian Analysis: Chapman and Hall/CRC; 2012.</w:t>
      </w:r>
      <w:bookmarkEnd w:id="7"/>
      <w:r w:rsidR="00E61DD5" w:rsidRPr="00C2756E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C02BF" w:rsidSect="00330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141304C"/>
    <w:multiLevelType w:val="multilevel"/>
    <w:tmpl w:val="0046B8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63FF8"/>
    <w:multiLevelType w:val="multilevel"/>
    <w:tmpl w:val="B84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A4C0F"/>
    <w:multiLevelType w:val="hybridMultilevel"/>
    <w:tmpl w:val="1F26777A"/>
    <w:lvl w:ilvl="0" w:tplc="0DEA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E5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43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3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4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60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E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0F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C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1C459E"/>
    <w:multiLevelType w:val="hybridMultilevel"/>
    <w:tmpl w:val="E5BC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40349"/>
    <w:multiLevelType w:val="multilevel"/>
    <w:tmpl w:val="678A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D7651"/>
    <w:multiLevelType w:val="hybridMultilevel"/>
    <w:tmpl w:val="86388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r92asw0fzraznedr5u5te9bpt29dzx5r9ds&quot;&gt;Combined injury database Jan07-Saved&lt;record-ids&gt;&lt;item&gt;5004&lt;/item&gt;&lt;item&gt;5887&lt;/item&gt;&lt;item&gt;5888&lt;/item&gt;&lt;item&gt;5890&lt;/item&gt;&lt;item&gt;5891&lt;/item&gt;&lt;item&gt;5892&lt;/item&gt;&lt;item&gt;5894&lt;/item&gt;&lt;/record-ids&gt;&lt;/item&gt;&lt;/Libraries&gt;"/>
  </w:docVars>
  <w:rsids>
    <w:rsidRoot w:val="006B1F66"/>
    <w:rsid w:val="000012A6"/>
    <w:rsid w:val="00003801"/>
    <w:rsid w:val="0000398A"/>
    <w:rsid w:val="0001249F"/>
    <w:rsid w:val="0002448C"/>
    <w:rsid w:val="000339E5"/>
    <w:rsid w:val="00042FAE"/>
    <w:rsid w:val="000858C3"/>
    <w:rsid w:val="000A6F5F"/>
    <w:rsid w:val="000B0C75"/>
    <w:rsid w:val="000B3144"/>
    <w:rsid w:val="000D0F14"/>
    <w:rsid w:val="000D2D6E"/>
    <w:rsid w:val="000E5420"/>
    <w:rsid w:val="000F6D04"/>
    <w:rsid w:val="00102C6B"/>
    <w:rsid w:val="0010447B"/>
    <w:rsid w:val="00106EA8"/>
    <w:rsid w:val="00142C50"/>
    <w:rsid w:val="00182F7F"/>
    <w:rsid w:val="00193C29"/>
    <w:rsid w:val="001948B8"/>
    <w:rsid w:val="001A307F"/>
    <w:rsid w:val="001B4D28"/>
    <w:rsid w:val="001B6619"/>
    <w:rsid w:val="001D7EDE"/>
    <w:rsid w:val="00207AFC"/>
    <w:rsid w:val="00215CAA"/>
    <w:rsid w:val="0023312A"/>
    <w:rsid w:val="002710AA"/>
    <w:rsid w:val="002939ED"/>
    <w:rsid w:val="002B2A34"/>
    <w:rsid w:val="002C090B"/>
    <w:rsid w:val="002C1229"/>
    <w:rsid w:val="002C1A3A"/>
    <w:rsid w:val="002E4CBF"/>
    <w:rsid w:val="003161CA"/>
    <w:rsid w:val="003308BB"/>
    <w:rsid w:val="00333176"/>
    <w:rsid w:val="00351D5F"/>
    <w:rsid w:val="003605EE"/>
    <w:rsid w:val="0037020E"/>
    <w:rsid w:val="00384906"/>
    <w:rsid w:val="00391C92"/>
    <w:rsid w:val="003C3CF2"/>
    <w:rsid w:val="003D1DEC"/>
    <w:rsid w:val="003F5D6D"/>
    <w:rsid w:val="00403C58"/>
    <w:rsid w:val="00404DA1"/>
    <w:rsid w:val="00407973"/>
    <w:rsid w:val="00412B13"/>
    <w:rsid w:val="004200D7"/>
    <w:rsid w:val="004205E7"/>
    <w:rsid w:val="00436ABE"/>
    <w:rsid w:val="004441F2"/>
    <w:rsid w:val="00446B54"/>
    <w:rsid w:val="00451E7D"/>
    <w:rsid w:val="004750E4"/>
    <w:rsid w:val="0047756D"/>
    <w:rsid w:val="00490048"/>
    <w:rsid w:val="0049491F"/>
    <w:rsid w:val="004A376D"/>
    <w:rsid w:val="004D0F17"/>
    <w:rsid w:val="004D7317"/>
    <w:rsid w:val="004E2412"/>
    <w:rsid w:val="004F7F07"/>
    <w:rsid w:val="00502309"/>
    <w:rsid w:val="00513631"/>
    <w:rsid w:val="00537DA8"/>
    <w:rsid w:val="00574553"/>
    <w:rsid w:val="00584DAE"/>
    <w:rsid w:val="00592689"/>
    <w:rsid w:val="00593560"/>
    <w:rsid w:val="005B4CEA"/>
    <w:rsid w:val="005B7207"/>
    <w:rsid w:val="005D195B"/>
    <w:rsid w:val="005D2B3B"/>
    <w:rsid w:val="005E0877"/>
    <w:rsid w:val="006130C0"/>
    <w:rsid w:val="006250F5"/>
    <w:rsid w:val="006314C8"/>
    <w:rsid w:val="006709EF"/>
    <w:rsid w:val="00674EEE"/>
    <w:rsid w:val="00685A73"/>
    <w:rsid w:val="006A0D01"/>
    <w:rsid w:val="006A5C47"/>
    <w:rsid w:val="006A6AAE"/>
    <w:rsid w:val="006B1F66"/>
    <w:rsid w:val="006C6D92"/>
    <w:rsid w:val="006D0C57"/>
    <w:rsid w:val="006D2BEE"/>
    <w:rsid w:val="00703DA8"/>
    <w:rsid w:val="00733AB7"/>
    <w:rsid w:val="00745834"/>
    <w:rsid w:val="00750FEE"/>
    <w:rsid w:val="00771C2D"/>
    <w:rsid w:val="0079209B"/>
    <w:rsid w:val="007A1A0D"/>
    <w:rsid w:val="007C4873"/>
    <w:rsid w:val="007C6AF1"/>
    <w:rsid w:val="007D56BC"/>
    <w:rsid w:val="00810C93"/>
    <w:rsid w:val="00812050"/>
    <w:rsid w:val="008151E9"/>
    <w:rsid w:val="00841DC7"/>
    <w:rsid w:val="00851C77"/>
    <w:rsid w:val="00852247"/>
    <w:rsid w:val="0088521F"/>
    <w:rsid w:val="008A5649"/>
    <w:rsid w:val="008D34DA"/>
    <w:rsid w:val="008F3B80"/>
    <w:rsid w:val="008F47A8"/>
    <w:rsid w:val="0090102B"/>
    <w:rsid w:val="009068D5"/>
    <w:rsid w:val="00937932"/>
    <w:rsid w:val="00944339"/>
    <w:rsid w:val="00962CE4"/>
    <w:rsid w:val="009829A8"/>
    <w:rsid w:val="00996428"/>
    <w:rsid w:val="009B5E5F"/>
    <w:rsid w:val="009B7559"/>
    <w:rsid w:val="009C02BF"/>
    <w:rsid w:val="009E7F46"/>
    <w:rsid w:val="009F0AE6"/>
    <w:rsid w:val="00A00FD9"/>
    <w:rsid w:val="00A367EB"/>
    <w:rsid w:val="00A41A85"/>
    <w:rsid w:val="00A44822"/>
    <w:rsid w:val="00A47DCD"/>
    <w:rsid w:val="00A90F65"/>
    <w:rsid w:val="00AA5B55"/>
    <w:rsid w:val="00AC1208"/>
    <w:rsid w:val="00AC4CCD"/>
    <w:rsid w:val="00AD6A62"/>
    <w:rsid w:val="00AF693D"/>
    <w:rsid w:val="00B21D57"/>
    <w:rsid w:val="00B363AA"/>
    <w:rsid w:val="00B42139"/>
    <w:rsid w:val="00B42DB6"/>
    <w:rsid w:val="00BA3325"/>
    <w:rsid w:val="00BD28AA"/>
    <w:rsid w:val="00BF1D0D"/>
    <w:rsid w:val="00BF2F9E"/>
    <w:rsid w:val="00C130C7"/>
    <w:rsid w:val="00C2756E"/>
    <w:rsid w:val="00C84D07"/>
    <w:rsid w:val="00C90C39"/>
    <w:rsid w:val="00C97935"/>
    <w:rsid w:val="00CD169E"/>
    <w:rsid w:val="00CF2B0B"/>
    <w:rsid w:val="00CF3428"/>
    <w:rsid w:val="00CF7687"/>
    <w:rsid w:val="00D10BB1"/>
    <w:rsid w:val="00D11A0A"/>
    <w:rsid w:val="00D1401E"/>
    <w:rsid w:val="00D2738A"/>
    <w:rsid w:val="00D34EFD"/>
    <w:rsid w:val="00D572FD"/>
    <w:rsid w:val="00D5799E"/>
    <w:rsid w:val="00D77585"/>
    <w:rsid w:val="00D77BD4"/>
    <w:rsid w:val="00D85FE1"/>
    <w:rsid w:val="00DA672B"/>
    <w:rsid w:val="00DB761C"/>
    <w:rsid w:val="00DE586E"/>
    <w:rsid w:val="00DF783A"/>
    <w:rsid w:val="00E119A9"/>
    <w:rsid w:val="00E14D3B"/>
    <w:rsid w:val="00E21DD7"/>
    <w:rsid w:val="00E61DD5"/>
    <w:rsid w:val="00E62ED3"/>
    <w:rsid w:val="00E83B56"/>
    <w:rsid w:val="00E856C3"/>
    <w:rsid w:val="00E9190C"/>
    <w:rsid w:val="00EA6743"/>
    <w:rsid w:val="00EB7B3B"/>
    <w:rsid w:val="00EC57E6"/>
    <w:rsid w:val="00F01C5A"/>
    <w:rsid w:val="00F066A3"/>
    <w:rsid w:val="00F067CE"/>
    <w:rsid w:val="00F3066F"/>
    <w:rsid w:val="00F72EBA"/>
    <w:rsid w:val="00F902A7"/>
    <w:rsid w:val="00FA6B12"/>
    <w:rsid w:val="00FB2D9D"/>
    <w:rsid w:val="00FD6512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B653AA0-4FC4-4D19-A224-F82B6D60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0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1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02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02B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0102B"/>
    <w:pPr>
      <w:ind w:left="720"/>
      <w:contextualSpacing/>
    </w:pPr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CD"/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CD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06EA8"/>
    <w:rPr>
      <w:strike w:val="0"/>
      <w:dstrike w:val="0"/>
      <w:color w:val="0033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6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65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2" w:space="0" w:color="AAAAAA"/>
              </w:divBdr>
              <w:divsChild>
                <w:div w:id="8387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7492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3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63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440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5B2D-2D95-48E5-9F58-2DD8F3E4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njc21</dc:creator>
  <cp:lastModifiedBy>Pepper Pamela</cp:lastModifiedBy>
  <cp:revision>6</cp:revision>
  <dcterms:created xsi:type="dcterms:W3CDTF">2015-11-05T14:32:00Z</dcterms:created>
  <dcterms:modified xsi:type="dcterms:W3CDTF">2017-02-22T16:15:00Z</dcterms:modified>
</cp:coreProperties>
</file>