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D21C" w14:textId="77777777" w:rsidR="009E67C4" w:rsidRPr="009E67C4" w:rsidRDefault="009E67C4" w:rsidP="009E67C4">
      <w:pPr>
        <w:spacing w:line="480" w:lineRule="auto"/>
        <w:jc w:val="both"/>
        <w:rPr>
          <w:b/>
          <w:lang w:val="en-US"/>
        </w:rPr>
      </w:pPr>
      <w:bookmarkStart w:id="0" w:name="_GoBack"/>
      <w:r w:rsidRPr="009E67C4">
        <w:rPr>
          <w:b/>
          <w:lang w:val="en-US"/>
        </w:rPr>
        <w:t xml:space="preserve">Table S4. Regression models for </w:t>
      </w:r>
      <w:r w:rsidRPr="009E67C4">
        <w:rPr>
          <w:b/>
          <w:position w:val="-12"/>
          <w:lang w:val="en-US"/>
        </w:rPr>
        <w:object w:dxaOrig="820" w:dyaOrig="360" w14:anchorId="61F6FE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18pt" o:ole="">
            <v:imagedata r:id="rId4" o:title=""/>
          </v:shape>
          <o:OLEObject Type="Embed" ProgID="Equation.3" ShapeID="_x0000_i1025" DrawAspect="Content" ObjectID="_1519668168" r:id="rId5"/>
        </w:object>
      </w:r>
      <w:r w:rsidRPr="009E67C4">
        <w:rPr>
          <w:b/>
          <w:lang w:val="en-US"/>
        </w:rPr>
        <w:t xml:space="preserve"> based on key variability modes and the persistence of impacts.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990"/>
        <w:gridCol w:w="985"/>
        <w:gridCol w:w="1065"/>
        <w:gridCol w:w="1065"/>
        <w:gridCol w:w="1065"/>
        <w:gridCol w:w="947"/>
      </w:tblGrid>
      <w:tr w:rsidR="009E67C4" w14:paraId="196CEAC4" w14:textId="77777777" w:rsidTr="00594FF5">
        <w:tc>
          <w:tcPr>
            <w:tcW w:w="1323" w:type="dxa"/>
          </w:tcPr>
          <w:bookmarkEnd w:id="0"/>
          <w:p w14:paraId="2E67321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7A5DA0">
              <w:rPr>
                <w:position w:val="-12"/>
                <w:lang w:val="en-US"/>
              </w:rPr>
              <w:object w:dxaOrig="820" w:dyaOrig="360" w14:anchorId="5BA00F6A">
                <v:shape id="_x0000_i1026" type="#_x0000_t75" style="width:40.2pt;height:18pt" o:ole="">
                  <v:imagedata r:id="rId6" o:title=""/>
                </v:shape>
                <o:OLEObject Type="Embed" ProgID="Equation.3" ShapeID="_x0000_i1026" DrawAspect="Content" ObjectID="_1519668169" r:id="rId7"/>
              </w:object>
            </w:r>
          </w:p>
        </w:tc>
        <w:tc>
          <w:tcPr>
            <w:tcW w:w="990" w:type="dxa"/>
          </w:tcPr>
          <w:p w14:paraId="47FAA0B5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c</w:t>
            </w:r>
          </w:p>
        </w:tc>
        <w:tc>
          <w:tcPr>
            <w:tcW w:w="985" w:type="dxa"/>
          </w:tcPr>
          <w:p w14:paraId="74F42A99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position w:val="-6"/>
                <w:lang w:val="en-US"/>
              </w:rPr>
              <w:object w:dxaOrig="240" w:dyaOrig="220" w14:anchorId="267C2C80">
                <v:shape id="_x0000_i1027" type="#_x0000_t75" style="width:12pt;height:11.4pt" o:ole="">
                  <v:imagedata r:id="rId8" o:title=""/>
                </v:shape>
                <o:OLEObject Type="Embed" ProgID="Equation.3" ShapeID="_x0000_i1027" DrawAspect="Content" ObjectID="_1519668170" r:id="rId9"/>
              </w:object>
            </w:r>
          </w:p>
        </w:tc>
        <w:tc>
          <w:tcPr>
            <w:tcW w:w="1065" w:type="dxa"/>
          </w:tcPr>
          <w:p w14:paraId="56133088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position w:val="-10"/>
                <w:lang w:val="en-US"/>
              </w:rPr>
              <w:object w:dxaOrig="240" w:dyaOrig="340" w14:anchorId="04C3FFEC">
                <v:shape id="_x0000_i1028" type="#_x0000_t75" style="width:12pt;height:17.4pt" o:ole="">
                  <v:imagedata r:id="rId10" o:title=""/>
                </v:shape>
                <o:OLEObject Type="Embed" ProgID="Equation.3" ShapeID="_x0000_i1028" DrawAspect="Content" ObjectID="_1519668171" r:id="rId11"/>
              </w:object>
            </w:r>
          </w:p>
        </w:tc>
        <w:tc>
          <w:tcPr>
            <w:tcW w:w="1065" w:type="dxa"/>
          </w:tcPr>
          <w:p w14:paraId="3939C279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position w:val="-10"/>
                <w:lang w:val="en-US"/>
              </w:rPr>
              <w:object w:dxaOrig="279" w:dyaOrig="340" w14:anchorId="6E3DB6E8">
                <v:shape id="_x0000_i1029" type="#_x0000_t75" style="width:14.4pt;height:17.4pt" o:ole="">
                  <v:imagedata r:id="rId12" o:title=""/>
                </v:shape>
                <o:OLEObject Type="Embed" ProgID="Equation.3" ShapeID="_x0000_i1029" DrawAspect="Content" ObjectID="_1519668172" r:id="rId13"/>
              </w:object>
            </w:r>
          </w:p>
        </w:tc>
        <w:tc>
          <w:tcPr>
            <w:tcW w:w="1065" w:type="dxa"/>
          </w:tcPr>
          <w:p w14:paraId="77E67977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position w:val="-10"/>
                <w:lang w:val="en-US"/>
              </w:rPr>
              <w:object w:dxaOrig="200" w:dyaOrig="260" w14:anchorId="509EC8A2">
                <v:shape id="_x0000_i1030" type="#_x0000_t75" style="width:9.6pt;height:12.6pt" o:ole="">
                  <v:imagedata r:id="rId14" o:title=""/>
                </v:shape>
                <o:OLEObject Type="Embed" ProgID="Equation.3" ShapeID="_x0000_i1030" DrawAspect="Content" ObjectID="_1519668173" r:id="rId15"/>
              </w:object>
            </w:r>
          </w:p>
        </w:tc>
        <w:tc>
          <w:tcPr>
            <w:tcW w:w="947" w:type="dxa"/>
          </w:tcPr>
          <w:p w14:paraId="5FCEBE71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position w:val="-4"/>
                <w:lang w:val="en-US"/>
              </w:rPr>
              <w:object w:dxaOrig="320" w:dyaOrig="300" w14:anchorId="7683CD7C">
                <v:shape id="_x0000_i1031" type="#_x0000_t75" style="width:15.6pt;height:15pt" o:ole="">
                  <v:imagedata r:id="rId16" o:title=""/>
                </v:shape>
                <o:OLEObject Type="Embed" ProgID="Equation.3" ShapeID="_x0000_i1031" DrawAspect="Content" ObjectID="_1519668174" r:id="rId17"/>
              </w:object>
            </w:r>
          </w:p>
        </w:tc>
      </w:tr>
      <w:tr w:rsidR="009E67C4" w14:paraId="0775B5B7" w14:textId="77777777" w:rsidTr="00594FF5">
        <w:tc>
          <w:tcPr>
            <w:tcW w:w="1323" w:type="dxa"/>
          </w:tcPr>
          <w:p w14:paraId="02772265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DICE99</w:t>
            </w:r>
          </w:p>
        </w:tc>
        <w:tc>
          <w:tcPr>
            <w:tcW w:w="990" w:type="dxa"/>
          </w:tcPr>
          <w:p w14:paraId="2F6F3138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-0.0638</w:t>
            </w:r>
          </w:p>
          <w:p w14:paraId="57BFF17C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(-7.41)</w:t>
            </w:r>
          </w:p>
        </w:tc>
        <w:tc>
          <w:tcPr>
            <w:tcW w:w="985" w:type="dxa"/>
          </w:tcPr>
          <w:p w14:paraId="799FFF1B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0.4147</w:t>
            </w:r>
          </w:p>
          <w:p w14:paraId="0A0A9F94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(5.55)</w:t>
            </w:r>
          </w:p>
        </w:tc>
        <w:tc>
          <w:tcPr>
            <w:tcW w:w="1065" w:type="dxa"/>
          </w:tcPr>
          <w:p w14:paraId="5498B27A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0.2500</w:t>
            </w:r>
          </w:p>
          <w:p w14:paraId="0103D7A1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(8.27)</w:t>
            </w:r>
          </w:p>
        </w:tc>
        <w:tc>
          <w:tcPr>
            <w:tcW w:w="1065" w:type="dxa"/>
          </w:tcPr>
          <w:p w14:paraId="0B73DEC8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-0.1041</w:t>
            </w:r>
          </w:p>
          <w:p w14:paraId="77366756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(-2.92)</w:t>
            </w:r>
          </w:p>
        </w:tc>
        <w:tc>
          <w:tcPr>
            <w:tcW w:w="1065" w:type="dxa"/>
          </w:tcPr>
          <w:p w14:paraId="7D273AEC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-0.0174</w:t>
            </w:r>
          </w:p>
          <w:p w14:paraId="650C6EE3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(-4.75)</w:t>
            </w:r>
          </w:p>
        </w:tc>
        <w:tc>
          <w:tcPr>
            <w:tcW w:w="947" w:type="dxa"/>
          </w:tcPr>
          <w:p w14:paraId="2906DDB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0.65</w:t>
            </w:r>
          </w:p>
        </w:tc>
      </w:tr>
      <w:tr w:rsidR="009E67C4" w14:paraId="3BF7DA17" w14:textId="77777777" w:rsidTr="00594FF5">
        <w:tc>
          <w:tcPr>
            <w:tcW w:w="1323" w:type="dxa"/>
          </w:tcPr>
          <w:p w14:paraId="49C8F257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DICE2007</w:t>
            </w:r>
          </w:p>
        </w:tc>
        <w:tc>
          <w:tcPr>
            <w:tcW w:w="990" w:type="dxa"/>
          </w:tcPr>
          <w:p w14:paraId="3D05CAAC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-0.0099</w:t>
            </w:r>
          </w:p>
          <w:p w14:paraId="223D04E0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(-7.06)</w:t>
            </w:r>
          </w:p>
        </w:tc>
        <w:tc>
          <w:tcPr>
            <w:tcW w:w="985" w:type="dxa"/>
          </w:tcPr>
          <w:p w14:paraId="19F0B76E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</w:t>
            </w:r>
            <w:r>
              <w:rPr>
                <w:lang w:val="en-US"/>
              </w:rPr>
              <w:t>3632</w:t>
            </w:r>
          </w:p>
          <w:p w14:paraId="42B9B753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4.66</w:t>
            </w:r>
            <w:r w:rsidRPr="004B76DA">
              <w:rPr>
                <w:b/>
                <w:bCs/>
                <w:lang w:val="en-US"/>
              </w:rPr>
              <w:t>)</w:t>
            </w:r>
          </w:p>
        </w:tc>
        <w:tc>
          <w:tcPr>
            <w:tcW w:w="1065" w:type="dxa"/>
          </w:tcPr>
          <w:p w14:paraId="69BAC61D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0.0463</w:t>
            </w:r>
          </w:p>
          <w:p w14:paraId="3D4F3402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(6.87)</w:t>
            </w:r>
          </w:p>
        </w:tc>
        <w:tc>
          <w:tcPr>
            <w:tcW w:w="1065" w:type="dxa"/>
          </w:tcPr>
          <w:p w14:paraId="228AF2AA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-0.0169</w:t>
            </w:r>
          </w:p>
          <w:p w14:paraId="478C379A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(-2.24)</w:t>
            </w:r>
          </w:p>
        </w:tc>
        <w:tc>
          <w:tcPr>
            <w:tcW w:w="1065" w:type="dxa"/>
          </w:tcPr>
          <w:p w14:paraId="693DF299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-0.0</w:t>
            </w:r>
            <w:r>
              <w:rPr>
                <w:lang w:val="en-US"/>
              </w:rPr>
              <w:t>374</w:t>
            </w:r>
          </w:p>
          <w:p w14:paraId="0890C7C1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(-4.</w:t>
            </w:r>
            <w:r>
              <w:rPr>
                <w:b/>
                <w:bCs/>
                <w:lang w:val="en-US"/>
              </w:rPr>
              <w:t>6</w:t>
            </w:r>
            <w:r w:rsidRPr="004B76DA">
              <w:rPr>
                <w:b/>
                <w:bCs/>
                <w:lang w:val="en-US"/>
              </w:rPr>
              <w:t>1)</w:t>
            </w:r>
          </w:p>
        </w:tc>
        <w:tc>
          <w:tcPr>
            <w:tcW w:w="947" w:type="dxa"/>
          </w:tcPr>
          <w:p w14:paraId="354BE75E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</w:t>
            </w:r>
            <w:r>
              <w:rPr>
                <w:lang w:val="en-US"/>
              </w:rPr>
              <w:t>58</w:t>
            </w:r>
          </w:p>
        </w:tc>
      </w:tr>
      <w:tr w:rsidR="009E67C4" w14:paraId="5AE56DAD" w14:textId="77777777" w:rsidTr="00594FF5">
        <w:tc>
          <w:tcPr>
            <w:tcW w:w="1323" w:type="dxa"/>
          </w:tcPr>
          <w:p w14:paraId="2E766F23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MA</w:t>
            </w:r>
          </w:p>
        </w:tc>
        <w:tc>
          <w:tcPr>
            <w:tcW w:w="990" w:type="dxa"/>
          </w:tcPr>
          <w:p w14:paraId="10924FD5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</w:t>
            </w:r>
            <w:r>
              <w:rPr>
                <w:lang w:val="en-US"/>
              </w:rPr>
              <w:t>0211</w:t>
            </w:r>
          </w:p>
          <w:p w14:paraId="580D681B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</w:t>
            </w:r>
            <w:r>
              <w:rPr>
                <w:b/>
                <w:bCs/>
                <w:lang w:val="en-US"/>
              </w:rPr>
              <w:t>6</w:t>
            </w:r>
            <w:r w:rsidRPr="004B76DA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34</w:t>
            </w:r>
            <w:r w:rsidRPr="004B76DA">
              <w:rPr>
                <w:b/>
                <w:bCs/>
                <w:lang w:val="en-US"/>
              </w:rPr>
              <w:t>)</w:t>
            </w:r>
          </w:p>
        </w:tc>
        <w:tc>
          <w:tcPr>
            <w:tcW w:w="985" w:type="dxa"/>
          </w:tcPr>
          <w:p w14:paraId="155FC9D3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</w:t>
            </w:r>
            <w:r>
              <w:rPr>
                <w:lang w:val="en-US"/>
              </w:rPr>
              <w:t>4721</w:t>
            </w:r>
          </w:p>
          <w:p w14:paraId="16CE5A5A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6</w:t>
            </w:r>
            <w:r w:rsidRPr="004B76DA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04</w:t>
            </w:r>
            <w:r w:rsidRPr="004B76DA">
              <w:rPr>
                <w:b/>
                <w:bCs/>
                <w:lang w:val="en-US"/>
              </w:rPr>
              <w:t>)</w:t>
            </w:r>
          </w:p>
        </w:tc>
        <w:tc>
          <w:tcPr>
            <w:tcW w:w="1065" w:type="dxa"/>
          </w:tcPr>
          <w:p w14:paraId="056CF91A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-0.0915</w:t>
            </w:r>
          </w:p>
          <w:p w14:paraId="409D1C15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-9</w:t>
            </w:r>
            <w:r w:rsidRPr="004B76DA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34</w:t>
            </w:r>
            <w:r w:rsidRPr="004B76DA">
              <w:rPr>
                <w:b/>
                <w:bCs/>
                <w:lang w:val="en-US"/>
              </w:rPr>
              <w:t>)</w:t>
            </w:r>
          </w:p>
        </w:tc>
        <w:tc>
          <w:tcPr>
            <w:tcW w:w="1065" w:type="dxa"/>
          </w:tcPr>
          <w:p w14:paraId="664B2FF6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</w:t>
            </w:r>
            <w:r>
              <w:rPr>
                <w:lang w:val="en-US"/>
              </w:rPr>
              <w:t>0518</w:t>
            </w:r>
          </w:p>
          <w:p w14:paraId="6D7BE481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>4</w:t>
            </w:r>
            <w:r w:rsidRPr="004B76DA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46</w:t>
            </w:r>
            <w:r w:rsidRPr="004B76DA">
              <w:rPr>
                <w:b/>
                <w:bCs/>
                <w:lang w:val="en-US"/>
              </w:rPr>
              <w:t>)</w:t>
            </w:r>
          </w:p>
        </w:tc>
        <w:tc>
          <w:tcPr>
            <w:tcW w:w="1065" w:type="dxa"/>
          </w:tcPr>
          <w:p w14:paraId="44FA1788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91317D">
              <w:rPr>
                <w:b/>
                <w:bCs/>
                <w:lang w:val="en-US"/>
              </w:rPr>
              <w:t>--</w:t>
            </w:r>
          </w:p>
        </w:tc>
        <w:tc>
          <w:tcPr>
            <w:tcW w:w="947" w:type="dxa"/>
          </w:tcPr>
          <w:p w14:paraId="4965A12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0.6</w:t>
            </w:r>
            <w:r>
              <w:rPr>
                <w:lang w:val="en-US"/>
              </w:rPr>
              <w:t>2</w:t>
            </w:r>
          </w:p>
        </w:tc>
      </w:tr>
      <w:tr w:rsidR="009E67C4" w14:paraId="383A8612" w14:textId="77777777" w:rsidTr="00594FF5">
        <w:tc>
          <w:tcPr>
            <w:tcW w:w="1323" w:type="dxa"/>
          </w:tcPr>
          <w:p w14:paraId="2EAD6B60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PAGE2002</w:t>
            </w:r>
          </w:p>
        </w:tc>
        <w:tc>
          <w:tcPr>
            <w:tcW w:w="990" w:type="dxa"/>
          </w:tcPr>
          <w:p w14:paraId="4DFD206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0.0160</w:t>
            </w:r>
          </w:p>
          <w:p w14:paraId="02D22502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(6.79)</w:t>
            </w:r>
          </w:p>
        </w:tc>
        <w:tc>
          <w:tcPr>
            <w:tcW w:w="985" w:type="dxa"/>
          </w:tcPr>
          <w:p w14:paraId="52E279AB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0.3941</w:t>
            </w:r>
          </w:p>
          <w:p w14:paraId="55627AF3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(5.21)</w:t>
            </w:r>
          </w:p>
        </w:tc>
        <w:tc>
          <w:tcPr>
            <w:tcW w:w="1065" w:type="dxa"/>
          </w:tcPr>
          <w:p w14:paraId="3E13A75A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-0.0925</w:t>
            </w:r>
          </w:p>
          <w:p w14:paraId="1307F0D4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(-7.83)</w:t>
            </w:r>
          </w:p>
        </w:tc>
        <w:tc>
          <w:tcPr>
            <w:tcW w:w="1065" w:type="dxa"/>
          </w:tcPr>
          <w:p w14:paraId="32AEB348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0.0387</w:t>
            </w:r>
          </w:p>
          <w:p w14:paraId="7320A8D2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(2.85)</w:t>
            </w:r>
          </w:p>
        </w:tc>
        <w:tc>
          <w:tcPr>
            <w:tcW w:w="1065" w:type="dxa"/>
          </w:tcPr>
          <w:p w14:paraId="46F96E0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0.0070</w:t>
            </w:r>
          </w:p>
          <w:p w14:paraId="6A001355" w14:textId="77777777" w:rsidR="009E67C4" w:rsidRPr="004B76DA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4B76DA">
              <w:rPr>
                <w:b/>
                <w:bCs/>
                <w:lang w:val="en-US"/>
              </w:rPr>
              <w:t>(4.88)</w:t>
            </w:r>
          </w:p>
        </w:tc>
        <w:tc>
          <w:tcPr>
            <w:tcW w:w="947" w:type="dxa"/>
          </w:tcPr>
          <w:p w14:paraId="1FF29493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4C6B66">
              <w:rPr>
                <w:lang w:val="en-US"/>
              </w:rPr>
              <w:t>0.63</w:t>
            </w:r>
          </w:p>
        </w:tc>
      </w:tr>
      <w:tr w:rsidR="009E67C4" w14:paraId="21F162FD" w14:textId="77777777" w:rsidTr="00594FF5">
        <w:tc>
          <w:tcPr>
            <w:tcW w:w="1323" w:type="dxa"/>
          </w:tcPr>
          <w:p w14:paraId="383642F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737E69">
              <w:rPr>
                <w:lang w:val="en-US"/>
              </w:rPr>
              <w:t>FUND</w:t>
            </w:r>
            <w:r>
              <w:rPr>
                <w:lang w:val="en-US"/>
              </w:rPr>
              <w:t xml:space="preserve"> average</w:t>
            </w:r>
          </w:p>
        </w:tc>
        <w:tc>
          <w:tcPr>
            <w:tcW w:w="990" w:type="dxa"/>
          </w:tcPr>
          <w:p w14:paraId="14B4FE0A" w14:textId="77777777" w:rsidR="009E67C4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002183">
              <w:rPr>
                <w:lang w:val="en-US"/>
              </w:rPr>
              <w:t>0.031</w:t>
            </w:r>
            <w:r>
              <w:rPr>
                <w:lang w:val="en-US"/>
              </w:rPr>
              <w:t>1</w:t>
            </w:r>
          </w:p>
          <w:p w14:paraId="7E829175" w14:textId="77777777" w:rsidR="009E67C4" w:rsidRPr="00002183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Pr="00002183">
              <w:rPr>
                <w:lang w:val="en-US"/>
              </w:rPr>
              <w:t>1.</w:t>
            </w:r>
            <w:r>
              <w:rPr>
                <w:lang w:val="en-US"/>
              </w:rPr>
              <w:t>01)</w:t>
            </w:r>
          </w:p>
        </w:tc>
        <w:tc>
          <w:tcPr>
            <w:tcW w:w="985" w:type="dxa"/>
          </w:tcPr>
          <w:p w14:paraId="72132EC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065" w:type="dxa"/>
          </w:tcPr>
          <w:p w14:paraId="64F7BE66" w14:textId="77777777" w:rsidR="009E67C4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002183">
              <w:rPr>
                <w:lang w:val="en-US"/>
              </w:rPr>
              <w:t>0.3917</w:t>
            </w:r>
          </w:p>
          <w:p w14:paraId="0F502AFF" w14:textId="77777777" w:rsidR="009E67C4" w:rsidRPr="00002183" w:rsidRDefault="009E67C4" w:rsidP="00594FF5">
            <w:pPr>
              <w:spacing w:line="480" w:lineRule="auto"/>
              <w:jc w:val="both"/>
              <w:rPr>
                <w:i/>
                <w:iCs/>
                <w:lang w:val="en-US"/>
              </w:rPr>
            </w:pPr>
            <w:r w:rsidRPr="00002183">
              <w:rPr>
                <w:i/>
                <w:iCs/>
                <w:lang w:val="en-US"/>
              </w:rPr>
              <w:t>(1.89)</w:t>
            </w:r>
          </w:p>
        </w:tc>
        <w:tc>
          <w:tcPr>
            <w:tcW w:w="1065" w:type="dxa"/>
          </w:tcPr>
          <w:p w14:paraId="118E273F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065" w:type="dxa"/>
          </w:tcPr>
          <w:p w14:paraId="15844E9E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7" w:type="dxa"/>
          </w:tcPr>
          <w:p w14:paraId="0FC8B5C1" w14:textId="77777777" w:rsidR="009E67C4" w:rsidRPr="00002183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002183">
              <w:rPr>
                <w:lang w:val="en-US"/>
              </w:rPr>
              <w:t>0.15</w:t>
            </w:r>
          </w:p>
        </w:tc>
      </w:tr>
      <w:tr w:rsidR="009E67C4" w14:paraId="18693DD7" w14:textId="77777777" w:rsidTr="00594FF5">
        <w:tc>
          <w:tcPr>
            <w:tcW w:w="1323" w:type="dxa"/>
          </w:tcPr>
          <w:p w14:paraId="446F4E64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737E69">
              <w:rPr>
                <w:lang w:val="en-US"/>
              </w:rPr>
              <w:t>FUND</w:t>
            </w:r>
            <w:r>
              <w:rPr>
                <w:lang w:val="en-US"/>
              </w:rPr>
              <w:t xml:space="preserve"> equity</w:t>
            </w:r>
          </w:p>
        </w:tc>
        <w:tc>
          <w:tcPr>
            <w:tcW w:w="990" w:type="dxa"/>
          </w:tcPr>
          <w:p w14:paraId="7D1F1AEE" w14:textId="77777777" w:rsidR="009E67C4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002183">
              <w:rPr>
                <w:lang w:val="en-US"/>
              </w:rPr>
              <w:t>0.1595</w:t>
            </w:r>
          </w:p>
          <w:p w14:paraId="2D591D0A" w14:textId="77777777" w:rsidR="009E67C4" w:rsidRPr="00002183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002183">
              <w:rPr>
                <w:b/>
                <w:bCs/>
                <w:lang w:val="en-US"/>
              </w:rPr>
              <w:t>(3.91)</w:t>
            </w:r>
          </w:p>
        </w:tc>
        <w:tc>
          <w:tcPr>
            <w:tcW w:w="985" w:type="dxa"/>
          </w:tcPr>
          <w:p w14:paraId="4EBBD6C8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065" w:type="dxa"/>
          </w:tcPr>
          <w:p w14:paraId="172BA1CE" w14:textId="77777777" w:rsidR="009E67C4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002183">
              <w:rPr>
                <w:lang w:val="en-US"/>
              </w:rPr>
              <w:t>1.4678</w:t>
            </w:r>
          </w:p>
          <w:p w14:paraId="7FEB2BEE" w14:textId="77777777" w:rsidR="009E67C4" w:rsidRPr="00002183" w:rsidRDefault="009E67C4" w:rsidP="00594FF5">
            <w:pPr>
              <w:spacing w:line="480" w:lineRule="auto"/>
              <w:jc w:val="both"/>
              <w:rPr>
                <w:b/>
                <w:bCs/>
                <w:lang w:val="en-US"/>
              </w:rPr>
            </w:pPr>
            <w:r w:rsidRPr="00002183">
              <w:rPr>
                <w:b/>
                <w:bCs/>
                <w:lang w:val="en-US"/>
              </w:rPr>
              <w:t>(5.35)</w:t>
            </w:r>
          </w:p>
        </w:tc>
        <w:tc>
          <w:tcPr>
            <w:tcW w:w="1065" w:type="dxa"/>
          </w:tcPr>
          <w:p w14:paraId="7C015054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065" w:type="dxa"/>
          </w:tcPr>
          <w:p w14:paraId="5973A4EB" w14:textId="77777777" w:rsidR="009E67C4" w:rsidRPr="004C6B66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7" w:type="dxa"/>
          </w:tcPr>
          <w:p w14:paraId="448AB5B2" w14:textId="77777777" w:rsidR="009E67C4" w:rsidRPr="00002183" w:rsidRDefault="009E67C4" w:rsidP="00594FF5">
            <w:pPr>
              <w:spacing w:line="480" w:lineRule="auto"/>
              <w:jc w:val="both"/>
              <w:rPr>
                <w:lang w:val="en-US"/>
              </w:rPr>
            </w:pPr>
            <w:r w:rsidRPr="00002183">
              <w:rPr>
                <w:lang w:val="en-US"/>
              </w:rPr>
              <w:t>0.5</w:t>
            </w:r>
            <w:r>
              <w:rPr>
                <w:lang w:val="en-US"/>
              </w:rPr>
              <w:t>9</w:t>
            </w:r>
          </w:p>
        </w:tc>
      </w:tr>
    </w:tbl>
    <w:p w14:paraId="18762239" w14:textId="77777777" w:rsidR="009E67C4" w:rsidRDefault="009E67C4" w:rsidP="009E67C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Bold and italic figures indicate statistical significance at the 5% and 10 levels. </w:t>
      </w:r>
      <w:proofErr w:type="gramStart"/>
      <w:r>
        <w:rPr>
          <w:lang w:val="en-US"/>
        </w:rPr>
        <w:t>t-statistics</w:t>
      </w:r>
      <w:proofErr w:type="gramEnd"/>
      <w:r>
        <w:rPr>
          <w:lang w:val="en-US"/>
        </w:rPr>
        <w:t xml:space="preserve"> are given in parenthesis.</w:t>
      </w:r>
    </w:p>
    <w:p w14:paraId="070B9244" w14:textId="77777777" w:rsidR="00B13769" w:rsidRPr="009E67C4" w:rsidRDefault="009E67C4">
      <w:pPr>
        <w:rPr>
          <w:lang w:val="en-US"/>
        </w:rPr>
      </w:pPr>
    </w:p>
    <w:sectPr w:rsidR="00B13769" w:rsidRPr="009E67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C4"/>
    <w:rsid w:val="00522647"/>
    <w:rsid w:val="009E67C4"/>
    <w:rsid w:val="00B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3E5E"/>
  <w15:chartTrackingRefBased/>
  <w15:docId w15:val="{8CA2F7FC-CCB7-4FBB-8180-97902AD1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Estrada</dc:creator>
  <cp:keywords/>
  <dc:description/>
  <cp:lastModifiedBy>Francisco Estrada</cp:lastModifiedBy>
  <cp:revision>1</cp:revision>
  <dcterms:created xsi:type="dcterms:W3CDTF">2016-03-17T03:16:00Z</dcterms:created>
  <dcterms:modified xsi:type="dcterms:W3CDTF">2016-03-17T03:16:00Z</dcterms:modified>
</cp:coreProperties>
</file>