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5CE05" w14:textId="77777777" w:rsidR="00266122" w:rsidRPr="00C100C2" w:rsidRDefault="00266122" w:rsidP="0026612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sz w:val="40"/>
          <w:szCs w:val="32"/>
          <w:lang w:val="en-US" w:eastAsia="en-AU"/>
        </w:rPr>
      </w:pPr>
      <w:r w:rsidRPr="00C100C2">
        <w:rPr>
          <w:rFonts w:asciiTheme="majorHAnsi" w:eastAsiaTheme="majorEastAsia" w:hAnsiTheme="majorHAnsi" w:cstheme="majorBidi"/>
          <w:b/>
          <w:sz w:val="40"/>
          <w:szCs w:val="32"/>
          <w:lang w:val="en-US" w:eastAsia="en-AU"/>
        </w:rPr>
        <w:t xml:space="preserve">Supporting Information </w:t>
      </w:r>
    </w:p>
    <w:p w14:paraId="0A902680" w14:textId="77777777" w:rsidR="00266122" w:rsidRPr="00C100C2" w:rsidRDefault="00266122" w:rsidP="00266122">
      <w:pPr>
        <w:rPr>
          <w:b/>
          <w:lang w:val="en-US"/>
        </w:rPr>
      </w:pPr>
    </w:p>
    <w:p w14:paraId="5721BD89" w14:textId="7833A35F" w:rsidR="00266122" w:rsidRPr="00C100C2" w:rsidRDefault="00FE1753" w:rsidP="00266122">
      <w:pPr>
        <w:outlineLvl w:val="3"/>
        <w:rPr>
          <w:b/>
          <w:lang w:val="en-US" w:eastAsia="en-AU"/>
        </w:rPr>
      </w:pPr>
      <w:r>
        <w:rPr>
          <w:b/>
          <w:lang w:val="en-US"/>
        </w:rPr>
        <w:t xml:space="preserve">S1 </w:t>
      </w:r>
      <w:r w:rsidR="00266122" w:rsidRPr="00C100C2">
        <w:rPr>
          <w:b/>
          <w:lang w:val="en-US"/>
        </w:rPr>
        <w:t>Table</w:t>
      </w:r>
      <w:r w:rsidR="00E92A9A">
        <w:rPr>
          <w:b/>
          <w:lang w:val="en-US"/>
        </w:rPr>
        <w:t>.</w:t>
      </w:r>
      <w:bookmarkStart w:id="0" w:name="_GoBack"/>
      <w:bookmarkEnd w:id="0"/>
      <w:r w:rsidR="00266122" w:rsidRPr="00C100C2">
        <w:rPr>
          <w:b/>
          <w:lang w:val="en-US"/>
        </w:rPr>
        <w:t xml:space="preserve"> Tactics used by the Tobacco Industry when attempting to influence marketing regulation</w:t>
      </w:r>
    </w:p>
    <w:tbl>
      <w:tblPr>
        <w:tblStyle w:val="TableGrid"/>
        <w:tblW w:w="15309" w:type="dxa"/>
        <w:tblInd w:w="-572" w:type="dxa"/>
        <w:tblLook w:val="04A0" w:firstRow="1" w:lastRow="0" w:firstColumn="1" w:lastColumn="0" w:noHBand="0" w:noVBand="1"/>
      </w:tblPr>
      <w:tblGrid>
        <w:gridCol w:w="3029"/>
        <w:gridCol w:w="3208"/>
        <w:gridCol w:w="9072"/>
      </w:tblGrid>
      <w:tr w:rsidR="00266122" w:rsidRPr="00C100C2" w14:paraId="7353B02E" w14:textId="77777777" w:rsidTr="00FE371F">
        <w:trPr>
          <w:trHeight w:val="650"/>
        </w:trPr>
        <w:tc>
          <w:tcPr>
            <w:tcW w:w="3029" w:type="dxa"/>
            <w:vAlign w:val="center"/>
          </w:tcPr>
          <w:p w14:paraId="44712416" w14:textId="77777777" w:rsidR="00266122" w:rsidRPr="00C100C2" w:rsidRDefault="00266122" w:rsidP="00FE371F">
            <w:pPr>
              <w:ind w:firstLine="5"/>
              <w:rPr>
                <w:sz w:val="20"/>
                <w:lang w:val="en-US"/>
              </w:rPr>
            </w:pPr>
            <w:r w:rsidRPr="00C100C2">
              <w:rPr>
                <w:b/>
                <w:sz w:val="20"/>
                <w:lang w:val="en-US"/>
              </w:rPr>
              <w:t>Strategy</w:t>
            </w:r>
          </w:p>
        </w:tc>
        <w:tc>
          <w:tcPr>
            <w:tcW w:w="12280" w:type="dxa"/>
            <w:gridSpan w:val="2"/>
            <w:vAlign w:val="center"/>
          </w:tcPr>
          <w:p w14:paraId="4382285F" w14:textId="77777777" w:rsidR="00266122" w:rsidRPr="00C100C2" w:rsidRDefault="00266122" w:rsidP="00FE371F">
            <w:pPr>
              <w:ind w:firstLine="5"/>
              <w:jc w:val="center"/>
              <w:rPr>
                <w:b/>
                <w:sz w:val="20"/>
                <w:lang w:val="en-US"/>
              </w:rPr>
            </w:pPr>
            <w:r w:rsidRPr="00C100C2">
              <w:rPr>
                <w:b/>
                <w:sz w:val="20"/>
                <w:lang w:val="en-US"/>
              </w:rPr>
              <w:t>Tactic</w:t>
            </w:r>
          </w:p>
        </w:tc>
      </w:tr>
      <w:tr w:rsidR="008E245A" w:rsidRPr="00C100C2" w14:paraId="37A633B1" w14:textId="77777777" w:rsidTr="00FE371F">
        <w:trPr>
          <w:trHeight w:val="320"/>
        </w:trPr>
        <w:tc>
          <w:tcPr>
            <w:tcW w:w="3029" w:type="dxa"/>
            <w:vMerge w:val="restart"/>
          </w:tcPr>
          <w:p w14:paraId="6C9AD596" w14:textId="77777777" w:rsidR="008E245A" w:rsidRPr="00C100C2" w:rsidRDefault="008E245A" w:rsidP="00FE371F">
            <w:pPr>
              <w:ind w:firstLine="5"/>
              <w:rPr>
                <w:sz w:val="20"/>
                <w:szCs w:val="20"/>
                <w:lang w:val="en-US"/>
              </w:rPr>
            </w:pPr>
            <w:r w:rsidRPr="00C100C2">
              <w:rPr>
                <w:rFonts w:cs="AdvP403A40"/>
                <w:sz w:val="20"/>
                <w:szCs w:val="20"/>
              </w:rPr>
              <w:t>Information</w:t>
            </w:r>
          </w:p>
        </w:tc>
        <w:tc>
          <w:tcPr>
            <w:tcW w:w="12280" w:type="dxa"/>
            <w:gridSpan w:val="2"/>
          </w:tcPr>
          <w:p w14:paraId="0B00C585" w14:textId="77777777" w:rsidR="008E245A" w:rsidRPr="00C100C2" w:rsidRDefault="008E245A" w:rsidP="00FE371F">
            <w:pPr>
              <w:ind w:firstLine="5"/>
              <w:rPr>
                <w:sz w:val="20"/>
                <w:szCs w:val="20"/>
                <w:lang w:val="en-US"/>
              </w:rPr>
            </w:pPr>
            <w:r w:rsidRPr="00C100C2">
              <w:rPr>
                <w:rFonts w:cs="AdvP403A40"/>
                <w:sz w:val="20"/>
                <w:szCs w:val="20"/>
              </w:rPr>
              <w:t>Direct lobbying (meetings and correspondence with legislators/policymakers)</w:t>
            </w:r>
          </w:p>
        </w:tc>
      </w:tr>
      <w:tr w:rsidR="008E245A" w:rsidRPr="00C100C2" w14:paraId="4CFF9413" w14:textId="77777777" w:rsidTr="00FE371F">
        <w:trPr>
          <w:trHeight w:val="49"/>
        </w:trPr>
        <w:tc>
          <w:tcPr>
            <w:tcW w:w="3029" w:type="dxa"/>
            <w:vMerge/>
          </w:tcPr>
          <w:p w14:paraId="7E19E5DD" w14:textId="77777777" w:rsidR="008E245A" w:rsidRPr="00C100C2" w:rsidRDefault="008E245A" w:rsidP="00FE371F">
            <w:pPr>
              <w:ind w:firstLine="5"/>
              <w:rPr>
                <w:sz w:val="20"/>
                <w:szCs w:val="20"/>
                <w:lang w:val="en-US"/>
              </w:rPr>
            </w:pPr>
          </w:p>
        </w:tc>
        <w:tc>
          <w:tcPr>
            <w:tcW w:w="12280" w:type="dxa"/>
            <w:gridSpan w:val="2"/>
          </w:tcPr>
          <w:p w14:paraId="429443F3" w14:textId="77777777" w:rsidR="008E245A" w:rsidRPr="00C100C2" w:rsidRDefault="008E245A" w:rsidP="00FE371F">
            <w:pPr>
              <w:ind w:firstLine="5"/>
              <w:rPr>
                <w:sz w:val="20"/>
                <w:szCs w:val="20"/>
                <w:lang w:val="en-US"/>
              </w:rPr>
            </w:pPr>
            <w:r w:rsidRPr="00C100C2">
              <w:rPr>
                <w:rFonts w:cs="AdvP403A40"/>
                <w:sz w:val="20"/>
                <w:szCs w:val="20"/>
              </w:rPr>
              <w:t>Indirect lobbying (using third parties, including front groups, to lobby on the industry’s behalf)</w:t>
            </w:r>
          </w:p>
        </w:tc>
      </w:tr>
      <w:tr w:rsidR="008E245A" w:rsidRPr="00C100C2" w14:paraId="281BEF82" w14:textId="77777777" w:rsidTr="00FE371F">
        <w:trPr>
          <w:trHeight w:val="49"/>
        </w:trPr>
        <w:tc>
          <w:tcPr>
            <w:tcW w:w="3029" w:type="dxa"/>
            <w:vMerge/>
          </w:tcPr>
          <w:p w14:paraId="03E06BBB" w14:textId="77777777" w:rsidR="008E245A" w:rsidRPr="00C100C2" w:rsidRDefault="008E245A" w:rsidP="00FE371F">
            <w:pPr>
              <w:ind w:firstLine="5"/>
              <w:rPr>
                <w:sz w:val="20"/>
                <w:szCs w:val="20"/>
                <w:lang w:val="en-US"/>
              </w:rPr>
            </w:pPr>
          </w:p>
        </w:tc>
        <w:tc>
          <w:tcPr>
            <w:tcW w:w="3208" w:type="dxa"/>
            <w:vMerge w:val="restart"/>
          </w:tcPr>
          <w:p w14:paraId="53919BB5" w14:textId="77777777" w:rsidR="008E245A" w:rsidRPr="00C100C2" w:rsidRDefault="008E245A" w:rsidP="00FE371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100C2">
              <w:rPr>
                <w:rFonts w:cs="AdvP403A40"/>
                <w:sz w:val="20"/>
                <w:szCs w:val="20"/>
              </w:rPr>
              <w:t>Shaping the evidence base</w:t>
            </w:r>
          </w:p>
        </w:tc>
        <w:tc>
          <w:tcPr>
            <w:tcW w:w="9072" w:type="dxa"/>
          </w:tcPr>
          <w:p w14:paraId="140F4021" w14:textId="77777777" w:rsidR="008E245A" w:rsidRPr="00C100C2" w:rsidRDefault="008E245A" w:rsidP="00FE371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100C2">
              <w:rPr>
                <w:rFonts w:cs="AdvP403A40"/>
                <w:sz w:val="20"/>
                <w:szCs w:val="20"/>
              </w:rPr>
              <w:t>Commissioning, writing (or ghost writing), or disseminating research/publications</w:t>
            </w:r>
          </w:p>
        </w:tc>
      </w:tr>
      <w:tr w:rsidR="008E245A" w:rsidRPr="00C100C2" w14:paraId="0F1BCDA4" w14:textId="77777777" w:rsidTr="00FE371F">
        <w:trPr>
          <w:trHeight w:val="49"/>
        </w:trPr>
        <w:tc>
          <w:tcPr>
            <w:tcW w:w="3029" w:type="dxa"/>
            <w:vMerge/>
          </w:tcPr>
          <w:p w14:paraId="52C00692" w14:textId="77777777" w:rsidR="008E245A" w:rsidRPr="00C100C2" w:rsidRDefault="008E245A" w:rsidP="00FE371F">
            <w:pPr>
              <w:ind w:firstLine="5"/>
              <w:rPr>
                <w:sz w:val="20"/>
                <w:szCs w:val="20"/>
                <w:lang w:val="en-US"/>
              </w:rPr>
            </w:pPr>
          </w:p>
        </w:tc>
        <w:tc>
          <w:tcPr>
            <w:tcW w:w="3208" w:type="dxa"/>
            <w:vMerge/>
          </w:tcPr>
          <w:p w14:paraId="2BC8FFA8" w14:textId="77777777" w:rsidR="008E245A" w:rsidRPr="00C100C2" w:rsidRDefault="008E245A" w:rsidP="00FE37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72" w:type="dxa"/>
          </w:tcPr>
          <w:p w14:paraId="5904AA18" w14:textId="77777777" w:rsidR="008E245A" w:rsidRPr="00C100C2" w:rsidRDefault="008E245A" w:rsidP="00FE371F">
            <w:pPr>
              <w:autoSpaceDE w:val="0"/>
              <w:autoSpaceDN w:val="0"/>
              <w:adjustRightInd w:val="0"/>
              <w:rPr>
                <w:rFonts w:cs="AdvP403A40"/>
                <w:sz w:val="20"/>
                <w:szCs w:val="20"/>
              </w:rPr>
            </w:pPr>
            <w:r w:rsidRPr="00C100C2">
              <w:rPr>
                <w:rFonts w:cs="AdvP403A40"/>
                <w:sz w:val="20"/>
                <w:szCs w:val="20"/>
              </w:rPr>
              <w:t>Preparing position papers, technical reports or data on impacts</w:t>
            </w:r>
          </w:p>
          <w:p w14:paraId="22FE414C" w14:textId="77777777" w:rsidR="008E245A" w:rsidRPr="00C100C2" w:rsidRDefault="008E245A" w:rsidP="00FE371F">
            <w:pPr>
              <w:ind w:firstLine="5"/>
              <w:rPr>
                <w:sz w:val="20"/>
                <w:szCs w:val="20"/>
                <w:lang w:val="en-US"/>
              </w:rPr>
            </w:pPr>
            <w:r w:rsidRPr="00C100C2">
              <w:rPr>
                <w:rFonts w:cs="AdvP403A40"/>
                <w:sz w:val="20"/>
                <w:szCs w:val="20"/>
              </w:rPr>
              <w:t>(including economic impact studies)</w:t>
            </w:r>
          </w:p>
        </w:tc>
      </w:tr>
      <w:tr w:rsidR="008E245A" w:rsidRPr="00C100C2" w14:paraId="2131C52D" w14:textId="77777777" w:rsidTr="00FE371F">
        <w:trPr>
          <w:trHeight w:val="49"/>
        </w:trPr>
        <w:tc>
          <w:tcPr>
            <w:tcW w:w="3029" w:type="dxa"/>
            <w:vMerge/>
          </w:tcPr>
          <w:p w14:paraId="38ACB591" w14:textId="77777777" w:rsidR="008E245A" w:rsidRPr="00C100C2" w:rsidRDefault="008E245A" w:rsidP="00FE371F">
            <w:pPr>
              <w:ind w:firstLine="5"/>
              <w:rPr>
                <w:sz w:val="20"/>
                <w:szCs w:val="20"/>
                <w:lang w:val="en-US"/>
              </w:rPr>
            </w:pPr>
          </w:p>
        </w:tc>
        <w:tc>
          <w:tcPr>
            <w:tcW w:w="12280" w:type="dxa"/>
            <w:gridSpan w:val="2"/>
          </w:tcPr>
          <w:p w14:paraId="54BE3CDD" w14:textId="77777777" w:rsidR="008E245A" w:rsidRPr="00C100C2" w:rsidRDefault="008E245A" w:rsidP="00FE371F">
            <w:pPr>
              <w:ind w:firstLine="5"/>
              <w:rPr>
                <w:sz w:val="20"/>
                <w:szCs w:val="20"/>
                <w:lang w:val="en-US"/>
              </w:rPr>
            </w:pPr>
            <w:r w:rsidRPr="00C100C2">
              <w:rPr>
                <w:rFonts w:cs="AdvP403A40"/>
                <w:sz w:val="20"/>
                <w:szCs w:val="20"/>
              </w:rPr>
              <w:t>Establishing industry/policymaker collaboration (e.g. via working group, technical group, advisory group)/work alongside policymakers providing technical support/advice</w:t>
            </w:r>
          </w:p>
        </w:tc>
      </w:tr>
      <w:tr w:rsidR="008E245A" w:rsidRPr="00C100C2" w14:paraId="30AA13FD" w14:textId="77777777" w:rsidTr="00FE371F">
        <w:trPr>
          <w:trHeight w:val="49"/>
        </w:trPr>
        <w:tc>
          <w:tcPr>
            <w:tcW w:w="3029" w:type="dxa"/>
            <w:vMerge w:val="restart"/>
          </w:tcPr>
          <w:p w14:paraId="0D660F7D" w14:textId="77777777" w:rsidR="008E245A" w:rsidRPr="00C100C2" w:rsidRDefault="008E245A" w:rsidP="00FE371F">
            <w:pPr>
              <w:ind w:firstLine="5"/>
              <w:rPr>
                <w:sz w:val="20"/>
                <w:szCs w:val="20"/>
                <w:lang w:val="en-US"/>
              </w:rPr>
            </w:pPr>
            <w:r w:rsidRPr="00C100C2">
              <w:rPr>
                <w:rFonts w:cs="AdvP403A40"/>
                <w:sz w:val="20"/>
                <w:szCs w:val="20"/>
              </w:rPr>
              <w:t>Constituency building</w:t>
            </w:r>
          </w:p>
        </w:tc>
        <w:tc>
          <w:tcPr>
            <w:tcW w:w="3208" w:type="dxa"/>
            <w:vMerge w:val="restart"/>
          </w:tcPr>
          <w:p w14:paraId="1F6CF478" w14:textId="77777777" w:rsidR="008E245A" w:rsidRPr="00C100C2" w:rsidRDefault="008E245A" w:rsidP="00FE371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100C2">
              <w:rPr>
                <w:rFonts w:cs="AdvP403A40"/>
                <w:sz w:val="20"/>
                <w:szCs w:val="20"/>
              </w:rPr>
              <w:t>External constituency building</w:t>
            </w:r>
          </w:p>
        </w:tc>
        <w:tc>
          <w:tcPr>
            <w:tcW w:w="9072" w:type="dxa"/>
          </w:tcPr>
          <w:p w14:paraId="31EB7311" w14:textId="77777777" w:rsidR="008E245A" w:rsidRPr="00C100C2" w:rsidRDefault="008E245A" w:rsidP="00FE371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100C2">
              <w:rPr>
                <w:rFonts w:cs="AdvP403A40"/>
                <w:sz w:val="20"/>
                <w:szCs w:val="20"/>
              </w:rPr>
              <w:t>Form alliances with and mobilise other industry sectors/business/trade organisations</w:t>
            </w:r>
          </w:p>
        </w:tc>
      </w:tr>
      <w:tr w:rsidR="008E245A" w:rsidRPr="00C100C2" w14:paraId="3006ADDF" w14:textId="77777777" w:rsidTr="00FE371F">
        <w:trPr>
          <w:trHeight w:val="124"/>
        </w:trPr>
        <w:tc>
          <w:tcPr>
            <w:tcW w:w="3029" w:type="dxa"/>
            <w:vMerge/>
          </w:tcPr>
          <w:p w14:paraId="07CDAF53" w14:textId="77777777" w:rsidR="008E245A" w:rsidRPr="00C100C2" w:rsidRDefault="008E245A" w:rsidP="00FE371F">
            <w:pPr>
              <w:ind w:firstLine="5"/>
              <w:rPr>
                <w:sz w:val="20"/>
                <w:szCs w:val="20"/>
                <w:lang w:val="en-US"/>
              </w:rPr>
            </w:pPr>
          </w:p>
        </w:tc>
        <w:tc>
          <w:tcPr>
            <w:tcW w:w="3208" w:type="dxa"/>
            <w:vMerge/>
          </w:tcPr>
          <w:p w14:paraId="78CBB188" w14:textId="77777777" w:rsidR="008E245A" w:rsidRPr="00C100C2" w:rsidRDefault="008E245A" w:rsidP="00FE37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72" w:type="dxa"/>
          </w:tcPr>
          <w:p w14:paraId="396698F4" w14:textId="77777777" w:rsidR="008E245A" w:rsidRPr="00C100C2" w:rsidRDefault="008E245A" w:rsidP="00FE371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100C2">
              <w:rPr>
                <w:rFonts w:cs="AdvP403A40"/>
                <w:sz w:val="20"/>
                <w:szCs w:val="20"/>
              </w:rPr>
              <w:t>Media advocacy (press releases, publicity campaigns, public hearings, interviews)</w:t>
            </w:r>
          </w:p>
        </w:tc>
      </w:tr>
      <w:tr w:rsidR="008E245A" w:rsidRPr="00C100C2" w14:paraId="057E5235" w14:textId="77777777" w:rsidTr="001C3A6D">
        <w:trPr>
          <w:trHeight w:val="124"/>
        </w:trPr>
        <w:tc>
          <w:tcPr>
            <w:tcW w:w="3029" w:type="dxa"/>
            <w:vMerge/>
          </w:tcPr>
          <w:p w14:paraId="0B4906B4" w14:textId="77777777" w:rsidR="008E245A" w:rsidRPr="00C100C2" w:rsidRDefault="008E245A" w:rsidP="00FE371F">
            <w:pPr>
              <w:ind w:firstLine="5"/>
              <w:rPr>
                <w:sz w:val="20"/>
                <w:szCs w:val="20"/>
                <w:lang w:val="en-US"/>
              </w:rPr>
            </w:pPr>
          </w:p>
        </w:tc>
        <w:tc>
          <w:tcPr>
            <w:tcW w:w="3208" w:type="dxa"/>
            <w:vMerge/>
          </w:tcPr>
          <w:p w14:paraId="0B92CDD5" w14:textId="77777777" w:rsidR="008E245A" w:rsidRPr="00C100C2" w:rsidRDefault="008E245A" w:rsidP="00FE37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72" w:type="dxa"/>
          </w:tcPr>
          <w:p w14:paraId="19EF1ED3" w14:textId="77777777" w:rsidR="008E245A" w:rsidRPr="00C100C2" w:rsidRDefault="008E245A" w:rsidP="00FE371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100C2">
              <w:rPr>
                <w:rFonts w:cs="AdvP403A40"/>
                <w:sz w:val="20"/>
                <w:szCs w:val="20"/>
              </w:rPr>
              <w:t>Form alliances with or mobilize unions/civil society organizations/ consumers/employees/the public</w:t>
            </w:r>
          </w:p>
        </w:tc>
      </w:tr>
      <w:tr w:rsidR="008E245A" w:rsidRPr="00C100C2" w14:paraId="143A2D0D" w14:textId="77777777" w:rsidTr="00FE371F">
        <w:trPr>
          <w:trHeight w:val="304"/>
        </w:trPr>
        <w:tc>
          <w:tcPr>
            <w:tcW w:w="3029" w:type="dxa"/>
            <w:vMerge/>
          </w:tcPr>
          <w:p w14:paraId="5A246EA7" w14:textId="77777777" w:rsidR="008E245A" w:rsidRPr="00C100C2" w:rsidRDefault="008E245A" w:rsidP="00FE37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08" w:type="dxa"/>
            <w:vMerge/>
          </w:tcPr>
          <w:p w14:paraId="42B5EDBC" w14:textId="77777777" w:rsidR="008E245A" w:rsidRPr="00C100C2" w:rsidRDefault="008E245A" w:rsidP="00FE37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72" w:type="dxa"/>
          </w:tcPr>
          <w:p w14:paraId="586E22CE" w14:textId="77777777" w:rsidR="008E245A" w:rsidRPr="00C100C2" w:rsidRDefault="008E245A" w:rsidP="00FE371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100C2">
              <w:rPr>
                <w:rFonts w:cs="AdvP403A40"/>
                <w:sz w:val="20"/>
                <w:szCs w:val="20"/>
              </w:rPr>
              <w:t>Creation of front groups or astroturf organisations</w:t>
            </w:r>
          </w:p>
        </w:tc>
      </w:tr>
      <w:tr w:rsidR="008E245A" w:rsidRPr="00C100C2" w14:paraId="02894AD4" w14:textId="77777777" w:rsidTr="00FE371F">
        <w:trPr>
          <w:trHeight w:val="304"/>
        </w:trPr>
        <w:tc>
          <w:tcPr>
            <w:tcW w:w="3029" w:type="dxa"/>
            <w:vMerge/>
          </w:tcPr>
          <w:p w14:paraId="16DF1B00" w14:textId="77777777" w:rsidR="008E245A" w:rsidRPr="00C100C2" w:rsidRDefault="008E245A" w:rsidP="00FE37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08" w:type="dxa"/>
          </w:tcPr>
          <w:p w14:paraId="081B8939" w14:textId="77777777" w:rsidR="008E245A" w:rsidRPr="00C100C2" w:rsidRDefault="008E245A" w:rsidP="00FE371F">
            <w:pPr>
              <w:autoSpaceDE w:val="0"/>
              <w:autoSpaceDN w:val="0"/>
              <w:adjustRightInd w:val="0"/>
              <w:rPr>
                <w:rFonts w:cs="AdvP403A40"/>
                <w:sz w:val="20"/>
                <w:szCs w:val="20"/>
              </w:rPr>
            </w:pPr>
            <w:r w:rsidRPr="00C100C2">
              <w:rPr>
                <w:rFonts w:cs="AdvP403A40"/>
                <w:sz w:val="20"/>
                <w:szCs w:val="20"/>
              </w:rPr>
              <w:t>Internal constituency building</w:t>
            </w:r>
          </w:p>
        </w:tc>
        <w:tc>
          <w:tcPr>
            <w:tcW w:w="9072" w:type="dxa"/>
          </w:tcPr>
          <w:p w14:paraId="236C085B" w14:textId="77777777" w:rsidR="008E245A" w:rsidRPr="00C100C2" w:rsidRDefault="008E245A" w:rsidP="00FE371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100C2">
              <w:rPr>
                <w:rFonts w:cs="AdvP403A40"/>
                <w:sz w:val="20"/>
                <w:szCs w:val="20"/>
              </w:rPr>
              <w:t>Collaboration between companies/development of pan-industry group or industry trade association</w:t>
            </w:r>
          </w:p>
        </w:tc>
      </w:tr>
      <w:tr w:rsidR="008E245A" w:rsidRPr="00C100C2" w14:paraId="2F84F489" w14:textId="77777777" w:rsidTr="00FE371F">
        <w:trPr>
          <w:trHeight w:val="304"/>
        </w:trPr>
        <w:tc>
          <w:tcPr>
            <w:tcW w:w="3029" w:type="dxa"/>
            <w:vMerge w:val="restart"/>
          </w:tcPr>
          <w:p w14:paraId="68084A3B" w14:textId="77777777" w:rsidR="008E245A" w:rsidRPr="00C100C2" w:rsidRDefault="008E245A" w:rsidP="00FE371F">
            <w:pPr>
              <w:rPr>
                <w:sz w:val="20"/>
                <w:szCs w:val="20"/>
                <w:lang w:val="en-US"/>
              </w:rPr>
            </w:pPr>
            <w:r w:rsidRPr="00C100C2">
              <w:rPr>
                <w:rFonts w:cs="AdvP403A40"/>
                <w:sz w:val="20"/>
                <w:szCs w:val="20"/>
              </w:rPr>
              <w:t>Policy substitution</w:t>
            </w:r>
          </w:p>
        </w:tc>
        <w:tc>
          <w:tcPr>
            <w:tcW w:w="12280" w:type="dxa"/>
            <w:gridSpan w:val="2"/>
          </w:tcPr>
          <w:p w14:paraId="2114A183" w14:textId="77777777" w:rsidR="008E245A" w:rsidRPr="00C100C2" w:rsidRDefault="008E245A" w:rsidP="00FE371F">
            <w:pPr>
              <w:ind w:firstLine="5"/>
              <w:rPr>
                <w:sz w:val="20"/>
                <w:szCs w:val="20"/>
                <w:lang w:val="en-US"/>
              </w:rPr>
            </w:pPr>
            <w:r w:rsidRPr="00C100C2">
              <w:rPr>
                <w:rFonts w:cs="AdvP403A40"/>
                <w:sz w:val="20"/>
                <w:szCs w:val="20"/>
              </w:rPr>
              <w:t>Develop/promote (new or existing) voluntary code/self-regulation</w:t>
            </w:r>
          </w:p>
        </w:tc>
      </w:tr>
      <w:tr w:rsidR="008E245A" w:rsidRPr="00C100C2" w14:paraId="6505BB34" w14:textId="77777777" w:rsidTr="00FE371F">
        <w:trPr>
          <w:trHeight w:val="304"/>
        </w:trPr>
        <w:tc>
          <w:tcPr>
            <w:tcW w:w="3029" w:type="dxa"/>
            <w:vMerge/>
          </w:tcPr>
          <w:p w14:paraId="1AA5EC5C" w14:textId="77777777" w:rsidR="008E245A" w:rsidRPr="00C100C2" w:rsidRDefault="008E245A" w:rsidP="00FE37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80" w:type="dxa"/>
            <w:gridSpan w:val="2"/>
          </w:tcPr>
          <w:p w14:paraId="6A694EED" w14:textId="77777777" w:rsidR="008E245A" w:rsidRPr="00C100C2" w:rsidRDefault="008E245A" w:rsidP="00FE371F">
            <w:pPr>
              <w:ind w:firstLine="5"/>
              <w:rPr>
                <w:sz w:val="20"/>
                <w:szCs w:val="20"/>
                <w:lang w:val="en-US"/>
              </w:rPr>
            </w:pPr>
            <w:r w:rsidRPr="00C100C2">
              <w:rPr>
                <w:rFonts w:cs="AdvP403A40"/>
                <w:sz w:val="20"/>
                <w:szCs w:val="20"/>
              </w:rPr>
              <w:t>Develop/promote alternative regulatory policy</w:t>
            </w:r>
          </w:p>
        </w:tc>
      </w:tr>
      <w:tr w:rsidR="008E245A" w:rsidRPr="00C100C2" w14:paraId="1297A2F6" w14:textId="77777777" w:rsidTr="00FE371F">
        <w:trPr>
          <w:trHeight w:val="304"/>
        </w:trPr>
        <w:tc>
          <w:tcPr>
            <w:tcW w:w="3029" w:type="dxa"/>
            <w:vMerge/>
          </w:tcPr>
          <w:p w14:paraId="27EBA351" w14:textId="77777777" w:rsidR="008E245A" w:rsidRPr="00C100C2" w:rsidRDefault="008E245A" w:rsidP="00FE37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80" w:type="dxa"/>
            <w:gridSpan w:val="2"/>
          </w:tcPr>
          <w:p w14:paraId="15E523B5" w14:textId="77777777" w:rsidR="008E245A" w:rsidRPr="00C100C2" w:rsidRDefault="008E245A" w:rsidP="00FE371F">
            <w:pPr>
              <w:ind w:firstLine="5"/>
              <w:rPr>
                <w:sz w:val="20"/>
                <w:szCs w:val="20"/>
                <w:lang w:val="en-US"/>
              </w:rPr>
            </w:pPr>
            <w:r w:rsidRPr="00C100C2">
              <w:rPr>
                <w:rFonts w:cs="AdvP403A40"/>
                <w:sz w:val="20"/>
                <w:szCs w:val="20"/>
              </w:rPr>
              <w:t>Develop/promote non-regulatory initiative (generally seen to be ineffective/less effective, e.g. education programmes)</w:t>
            </w:r>
          </w:p>
        </w:tc>
      </w:tr>
      <w:tr w:rsidR="008E245A" w:rsidRPr="00C100C2" w14:paraId="0A2169AB" w14:textId="77777777" w:rsidTr="00FE371F">
        <w:trPr>
          <w:trHeight w:val="304"/>
        </w:trPr>
        <w:tc>
          <w:tcPr>
            <w:tcW w:w="3029" w:type="dxa"/>
            <w:vMerge w:val="restart"/>
          </w:tcPr>
          <w:p w14:paraId="5E53606D" w14:textId="77777777" w:rsidR="008E245A" w:rsidRPr="00C100C2" w:rsidRDefault="008E245A" w:rsidP="00FE371F">
            <w:pPr>
              <w:rPr>
                <w:sz w:val="20"/>
                <w:szCs w:val="20"/>
                <w:lang w:val="en-US"/>
              </w:rPr>
            </w:pPr>
            <w:r w:rsidRPr="00C100C2">
              <w:rPr>
                <w:rFonts w:cs="AdvP403A40"/>
                <w:sz w:val="20"/>
                <w:szCs w:val="20"/>
              </w:rPr>
              <w:t>Legal</w:t>
            </w:r>
          </w:p>
        </w:tc>
        <w:tc>
          <w:tcPr>
            <w:tcW w:w="12280" w:type="dxa"/>
            <w:gridSpan w:val="2"/>
          </w:tcPr>
          <w:p w14:paraId="3FA7241E" w14:textId="77777777" w:rsidR="008E245A" w:rsidRPr="00C100C2" w:rsidRDefault="008E245A" w:rsidP="00FE371F">
            <w:pPr>
              <w:ind w:firstLine="5"/>
              <w:rPr>
                <w:sz w:val="20"/>
                <w:szCs w:val="20"/>
                <w:lang w:val="en-US"/>
              </w:rPr>
            </w:pPr>
            <w:r w:rsidRPr="00C100C2">
              <w:rPr>
                <w:rFonts w:cs="AdvP403A40"/>
                <w:sz w:val="20"/>
                <w:szCs w:val="20"/>
              </w:rPr>
              <w:t>Pre-emption</w:t>
            </w:r>
          </w:p>
        </w:tc>
      </w:tr>
      <w:tr w:rsidR="008E245A" w:rsidRPr="00C100C2" w14:paraId="1A562AFB" w14:textId="77777777" w:rsidTr="00FE371F">
        <w:trPr>
          <w:trHeight w:val="304"/>
        </w:trPr>
        <w:tc>
          <w:tcPr>
            <w:tcW w:w="3029" w:type="dxa"/>
            <w:vMerge/>
          </w:tcPr>
          <w:p w14:paraId="3EDF85A2" w14:textId="77777777" w:rsidR="008E245A" w:rsidRPr="00C100C2" w:rsidRDefault="008E245A" w:rsidP="00FE37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80" w:type="dxa"/>
            <w:gridSpan w:val="2"/>
          </w:tcPr>
          <w:p w14:paraId="201680C1" w14:textId="77777777" w:rsidR="008E245A" w:rsidRPr="00C100C2" w:rsidRDefault="008E245A" w:rsidP="00FE371F">
            <w:pPr>
              <w:ind w:firstLine="5"/>
              <w:rPr>
                <w:sz w:val="20"/>
                <w:szCs w:val="20"/>
                <w:lang w:val="en-US"/>
              </w:rPr>
            </w:pPr>
            <w:r w:rsidRPr="00C100C2">
              <w:rPr>
                <w:rFonts w:cs="AdvP403A40"/>
                <w:sz w:val="20"/>
                <w:szCs w:val="20"/>
              </w:rPr>
              <w:t>Using litigation/threat of legal action</w:t>
            </w:r>
          </w:p>
        </w:tc>
      </w:tr>
      <w:tr w:rsidR="00266122" w:rsidRPr="00C100C2" w14:paraId="1D3C99F0" w14:textId="77777777" w:rsidTr="00FE371F">
        <w:trPr>
          <w:trHeight w:val="304"/>
        </w:trPr>
        <w:tc>
          <w:tcPr>
            <w:tcW w:w="3029" w:type="dxa"/>
          </w:tcPr>
          <w:p w14:paraId="76BBA1DE" w14:textId="77777777" w:rsidR="00266122" w:rsidRPr="00C100C2" w:rsidRDefault="00266122" w:rsidP="00FE371F">
            <w:pPr>
              <w:autoSpaceDE w:val="0"/>
              <w:autoSpaceDN w:val="0"/>
              <w:adjustRightInd w:val="0"/>
              <w:rPr>
                <w:rFonts w:cs="AdvP403A40"/>
                <w:sz w:val="20"/>
                <w:szCs w:val="20"/>
              </w:rPr>
            </w:pPr>
            <w:r w:rsidRPr="00C100C2">
              <w:rPr>
                <w:rFonts w:cs="AdvP403A40"/>
                <w:sz w:val="20"/>
                <w:szCs w:val="20"/>
              </w:rPr>
              <w:t>Constituency fragmentation</w:t>
            </w:r>
          </w:p>
          <w:p w14:paraId="173DB4D1" w14:textId="77777777" w:rsidR="00266122" w:rsidRPr="00C100C2" w:rsidRDefault="00266122" w:rsidP="00FE371F">
            <w:pPr>
              <w:rPr>
                <w:sz w:val="20"/>
                <w:szCs w:val="20"/>
                <w:lang w:val="en-US"/>
              </w:rPr>
            </w:pPr>
            <w:r w:rsidRPr="00C100C2">
              <w:rPr>
                <w:rFonts w:cs="AdvP403A40"/>
                <w:sz w:val="20"/>
                <w:szCs w:val="20"/>
              </w:rPr>
              <w:t>and destabilization</w:t>
            </w:r>
          </w:p>
        </w:tc>
        <w:tc>
          <w:tcPr>
            <w:tcW w:w="12280" w:type="dxa"/>
            <w:gridSpan w:val="2"/>
          </w:tcPr>
          <w:p w14:paraId="354E7072" w14:textId="77777777" w:rsidR="00266122" w:rsidRPr="00C100C2" w:rsidRDefault="00266122" w:rsidP="00FE371F">
            <w:pPr>
              <w:ind w:firstLine="5"/>
              <w:rPr>
                <w:sz w:val="20"/>
                <w:szCs w:val="20"/>
                <w:lang w:val="en-US"/>
              </w:rPr>
            </w:pPr>
            <w:r w:rsidRPr="00C100C2">
              <w:rPr>
                <w:rFonts w:cs="AdvP403A40"/>
                <w:sz w:val="20"/>
                <w:szCs w:val="20"/>
              </w:rPr>
              <w:t>Preventing the emergence of, neutralising and/or discrediting potential opponents (individuals, organisations or coalitions)</w:t>
            </w:r>
          </w:p>
        </w:tc>
      </w:tr>
      <w:tr w:rsidR="008E245A" w:rsidRPr="00C100C2" w14:paraId="292FE17A" w14:textId="77777777" w:rsidTr="00FE371F">
        <w:trPr>
          <w:trHeight w:val="304"/>
        </w:trPr>
        <w:tc>
          <w:tcPr>
            <w:tcW w:w="3029" w:type="dxa"/>
            <w:vMerge w:val="restart"/>
          </w:tcPr>
          <w:p w14:paraId="38EA3B78" w14:textId="77777777" w:rsidR="008E245A" w:rsidRPr="00C100C2" w:rsidRDefault="008E245A" w:rsidP="00FE371F">
            <w:pPr>
              <w:rPr>
                <w:sz w:val="20"/>
                <w:szCs w:val="20"/>
                <w:lang w:val="en-US"/>
              </w:rPr>
            </w:pPr>
            <w:r w:rsidRPr="00C100C2">
              <w:rPr>
                <w:rFonts w:cs="AdvP403A40"/>
                <w:sz w:val="20"/>
                <w:szCs w:val="20"/>
              </w:rPr>
              <w:t>Financial Incentive</w:t>
            </w:r>
          </w:p>
        </w:tc>
        <w:tc>
          <w:tcPr>
            <w:tcW w:w="12280" w:type="dxa"/>
            <w:gridSpan w:val="2"/>
          </w:tcPr>
          <w:p w14:paraId="0CF835AD" w14:textId="77777777" w:rsidR="008E245A" w:rsidRPr="00C100C2" w:rsidRDefault="008E245A" w:rsidP="00FE371F">
            <w:pPr>
              <w:ind w:firstLine="5"/>
              <w:rPr>
                <w:sz w:val="20"/>
                <w:szCs w:val="20"/>
                <w:lang w:val="en-US"/>
              </w:rPr>
            </w:pPr>
            <w:r w:rsidRPr="00C100C2">
              <w:rPr>
                <w:rFonts w:cs="AdvP403A40"/>
                <w:sz w:val="20"/>
                <w:szCs w:val="20"/>
              </w:rPr>
              <w:t>Providing current or offering future employment to those in influential role</w:t>
            </w:r>
          </w:p>
        </w:tc>
      </w:tr>
      <w:tr w:rsidR="008E245A" w:rsidRPr="00C100C2" w14:paraId="2E271AA1" w14:textId="77777777" w:rsidTr="00FE371F">
        <w:trPr>
          <w:trHeight w:val="304"/>
        </w:trPr>
        <w:tc>
          <w:tcPr>
            <w:tcW w:w="3029" w:type="dxa"/>
            <w:vMerge/>
          </w:tcPr>
          <w:p w14:paraId="2CE9BE91" w14:textId="77777777" w:rsidR="008E245A" w:rsidRPr="00C100C2" w:rsidRDefault="008E245A" w:rsidP="00FE37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80" w:type="dxa"/>
            <w:gridSpan w:val="2"/>
          </w:tcPr>
          <w:p w14:paraId="1E4091D3" w14:textId="77777777" w:rsidR="008E245A" w:rsidRPr="00C100C2" w:rsidRDefault="008E245A" w:rsidP="00FE371F">
            <w:pPr>
              <w:ind w:firstLine="5"/>
              <w:rPr>
                <w:sz w:val="20"/>
                <w:szCs w:val="20"/>
                <w:lang w:val="en-US"/>
              </w:rPr>
            </w:pPr>
            <w:r w:rsidRPr="00C100C2">
              <w:rPr>
                <w:rFonts w:cs="AdvP403A40"/>
                <w:sz w:val="20"/>
                <w:szCs w:val="20"/>
              </w:rPr>
              <w:t>Gifts, entertainment or other direct financial inducement</w:t>
            </w:r>
          </w:p>
        </w:tc>
      </w:tr>
    </w:tbl>
    <w:p w14:paraId="2D355733" w14:textId="0AF67503" w:rsidR="00266122" w:rsidRPr="00C100C2" w:rsidRDefault="00266122" w:rsidP="00266122">
      <w:pPr>
        <w:rPr>
          <w:rFonts w:ascii="Calibri" w:hAnsi="Calibri"/>
          <w:b/>
          <w:noProof/>
          <w:sz w:val="18"/>
          <w:lang w:val="en-US"/>
        </w:rPr>
      </w:pPr>
      <w:r w:rsidRPr="00C100C2">
        <w:rPr>
          <w:b/>
          <w:sz w:val="18"/>
          <w:lang w:val="en-US"/>
        </w:rPr>
        <w:t xml:space="preserve">Source: </w:t>
      </w:r>
      <w:r w:rsidRPr="00C100C2">
        <w:rPr>
          <w:rFonts w:ascii="Calibri" w:hAnsi="Calibri"/>
          <w:b/>
          <w:noProof/>
          <w:sz w:val="18"/>
          <w:lang w:val="en-US"/>
        </w:rPr>
        <w:t>Savell E, Gilmore AB, Fooks G (2014) How Does the Tobacco Industry Attempt to Influence Marketing Regulations? A Systematic Review.</w:t>
      </w:r>
      <w:r w:rsidR="00773A4C">
        <w:rPr>
          <w:rFonts w:ascii="Calibri" w:hAnsi="Calibri"/>
          <w:b/>
          <w:noProof/>
          <w:sz w:val="18"/>
          <w:lang w:val="en-US"/>
        </w:rPr>
        <w:t xml:space="preserve"> PLoS ONE 9(2): e87389. Table 2</w:t>
      </w:r>
    </w:p>
    <w:sectPr w:rsidR="00266122" w:rsidRPr="00C100C2" w:rsidSect="00266122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dvP403A40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22"/>
    <w:rsid w:val="00103BAC"/>
    <w:rsid w:val="00202905"/>
    <w:rsid w:val="00266122"/>
    <w:rsid w:val="004A412A"/>
    <w:rsid w:val="00627CA9"/>
    <w:rsid w:val="00661308"/>
    <w:rsid w:val="00712C74"/>
    <w:rsid w:val="00756AAD"/>
    <w:rsid w:val="00773A4C"/>
    <w:rsid w:val="008E245A"/>
    <w:rsid w:val="009D037F"/>
    <w:rsid w:val="00A200EE"/>
    <w:rsid w:val="00C754C5"/>
    <w:rsid w:val="00E92A9A"/>
    <w:rsid w:val="00EA262E"/>
    <w:rsid w:val="00FE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C08F9"/>
  <w15:chartTrackingRefBased/>
  <w15:docId w15:val="{2AE4F484-DD3E-49EA-9F8D-2FCDD237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122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122"/>
    <w:rPr>
      <w:rFonts w:asciiTheme="majorHAnsi" w:eastAsiaTheme="majorEastAsia" w:hAnsiTheme="majorHAnsi" w:cstheme="majorBidi"/>
      <w:b/>
      <w:sz w:val="40"/>
      <w:szCs w:val="32"/>
    </w:rPr>
  </w:style>
  <w:style w:type="table" w:styleId="TableGrid">
    <w:name w:val="Table Grid"/>
    <w:basedOn w:val="TableNormal"/>
    <w:uiPriority w:val="39"/>
    <w:rsid w:val="00266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61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3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3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3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30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56A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50E1C-A36E-EA4E-96C8-85766FE8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Florentine Martino</dc:creator>
  <cp:keywords/>
  <dc:description/>
  <cp:lastModifiedBy>Florentine Martino</cp:lastModifiedBy>
  <cp:revision>3</cp:revision>
  <cp:lastPrinted>2016-09-07T02:56:00Z</cp:lastPrinted>
  <dcterms:created xsi:type="dcterms:W3CDTF">2017-01-09T05:44:00Z</dcterms:created>
  <dcterms:modified xsi:type="dcterms:W3CDTF">2017-01-09T09:31:00Z</dcterms:modified>
</cp:coreProperties>
</file>