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B6" w:rsidRPr="00AA76C6" w:rsidRDefault="008A2258" w:rsidP="008815B6">
      <w:pPr>
        <w:spacing w:after="200" w:line="276" w:lineRule="auto"/>
        <w:rPr>
          <w:i/>
          <w:sz w:val="18"/>
          <w:szCs w:val="18"/>
        </w:rPr>
      </w:pPr>
      <w:r>
        <w:rPr>
          <w:b/>
          <w:sz w:val="22"/>
          <w:szCs w:val="22"/>
        </w:rPr>
        <w:t>S2</w:t>
      </w:r>
      <w:r w:rsidR="0091238D">
        <w:rPr>
          <w:b/>
          <w:sz w:val="22"/>
          <w:szCs w:val="22"/>
        </w:rPr>
        <w:t xml:space="preserve"> </w:t>
      </w:r>
      <w:r w:rsidR="008815B6">
        <w:rPr>
          <w:b/>
          <w:sz w:val="22"/>
          <w:szCs w:val="22"/>
        </w:rPr>
        <w:t>Table</w:t>
      </w:r>
      <w:bookmarkStart w:id="0" w:name="_GoBack"/>
      <w:bookmarkEnd w:id="0"/>
      <w:r w:rsidR="008A5FE8">
        <w:rPr>
          <w:b/>
          <w:sz w:val="22"/>
          <w:szCs w:val="22"/>
        </w:rPr>
        <w:t xml:space="preserve">  </w:t>
      </w:r>
      <w:r w:rsidR="008815B6" w:rsidRPr="00AA76C6">
        <w:rPr>
          <w:i/>
          <w:sz w:val="22"/>
          <w:szCs w:val="22"/>
        </w:rPr>
        <w:t>Pairwise Correlations between Well-being Measures</w:t>
      </w:r>
    </w:p>
    <w:tbl>
      <w:tblPr>
        <w:tblW w:w="10714" w:type="dxa"/>
        <w:tblLook w:val="04A0" w:firstRow="1" w:lastRow="0" w:firstColumn="1" w:lastColumn="0" w:noHBand="0" w:noVBand="1"/>
      </w:tblPr>
      <w:tblGrid>
        <w:gridCol w:w="1501"/>
        <w:gridCol w:w="1071"/>
        <w:gridCol w:w="1391"/>
        <w:gridCol w:w="1461"/>
        <w:gridCol w:w="960"/>
        <w:gridCol w:w="1362"/>
        <w:gridCol w:w="1501"/>
        <w:gridCol w:w="1467"/>
      </w:tblGrid>
      <w:tr w:rsidR="008815B6" w:rsidTr="00E62E66">
        <w:trPr>
          <w:trHeight w:val="300"/>
        </w:trPr>
        <w:tc>
          <w:tcPr>
            <w:tcW w:w="1501" w:type="dxa"/>
            <w:tcBorders>
              <w:top w:val="single" w:sz="4" w:space="0" w:color="auto"/>
              <w:left w:val="nil"/>
              <w:bottom w:val="single" w:sz="4" w:space="0" w:color="auto"/>
              <w:right w:val="nil"/>
            </w:tcBorders>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 </w:t>
            </w:r>
          </w:p>
        </w:tc>
        <w:tc>
          <w:tcPr>
            <w:tcW w:w="1071" w:type="dxa"/>
            <w:tcBorders>
              <w:top w:val="single" w:sz="4" w:space="0" w:color="auto"/>
              <w:left w:val="nil"/>
              <w:bottom w:val="single" w:sz="4" w:space="0" w:color="auto"/>
              <w:right w:val="nil"/>
            </w:tcBorders>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Net Affect</w:t>
            </w:r>
          </w:p>
        </w:tc>
        <w:tc>
          <w:tcPr>
            <w:tcW w:w="1391"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Positive Affect</w:t>
            </w:r>
          </w:p>
        </w:tc>
        <w:tc>
          <w:tcPr>
            <w:tcW w:w="1461"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Negative Affect</w:t>
            </w:r>
          </w:p>
        </w:tc>
        <w:tc>
          <w:tcPr>
            <w:tcW w:w="960"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U-Index</w:t>
            </w:r>
          </w:p>
        </w:tc>
        <w:tc>
          <w:tcPr>
            <w:tcW w:w="1362"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Positive Mood Yesterday</w:t>
            </w:r>
          </w:p>
        </w:tc>
        <w:tc>
          <w:tcPr>
            <w:tcW w:w="1501"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Life Satisfaction</w:t>
            </w:r>
          </w:p>
        </w:tc>
        <w:tc>
          <w:tcPr>
            <w:tcW w:w="1467" w:type="dxa"/>
            <w:tcBorders>
              <w:top w:val="single" w:sz="4" w:space="0" w:color="auto"/>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PSI Total Stress</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Net Affect</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Positive Affect</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0.85***</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Negative Affect</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-0.75***</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-0.28***</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U-Index</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-0.71***</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-0.40***</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0.79***</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Positive Mood</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0.28***</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0.22**</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-0.41***</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-0.25**</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Life Satisfaction</w:t>
            </w:r>
          </w:p>
        </w:tc>
        <w:tc>
          <w:tcPr>
            <w:tcW w:w="1071" w:type="dxa"/>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0.13</w:t>
            </w:r>
          </w:p>
        </w:tc>
        <w:tc>
          <w:tcPr>
            <w:tcW w:w="139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0.03</w:t>
            </w:r>
          </w:p>
        </w:tc>
        <w:tc>
          <w:tcPr>
            <w:tcW w:w="146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-0.20*</w:t>
            </w:r>
          </w:p>
        </w:tc>
        <w:tc>
          <w:tcPr>
            <w:tcW w:w="960"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-0.10</w:t>
            </w:r>
          </w:p>
        </w:tc>
        <w:tc>
          <w:tcPr>
            <w:tcW w:w="1362"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0.06</w:t>
            </w:r>
          </w:p>
        </w:tc>
        <w:tc>
          <w:tcPr>
            <w:tcW w:w="1501"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c>
          <w:tcPr>
            <w:tcW w:w="1467" w:type="dxa"/>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w:t>
            </w:r>
          </w:p>
        </w:tc>
      </w:tr>
      <w:tr w:rsidR="008815B6" w:rsidTr="00E62E66">
        <w:trPr>
          <w:trHeight w:val="300"/>
        </w:trPr>
        <w:tc>
          <w:tcPr>
            <w:tcW w:w="1501" w:type="dxa"/>
            <w:tcBorders>
              <w:top w:val="nil"/>
              <w:left w:val="nil"/>
              <w:bottom w:val="single" w:sz="4" w:space="0" w:color="auto"/>
              <w:right w:val="nil"/>
            </w:tcBorders>
            <w:noWrap/>
            <w:vAlign w:val="bottom"/>
          </w:tcPr>
          <w:p w:rsidR="008815B6" w:rsidRDefault="008815B6" w:rsidP="00E62E66">
            <w:pPr>
              <w:spacing w:line="360" w:lineRule="auto"/>
              <w:rPr>
                <w:color w:val="000000"/>
                <w:sz w:val="18"/>
                <w:szCs w:val="18"/>
                <w:lang w:val="en-IE" w:eastAsia="en-IE"/>
              </w:rPr>
            </w:pPr>
            <w:r>
              <w:rPr>
                <w:color w:val="000000"/>
                <w:sz w:val="18"/>
                <w:szCs w:val="18"/>
                <w:lang w:val="en-IE" w:eastAsia="en-IE"/>
              </w:rPr>
              <w:t>PSI Total Stress</w:t>
            </w:r>
          </w:p>
        </w:tc>
        <w:tc>
          <w:tcPr>
            <w:tcW w:w="1071" w:type="dxa"/>
            <w:tcBorders>
              <w:top w:val="nil"/>
              <w:left w:val="nil"/>
              <w:bottom w:val="single" w:sz="4" w:space="0" w:color="auto"/>
              <w:right w:val="nil"/>
            </w:tcBorders>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-0.34***</w:t>
            </w:r>
          </w:p>
        </w:tc>
        <w:tc>
          <w:tcPr>
            <w:tcW w:w="1391"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-0.34***</w:t>
            </w:r>
          </w:p>
        </w:tc>
        <w:tc>
          <w:tcPr>
            <w:tcW w:w="1461"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0.20*</w:t>
            </w:r>
          </w:p>
        </w:tc>
        <w:tc>
          <w:tcPr>
            <w:tcW w:w="960"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0.08</w:t>
            </w:r>
          </w:p>
        </w:tc>
        <w:tc>
          <w:tcPr>
            <w:tcW w:w="1362"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-0.38***</w:t>
            </w:r>
          </w:p>
        </w:tc>
        <w:tc>
          <w:tcPr>
            <w:tcW w:w="1501"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-0.19*</w:t>
            </w:r>
          </w:p>
        </w:tc>
        <w:tc>
          <w:tcPr>
            <w:tcW w:w="1467" w:type="dxa"/>
            <w:tcBorders>
              <w:top w:val="nil"/>
              <w:left w:val="nil"/>
              <w:bottom w:val="single" w:sz="4" w:space="0" w:color="auto"/>
              <w:right w:val="nil"/>
            </w:tcBorders>
            <w:noWrap/>
          </w:tcPr>
          <w:p w:rsidR="008815B6" w:rsidRDefault="008815B6" w:rsidP="00E62E66">
            <w:pPr>
              <w:spacing w:line="360" w:lineRule="auto"/>
              <w:jc w:val="center"/>
              <w:rPr>
                <w:color w:val="000000"/>
                <w:sz w:val="18"/>
                <w:szCs w:val="18"/>
                <w:lang w:val="en-IE" w:eastAsia="en-IE"/>
              </w:rPr>
            </w:pPr>
            <w:r>
              <w:rPr>
                <w:color w:val="000000"/>
                <w:sz w:val="18"/>
                <w:szCs w:val="18"/>
                <w:lang w:val="en-IE" w:eastAsia="en-IE"/>
              </w:rPr>
              <w:t>1</w:t>
            </w:r>
          </w:p>
        </w:tc>
      </w:tr>
    </w:tbl>
    <w:p w:rsidR="008815B6" w:rsidRDefault="008815B6" w:rsidP="008815B6">
      <w:pPr>
        <w:spacing w:line="360" w:lineRule="auto"/>
        <w:ind w:right="3326"/>
        <w:rPr>
          <w:sz w:val="18"/>
          <w:szCs w:val="18"/>
        </w:rPr>
      </w:pPr>
      <w:r>
        <w:rPr>
          <w:b/>
          <w:sz w:val="18"/>
          <w:szCs w:val="18"/>
        </w:rPr>
        <w:t xml:space="preserve">Notes: </w:t>
      </w:r>
      <w:r>
        <w:rPr>
          <w:sz w:val="18"/>
          <w:szCs w:val="18"/>
        </w:rPr>
        <w:t xml:space="preserve">The pairwise correlations are calculated at the individual level. For Life Satisfaction the original four category variable is used to calculate the correlation coefficient rather than the two category outcome variable. </w:t>
      </w:r>
    </w:p>
    <w:p w:rsidR="008815B6" w:rsidRPr="003B3D51" w:rsidRDefault="008815B6" w:rsidP="008815B6">
      <w:pPr>
        <w:spacing w:line="360" w:lineRule="auto"/>
        <w:ind w:right="119"/>
        <w:jc w:val="both"/>
        <w:rPr>
          <w:rFonts w:eastAsiaTheme="minorHAnsi"/>
          <w:sz w:val="16"/>
          <w:szCs w:val="16"/>
          <w:lang w:val="en-IE" w:eastAsia="en-US"/>
        </w:rPr>
      </w:pPr>
      <w:r w:rsidRPr="003B3D51">
        <w:rPr>
          <w:rFonts w:eastAsiaTheme="minorHAnsi"/>
          <w:i/>
          <w:iCs/>
          <w:sz w:val="16"/>
          <w:szCs w:val="16"/>
          <w:lang w:val="en-IE" w:eastAsia="en-US"/>
        </w:rPr>
        <w:t xml:space="preserve">*** </w:t>
      </w:r>
      <w:r w:rsidRPr="003B3D51">
        <w:rPr>
          <w:rFonts w:eastAsiaTheme="minorHAnsi"/>
          <w:sz w:val="16"/>
          <w:szCs w:val="16"/>
          <w:lang w:val="en-IE" w:eastAsia="en-US"/>
        </w:rPr>
        <w:t>Significant at the 1 percent level.</w:t>
      </w:r>
    </w:p>
    <w:p w:rsidR="008815B6" w:rsidRPr="003B3D51" w:rsidRDefault="008815B6" w:rsidP="008815B6">
      <w:pPr>
        <w:autoSpaceDE w:val="0"/>
        <w:autoSpaceDN w:val="0"/>
        <w:adjustRightInd w:val="0"/>
        <w:spacing w:line="360" w:lineRule="auto"/>
        <w:rPr>
          <w:rFonts w:eastAsiaTheme="minorHAnsi"/>
          <w:sz w:val="16"/>
          <w:szCs w:val="16"/>
          <w:lang w:val="en-IE" w:eastAsia="en-US"/>
        </w:rPr>
      </w:pPr>
      <w:r w:rsidRPr="003B3D51">
        <w:rPr>
          <w:rFonts w:eastAsiaTheme="minorHAnsi"/>
          <w:i/>
          <w:iCs/>
          <w:sz w:val="16"/>
          <w:szCs w:val="16"/>
          <w:lang w:val="en-IE" w:eastAsia="en-US"/>
        </w:rPr>
        <w:t xml:space="preserve">** </w:t>
      </w:r>
      <w:r w:rsidRPr="003B3D51">
        <w:rPr>
          <w:rFonts w:eastAsiaTheme="minorHAnsi"/>
          <w:sz w:val="16"/>
          <w:szCs w:val="16"/>
          <w:lang w:val="en-IE" w:eastAsia="en-US"/>
        </w:rPr>
        <w:t>Significant at the 5 percent level.</w:t>
      </w:r>
    </w:p>
    <w:p w:rsidR="008815B6" w:rsidRPr="003B3D51" w:rsidRDefault="008815B6" w:rsidP="008815B6">
      <w:pPr>
        <w:spacing w:line="360" w:lineRule="auto"/>
        <w:ind w:right="119"/>
        <w:jc w:val="both"/>
        <w:rPr>
          <w:bCs/>
          <w:sz w:val="16"/>
          <w:szCs w:val="16"/>
        </w:rPr>
      </w:pPr>
      <w:r w:rsidRPr="003B3D51">
        <w:rPr>
          <w:rFonts w:eastAsiaTheme="minorHAnsi"/>
          <w:i/>
          <w:iCs/>
          <w:sz w:val="16"/>
          <w:szCs w:val="16"/>
          <w:lang w:val="en-IE" w:eastAsia="en-US"/>
        </w:rPr>
        <w:t xml:space="preserve">* </w:t>
      </w:r>
      <w:r w:rsidRPr="003B3D51">
        <w:rPr>
          <w:rFonts w:eastAsiaTheme="minorHAnsi"/>
          <w:sz w:val="16"/>
          <w:szCs w:val="16"/>
          <w:lang w:val="en-IE" w:eastAsia="en-US"/>
        </w:rPr>
        <w:t>Significant at the 10 percent level.</w:t>
      </w:r>
    </w:p>
    <w:p w:rsidR="00FA0460" w:rsidRDefault="00FA0460"/>
    <w:sectPr w:rsidR="00FA0460" w:rsidSect="008815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B6"/>
    <w:rsid w:val="003D6A52"/>
    <w:rsid w:val="00714BEB"/>
    <w:rsid w:val="008815B6"/>
    <w:rsid w:val="008A2258"/>
    <w:rsid w:val="008A5FE8"/>
    <w:rsid w:val="0091238D"/>
    <w:rsid w:val="00D819B7"/>
    <w:rsid w:val="00FA04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3905B-1D54-4750-BB47-429830AC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Doyle</dc:creator>
  <cp:keywords/>
  <dc:description/>
  <cp:lastModifiedBy>Orla Doyle</cp:lastModifiedBy>
  <cp:revision>3</cp:revision>
  <dcterms:created xsi:type="dcterms:W3CDTF">2016-12-29T09:37:00Z</dcterms:created>
  <dcterms:modified xsi:type="dcterms:W3CDTF">2016-12-29T11:06:00Z</dcterms:modified>
</cp:coreProperties>
</file>