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94E9" w14:textId="28F3E902" w:rsidR="00255EEE" w:rsidRPr="00326CDF" w:rsidRDefault="007814C7" w:rsidP="00264D4F">
      <w:pPr>
        <w:jc w:val="center"/>
        <w:rPr>
          <w:b/>
          <w:sz w:val="36"/>
          <w:szCs w:val="36"/>
        </w:rPr>
      </w:pPr>
      <w:r>
        <w:rPr>
          <w:b/>
          <w:sz w:val="36"/>
          <w:szCs w:val="36"/>
        </w:rPr>
        <w:t>Supporting Information</w:t>
      </w:r>
    </w:p>
    <w:p w14:paraId="03B19680" w14:textId="77777777" w:rsidR="00264D4F" w:rsidRDefault="00264D4F" w:rsidP="00264D4F">
      <w:pPr>
        <w:rPr>
          <w:b/>
          <w:sz w:val="26"/>
          <w:szCs w:val="26"/>
        </w:rPr>
      </w:pPr>
    </w:p>
    <w:p w14:paraId="4EE75689" w14:textId="1B178D7B" w:rsidR="00264D4F" w:rsidRPr="00264D4F" w:rsidRDefault="007814C7" w:rsidP="00326CDF">
      <w:pPr>
        <w:pStyle w:val="Heading1"/>
      </w:pPr>
      <w:r>
        <w:t>S</w:t>
      </w:r>
      <w:r w:rsidR="0081591E">
        <w:t>1</w:t>
      </w:r>
      <w:r>
        <w:t xml:space="preserve"> Appendix</w:t>
      </w:r>
      <w:r w:rsidR="0081591E">
        <w:t xml:space="preserve">. </w:t>
      </w:r>
      <w:r w:rsidR="00264D4F" w:rsidRPr="00264D4F">
        <w:t xml:space="preserve">Data </w:t>
      </w:r>
      <w:r>
        <w:t>S</w:t>
      </w:r>
      <w:r w:rsidR="00264D4F" w:rsidRPr="00264D4F">
        <w:t>ources</w:t>
      </w:r>
      <w:r w:rsidR="007135CF">
        <w:t xml:space="preserve">, </w:t>
      </w:r>
      <w:r>
        <w:t>P</w:t>
      </w:r>
      <w:r w:rsidR="00264D4F" w:rsidRPr="00264D4F">
        <w:t>arameters</w:t>
      </w:r>
      <w:r w:rsidR="007135CF">
        <w:t xml:space="preserve"> and Additional Results</w:t>
      </w:r>
    </w:p>
    <w:p w14:paraId="1BEF9BCA" w14:textId="77777777" w:rsidR="00264D4F" w:rsidRDefault="00264D4F" w:rsidP="000D76F6">
      <w:pPr>
        <w:pStyle w:val="ListParagraph"/>
        <w:numPr>
          <w:ilvl w:val="0"/>
          <w:numId w:val="1"/>
        </w:numPr>
      </w:pPr>
      <w:r>
        <w:t>The transit</w:t>
      </w:r>
      <w:r w:rsidR="00255EEE">
        <w:t>ion probabilities</w:t>
      </w:r>
      <w:r>
        <w:t xml:space="preserve"> of our Markov model </w:t>
      </w:r>
      <w:r w:rsidR="00507F07">
        <w:t>were</w:t>
      </w:r>
      <w:r>
        <w:t xml:space="preserve"> age-dependent. </w:t>
      </w:r>
      <w:r w:rsidR="000D76F6">
        <w:t xml:space="preserve">The transition of a cohort under treatment </w:t>
      </w:r>
      <w:r w:rsidR="000D76F6" w:rsidRPr="000D76F6">
        <w:t xml:space="preserve">A </w:t>
      </w:r>
      <w:r w:rsidR="000D76F6">
        <w:t>(</w:t>
      </w:r>
      <w:r w:rsidR="000D76F6" w:rsidRPr="000D76F6">
        <w:t>statin plus PCSK9 inhibitor</w:t>
      </w:r>
      <w:r w:rsidR="000D76F6">
        <w:t xml:space="preserve">) was compared with an identical cohort under </w:t>
      </w:r>
      <w:r w:rsidR="000D76F6" w:rsidRPr="000D76F6">
        <w:t>treatment</w:t>
      </w:r>
      <w:r w:rsidR="000D76F6">
        <w:t xml:space="preserve"> B (</w:t>
      </w:r>
      <w:r w:rsidR="000D76F6" w:rsidRPr="000D76F6">
        <w:t>standard therapy)</w:t>
      </w:r>
      <w:r w:rsidR="000D76F6">
        <w:t>.</w:t>
      </w:r>
      <w:r w:rsidR="000D76F6" w:rsidRPr="000D76F6">
        <w:t xml:space="preserve"> </w:t>
      </w:r>
      <w:r>
        <w:t>Probabilities were obtained from the literature and adjusted to the model as follows</w:t>
      </w:r>
      <w:r w:rsidR="00507F07">
        <w:t xml:space="preserve"> (letters correspond to </w:t>
      </w:r>
      <w:r w:rsidR="0060009B">
        <w:t>S1 F</w:t>
      </w:r>
      <w:r w:rsidR="00507F07">
        <w:t>ig)</w:t>
      </w:r>
      <w:r>
        <w:t>:</w:t>
      </w:r>
    </w:p>
    <w:p w14:paraId="52385BF0" w14:textId="77777777" w:rsidR="00755142" w:rsidRDefault="00755142" w:rsidP="00755142">
      <w:pPr>
        <w:pStyle w:val="ListParagraph"/>
        <w:ind w:left="360"/>
      </w:pPr>
    </w:p>
    <w:p w14:paraId="572BF1EF" w14:textId="77777777" w:rsidR="00755142" w:rsidRPr="00755142" w:rsidRDefault="00326CDF" w:rsidP="00755142">
      <w:pPr>
        <w:spacing w:after="0"/>
        <w:ind w:left="360"/>
        <w:rPr>
          <w:b/>
        </w:rPr>
      </w:pPr>
      <w:r>
        <w:rPr>
          <w:b/>
        </w:rPr>
        <w:t xml:space="preserve">S1 </w:t>
      </w:r>
      <w:r w:rsidR="00755142" w:rsidRPr="00755142">
        <w:rPr>
          <w:b/>
        </w:rPr>
        <w:t>F</w:t>
      </w:r>
      <w:r>
        <w:rPr>
          <w:b/>
        </w:rPr>
        <w:t>i</w:t>
      </w:r>
      <w:r w:rsidR="00755142" w:rsidRPr="00755142">
        <w:rPr>
          <w:b/>
        </w:rPr>
        <w:t>g. Annotated Decision-Analytic Model</w:t>
      </w:r>
    </w:p>
    <w:p w14:paraId="4BED3F4E" w14:textId="77777777" w:rsidR="00755142" w:rsidRDefault="006041A3" w:rsidP="00755142">
      <w:pPr>
        <w:ind w:left="360"/>
      </w:pPr>
      <w:r>
        <w:rPr>
          <w:noProof/>
        </w:rPr>
        <w:drawing>
          <wp:inline distT="0" distB="0" distL="0" distR="0" wp14:anchorId="1AF91C12" wp14:editId="61B6A652">
            <wp:extent cx="2862072" cy="2560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072" cy="2560320"/>
                    </a:xfrm>
                    <a:prstGeom prst="rect">
                      <a:avLst/>
                    </a:prstGeom>
                    <a:noFill/>
                    <a:ln>
                      <a:noFill/>
                    </a:ln>
                  </pic:spPr>
                </pic:pic>
              </a:graphicData>
            </a:graphic>
          </wp:inline>
        </w:drawing>
      </w:r>
    </w:p>
    <w:p w14:paraId="67A2793C" w14:textId="77777777" w:rsidR="00CC79CE" w:rsidRDefault="00CC79CE" w:rsidP="00755142">
      <w:pPr>
        <w:ind w:left="360"/>
      </w:pPr>
    </w:p>
    <w:p w14:paraId="5F11F432" w14:textId="77777777" w:rsidR="00264D4F" w:rsidRDefault="00264D4F" w:rsidP="00264D4F">
      <w:pPr>
        <w:pStyle w:val="ListParagraph"/>
        <w:numPr>
          <w:ilvl w:val="0"/>
          <w:numId w:val="2"/>
        </w:numPr>
      </w:pPr>
      <w:r>
        <w:t>1-year probability of CVD event at ages 58 to 100.</w:t>
      </w:r>
    </w:p>
    <w:p w14:paraId="4ED2169A" w14:textId="77777777" w:rsidR="00264D4F" w:rsidRDefault="00264D4F" w:rsidP="00264D4F">
      <w:pPr>
        <w:pStyle w:val="ListParagraph"/>
        <w:numPr>
          <w:ilvl w:val="1"/>
          <w:numId w:val="2"/>
        </w:numPr>
      </w:pPr>
      <w:r>
        <w:t xml:space="preserve">For our baseline scenario we used the one year relative risk reduction of CVD events reported in the </w:t>
      </w:r>
      <w:proofErr w:type="spellStart"/>
      <w:r>
        <w:t>evolocumab</w:t>
      </w:r>
      <w:proofErr w:type="spellEnd"/>
      <w:r>
        <w:t xml:space="preserve"> study</w:t>
      </w:r>
      <w:hyperlink w:anchor="_ENREF_1" w:tooltip="Sabatine, 2015 #744" w:history="1">
        <w:r w:rsidR="00CF4D85">
          <w:fldChar w:fldCharType="begin"/>
        </w:r>
        <w:r w:rsidR="00CF4D85">
          <w:instrText xml:space="preserve"> ADDIN EN.CITE &lt;EndNote&gt;&lt;Cite&gt;&lt;Author&gt;Sabatine&lt;/Author&gt;&lt;Year&gt;2015&lt;/Year&gt;&lt;RecNum&gt;744&lt;/RecNum&gt;&lt;DisplayText&gt;&lt;style face="superscript"&gt;1&lt;/style&gt;&lt;/DisplayText&gt;&lt;record&gt;&lt;rec-number&gt;744&lt;/rec-number&gt;&lt;foreign-keys&gt;&lt;key app="EN" db-id="wttx5f5a2dse5xewf275dps1rea50dv9xw90"&gt;744&lt;/key&gt;&lt;/foreign-keys&gt;&lt;ref-type name="Journal Article"&gt;17&lt;/ref-type&gt;&lt;contributors&gt;&lt;authors&gt;&lt;author&gt;Sabatine, Marc S&lt;/author&gt;&lt;author&gt;Giugliano, Robert P&lt;/author&gt;&lt;author&gt;Wiviott, Stephen D&lt;/author&gt;&lt;author&gt;Raal, Frederick J&lt;/author&gt;&lt;author&gt;Blom, Dirk J&lt;/author&gt;&lt;author&gt;Robinson, Jennifer&lt;/author&gt;&lt;author&gt;Ballantyne, Christie M&lt;/author&gt;&lt;author&gt;Somaratne, Ransi&lt;/author&gt;&lt;author&gt;Legg, Jason&lt;/author&gt;&lt;author&gt;Wasserman, Scott M&lt;/author&gt;&lt;/authors&gt;&lt;/contributors&gt;&lt;titles&gt;&lt;title&gt;Efficacy and safety of evolocumab in reducing lipids and cardiovascular events&lt;/title&gt;&lt;secondary-title&gt;New England Journal of Medicine&lt;/secondary-title&gt;&lt;/titles&gt;&lt;periodical&gt;&lt;full-title&gt;New England Journal of Medicine&lt;/full-title&gt;&lt;abbr-1&gt;New Engl J Med&lt;/abbr-1&gt;&lt;/periodical&gt;&lt;pages&gt;1500-1509&lt;/pages&gt;&lt;volume&gt;372&lt;/volume&gt;&lt;number&gt;16&lt;/number&gt;&lt;dates&gt;&lt;year&gt;2015&lt;/year&gt;&lt;/dates&gt;&lt;isbn&gt;0028-4793&lt;/isbn&gt;&lt;urls&gt;&lt;/urls&gt;&lt;/record&gt;&lt;/Cite&gt;&lt;/EndNote&gt;</w:instrText>
        </w:r>
        <w:r w:rsidR="00CF4D85">
          <w:fldChar w:fldCharType="separate"/>
        </w:r>
        <w:r w:rsidR="00CF4D85" w:rsidRPr="00264D4F">
          <w:rPr>
            <w:noProof/>
            <w:vertAlign w:val="superscript"/>
          </w:rPr>
          <w:t>1</w:t>
        </w:r>
        <w:r w:rsidR="00CF4D85">
          <w:fldChar w:fldCharType="end"/>
        </w:r>
      </w:hyperlink>
      <w:r>
        <w:t xml:space="preserve">, excluding non-CVD deaths and coronary revascularization (obtained from Supplemental Table 4 in </w:t>
      </w:r>
      <w:proofErr w:type="spellStart"/>
      <w:r>
        <w:t>Sabatine</w:t>
      </w:r>
      <w:proofErr w:type="spellEnd"/>
      <w:r>
        <w:t xml:space="preserve"> et al.) To project annual probabilities of CVD events at age 59 to 100 </w:t>
      </w:r>
      <w:r w:rsidR="0081591E">
        <w:t xml:space="preserve">we used the </w:t>
      </w:r>
      <w:r>
        <w:t>baseline survival function from the 10-year Framingham study</w:t>
      </w:r>
      <w:r w:rsidR="00665ED6">
        <w:t>,</w:t>
      </w:r>
      <w:hyperlink w:anchor="_ENREF_2" w:tooltip="D’Agostino, 2008 #749" w:history="1">
        <w:r w:rsidR="00CF4D85">
          <w:fldChar w:fldCharType="begin"/>
        </w:r>
        <w:r w:rsidR="00CF4D85">
          <w:instrText xml:space="preserve"> ADDIN EN.CITE &lt;EndNote&gt;&lt;Cite&gt;&lt;Author&gt;D’Agostino&lt;/Author&gt;&lt;Year&gt;2008&lt;/Year&gt;&lt;RecNum&gt;749&lt;/RecNum&gt;&lt;DisplayText&gt;&lt;style face="superscript"&gt;2&lt;/style&gt;&lt;/DisplayText&gt;&lt;record&gt;&lt;rec-number&gt;749&lt;/rec-number&gt;&lt;foreign-keys&gt;&lt;key app="EN" db-id="wttx5f5a2dse5xewf275dps1rea50dv9xw90"&gt;749&lt;/key&gt;&lt;/foreign-keys&gt;&lt;ref-type name="Journal Article"&gt;17&lt;/ref-type&gt;&lt;contributors&gt;&lt;authors&gt;&lt;author&gt;D’Agostino, Ralph B&lt;/author&gt;&lt;author&gt;Vasan, Ramachandran S&lt;/author&gt;&lt;author&gt;Pencina, Michael J&lt;/author&gt;&lt;author&gt;Wolf, Philip A&lt;/author&gt;&lt;author&gt;Cobain, Mark&lt;/author&gt;&lt;author&gt;Massaro, Joseph M&lt;/author&gt;&lt;author&gt;Kannel, William B&lt;/author&gt;&lt;/authors&gt;&lt;/contributors&gt;&lt;titles&gt;&lt;title&gt;General cardiovascular risk profile for use in primary care the Framingham Heart Study&lt;/title&gt;&lt;secondary-title&gt;Circulation&lt;/secondary-title&gt;&lt;/titles&gt;&lt;periodical&gt;&lt;full-title&gt;Circulation&lt;/full-title&gt;&lt;abbr-1&gt;Circulation&lt;/abbr-1&gt;&lt;/periodical&gt;&lt;pages&gt;743-753&lt;/pages&gt;&lt;volume&gt;117&lt;/volume&gt;&lt;number&gt;6&lt;/number&gt;&lt;dates&gt;&lt;year&gt;2008&lt;/year&gt;&lt;/dates&gt;&lt;isbn&gt;0009-7322&lt;/isbn&gt;&lt;urls&gt;&lt;/urls&gt;&lt;/record&gt;&lt;/Cite&gt;&lt;/EndNote&gt;</w:instrText>
        </w:r>
        <w:r w:rsidR="00CF4D85">
          <w:fldChar w:fldCharType="separate"/>
        </w:r>
        <w:r w:rsidR="00CF4D85" w:rsidRPr="00264D4F">
          <w:rPr>
            <w:noProof/>
            <w:vertAlign w:val="superscript"/>
          </w:rPr>
          <w:t>2</w:t>
        </w:r>
        <w:r w:rsidR="00CF4D85">
          <w:fldChar w:fldCharType="end"/>
        </w:r>
      </w:hyperlink>
      <w:r w:rsidR="00665ED6">
        <w:t xml:space="preserve"> under the assumption that the Framingham survival function is proportional to the unobserved </w:t>
      </w:r>
      <w:proofErr w:type="spellStart"/>
      <w:r w:rsidR="00665ED6">
        <w:t>evolocumab</w:t>
      </w:r>
      <w:proofErr w:type="spellEnd"/>
      <w:r w:rsidR="00665ED6">
        <w:t xml:space="preserve"> survival function.</w:t>
      </w:r>
    </w:p>
    <w:p w14:paraId="6CB9F61F" w14:textId="77777777" w:rsidR="00255EEE" w:rsidRDefault="00665ED6" w:rsidP="00DA356E">
      <w:pPr>
        <w:pStyle w:val="ListParagraph"/>
        <w:numPr>
          <w:ilvl w:val="1"/>
          <w:numId w:val="2"/>
        </w:numPr>
      </w:pPr>
      <w:r>
        <w:t xml:space="preserve">An alternative scenario was based on the </w:t>
      </w:r>
      <w:r w:rsidR="003721F1">
        <w:t xml:space="preserve">10-year </w:t>
      </w:r>
      <w:r w:rsidR="00255EEE">
        <w:t>Framingham risk equation</w:t>
      </w:r>
      <w:hyperlink w:anchor="_ENREF_2" w:tooltip="D’Agostino, 2008 #749" w:history="1">
        <w:r w:rsidR="00CF4D85">
          <w:fldChar w:fldCharType="begin"/>
        </w:r>
        <w:r w:rsidR="00CF4D85">
          <w:instrText xml:space="preserve"> ADDIN EN.CITE &lt;EndNote&gt;&lt;Cite&gt;&lt;Author&gt;D’Agostino&lt;/Author&gt;&lt;Year&gt;2008&lt;/Year&gt;&lt;RecNum&gt;749&lt;/RecNum&gt;&lt;DisplayText&gt;&lt;style face="superscript"&gt;2&lt;/style&gt;&lt;/DisplayText&gt;&lt;record&gt;&lt;rec-number&gt;749&lt;/rec-number&gt;&lt;foreign-keys&gt;&lt;key app="EN" db-id="wttx5f5a2dse5xewf275dps1rea50dv9xw90"&gt;749&lt;/key&gt;&lt;/foreign-keys&gt;&lt;ref-type name="Journal Article"&gt;17&lt;/ref-type&gt;&lt;contributors&gt;&lt;authors&gt;&lt;author&gt;D’Agostino, Ralph B&lt;/author&gt;&lt;author&gt;Vasan, Ramachandran S&lt;/author&gt;&lt;author&gt;Pencina, Michael J&lt;/author&gt;&lt;author&gt;Wolf, Philip A&lt;/author&gt;&lt;author&gt;Cobain, Mark&lt;/author&gt;&lt;author&gt;Massaro, Joseph M&lt;/author&gt;&lt;author&gt;Kannel, William B&lt;/author&gt;&lt;/authors&gt;&lt;/contributors&gt;&lt;titles&gt;&lt;title&gt;General cardiovascular risk profile for use in primary care the Framingham Heart Study&lt;/title&gt;&lt;secondary-title&gt;Circulation&lt;/secondary-title&gt;&lt;/titles&gt;&lt;periodical&gt;&lt;full-title&gt;Circulation&lt;/full-title&gt;&lt;abbr-1&gt;Circulation&lt;/abbr-1&gt;&lt;/periodical&gt;&lt;pages&gt;743-753&lt;/pages&gt;&lt;volume&gt;117&lt;/volume&gt;&lt;number&gt;6&lt;/number&gt;&lt;dates&gt;&lt;year&gt;2008&lt;/year&gt;&lt;/dates&gt;&lt;isbn&gt;0009-7322&lt;/isbn&gt;&lt;urls&gt;&lt;/urls&gt;&lt;/record&gt;&lt;/Cite&gt;&lt;/EndNote&gt;</w:instrText>
        </w:r>
        <w:r w:rsidR="00CF4D85">
          <w:fldChar w:fldCharType="separate"/>
        </w:r>
        <w:r w:rsidR="00CF4D85" w:rsidRPr="00665ED6">
          <w:rPr>
            <w:noProof/>
            <w:vertAlign w:val="superscript"/>
          </w:rPr>
          <w:t>2</w:t>
        </w:r>
        <w:r w:rsidR="00CF4D85">
          <w:fldChar w:fldCharType="end"/>
        </w:r>
      </w:hyperlink>
      <w:r w:rsidR="00255EEE">
        <w:t xml:space="preserve"> </w:t>
      </w:r>
      <w:r>
        <w:t>evaluated for</w:t>
      </w:r>
      <w:r w:rsidR="00AD6AC0">
        <w:t xml:space="preserve"> the average patient from the </w:t>
      </w:r>
      <w:proofErr w:type="spellStart"/>
      <w:r w:rsidR="00AD6AC0">
        <w:t>evolocumab</w:t>
      </w:r>
      <w:proofErr w:type="spellEnd"/>
      <w:r w:rsidR="00AD6AC0">
        <w:t xml:space="preserve"> study</w:t>
      </w:r>
      <w:hyperlink w:anchor="_ENREF_2" w:tooltip="D’Agostino, 2008 #749" w:history="1">
        <w:r w:rsidR="00CF4D85">
          <w:fldChar w:fldCharType="begin"/>
        </w:r>
        <w:r w:rsidR="00CF4D85">
          <w:instrText xml:space="preserve"> ADDIN EN.CITE &lt;EndNote&gt;&lt;Cite&gt;&lt;Author&gt;D’Agostino&lt;/Author&gt;&lt;Year&gt;2008&lt;/Year&gt;&lt;RecNum&gt;749&lt;/RecNum&gt;&lt;DisplayText&gt;&lt;style face="superscript"&gt;2&lt;/style&gt;&lt;/DisplayText&gt;&lt;record&gt;&lt;rec-number&gt;749&lt;/rec-number&gt;&lt;foreign-keys&gt;&lt;key app="EN" db-id="wttx5f5a2dse5xewf275dps1rea50dv9xw90"&gt;749&lt;/key&gt;&lt;/foreign-keys&gt;&lt;ref-type name="Journal Article"&gt;17&lt;/ref-type&gt;&lt;contributors&gt;&lt;authors&gt;&lt;author&gt;D’Agostino, Ralph B&lt;/author&gt;&lt;author&gt;Vasan, Ramachandran S&lt;/author&gt;&lt;author&gt;Pencina, Michael J&lt;/author&gt;&lt;author&gt;Wolf, Philip A&lt;/author&gt;&lt;author&gt;Cobain, Mark&lt;/author&gt;&lt;author&gt;Massaro, Joseph M&lt;/author&gt;&lt;author&gt;Kannel, William B&lt;/author&gt;&lt;/authors&gt;&lt;/contributors&gt;&lt;titles&gt;&lt;title&gt;General cardiovascular risk profile for use in primary care the Framingham Heart Study&lt;/title&gt;&lt;secondary-title&gt;Circulation&lt;/secondary-title&gt;&lt;/titles&gt;&lt;periodical&gt;&lt;full-title&gt;Circulation&lt;/full-title&gt;&lt;abbr-1&gt;Circulation&lt;/abbr-1&gt;&lt;/periodical&gt;&lt;pages&gt;743-753&lt;/pages&gt;&lt;volume&gt;117&lt;/volume&gt;&lt;number&gt;6&lt;/number&gt;&lt;dates&gt;&lt;year&gt;2008&lt;/year&gt;&lt;/dates&gt;&lt;isbn&gt;0009-7322&lt;/isbn&gt;&lt;urls&gt;&lt;/urls&gt;&lt;/record&gt;&lt;/Cite&gt;&lt;/EndNote&gt;</w:instrText>
        </w:r>
        <w:r w:rsidR="00CF4D85">
          <w:fldChar w:fldCharType="separate"/>
        </w:r>
        <w:r w:rsidR="00CF4D85" w:rsidRPr="00665ED6">
          <w:rPr>
            <w:noProof/>
            <w:vertAlign w:val="superscript"/>
          </w:rPr>
          <w:t>2</w:t>
        </w:r>
        <w:r w:rsidR="00CF4D85">
          <w:fldChar w:fldCharType="end"/>
        </w:r>
      </w:hyperlink>
      <w:r w:rsidR="00AD6AC0">
        <w:t xml:space="preserve">. </w:t>
      </w:r>
      <w:r>
        <w:t xml:space="preserve">In this scenario, 1-year probabilities of CVD events </w:t>
      </w:r>
      <w:r w:rsidR="002751E6">
        <w:t>were obtained</w:t>
      </w:r>
      <w:r w:rsidR="00AD6AC0">
        <w:t xml:space="preserve"> </w:t>
      </w:r>
      <w:r w:rsidR="00507F07">
        <w:t xml:space="preserve">indirectly </w:t>
      </w:r>
      <w:r w:rsidR="002751E6">
        <w:t xml:space="preserve">by imputing the </w:t>
      </w:r>
      <w:r w:rsidR="00AD6AC0">
        <w:t xml:space="preserve">changes in LDL </w:t>
      </w:r>
      <w:r w:rsidR="002751E6">
        <w:t xml:space="preserve">cholesterol reported by the </w:t>
      </w:r>
      <w:proofErr w:type="spellStart"/>
      <w:r w:rsidR="002751E6">
        <w:t>evolocumab</w:t>
      </w:r>
      <w:proofErr w:type="spellEnd"/>
      <w:r w:rsidR="002751E6">
        <w:t xml:space="preserve"> study </w:t>
      </w:r>
      <w:r w:rsidR="00AD6AC0">
        <w:t xml:space="preserve">in the Framingham equation. </w:t>
      </w:r>
    </w:p>
    <w:p w14:paraId="3523FDD8" w14:textId="77777777" w:rsidR="00507F07" w:rsidRDefault="00507F07" w:rsidP="00DA356E">
      <w:pPr>
        <w:pStyle w:val="ListParagraph"/>
        <w:numPr>
          <w:ilvl w:val="1"/>
          <w:numId w:val="2"/>
        </w:numPr>
      </w:pPr>
      <w:r>
        <w:t>In all scenarios, 1-year probabilities of CVD events were obtained separately for males and females</w:t>
      </w:r>
      <w:r w:rsidR="00235829">
        <w:t xml:space="preserve"> for each CVD event (MI, stroke and other CVD)  based on the 2008-2010 </w:t>
      </w:r>
      <w:r w:rsidR="00235829">
        <w:lastRenderedPageBreak/>
        <w:t>average of CVD distribution by age</w:t>
      </w:r>
      <w:hyperlink w:anchor="_ENREF_3" w:tooltip="CDC,  #751" w:history="1">
        <w:r w:rsidR="00CF4D85">
          <w:fldChar w:fldCharType="begin"/>
        </w:r>
        <w:r w:rsidR="00CF4D85">
          <w:instrText xml:space="preserve"> ADDIN EN.CITE &lt;EndNote&gt;&lt;Cite&gt;&lt;Author&gt;CDC&lt;/Author&gt;&lt;RecNum&gt;751&lt;/RecNum&gt;&lt;DisplayText&gt;&lt;style face="superscript"&gt;3&lt;/style&gt;&lt;/DisplayText&gt;&lt;record&gt;&lt;rec-number&gt;751&lt;/rec-number&gt;&lt;foreign-keys&gt;&lt;key app="EN" db-id="wttx5f5a2dse5xewf275dps1rea50dv9xw90"&gt;751&lt;/key&gt;&lt;/foreign-keys&gt;&lt;ref-type name="Web Page"&gt;12&lt;/ref-type&gt;&lt;contributors&gt;&lt;authors&gt;&lt;author&gt;CDC&lt;/author&gt;&lt;/authors&gt;&lt;/contributors&gt;&lt;titles&gt;&lt;title&gt;Health Data Interactive (2008-2010)&lt;/title&gt;&lt;/titles&gt;&lt;number&gt;August 16, 2015&lt;/number&gt;&lt;dates&gt;&lt;/dates&gt;&lt;urls&gt;&lt;related-urls&gt;&lt;url&gt;http://205.207.175.93/HDI/&lt;/url&gt;&lt;/related-urls&gt;&lt;/urls&gt;&lt;/record&gt;&lt;/Cite&gt;&lt;/EndNote&gt;</w:instrText>
        </w:r>
        <w:r w:rsidR="00CF4D85">
          <w:fldChar w:fldCharType="separate"/>
        </w:r>
        <w:r w:rsidR="00CF4D85" w:rsidRPr="00235829">
          <w:rPr>
            <w:noProof/>
            <w:vertAlign w:val="superscript"/>
          </w:rPr>
          <w:t>3</w:t>
        </w:r>
        <w:r w:rsidR="00CF4D85">
          <w:fldChar w:fldCharType="end"/>
        </w:r>
      </w:hyperlink>
      <w:r w:rsidR="00235829">
        <w:t>. Probabilities were then combined based on female-male distribution.</w:t>
      </w:r>
    </w:p>
    <w:p w14:paraId="40CE279A" w14:textId="77777777" w:rsidR="00EA38B2" w:rsidRDefault="00EA38B2" w:rsidP="00DA356E">
      <w:pPr>
        <w:pStyle w:val="ListParagraph"/>
        <w:numPr>
          <w:ilvl w:val="1"/>
          <w:numId w:val="2"/>
        </w:numPr>
      </w:pPr>
      <w:r>
        <w:t xml:space="preserve">1-year probabilities of CVD events for ages 58 to 100, for our baseline and alternative scenarios are represented in </w:t>
      </w:r>
      <w:r w:rsidR="0091099F">
        <w:t>S2 F</w:t>
      </w:r>
      <w:r>
        <w:t>ig.</w:t>
      </w:r>
    </w:p>
    <w:p w14:paraId="3FD21A82" w14:textId="77777777" w:rsidR="00CC79CE" w:rsidRDefault="00CC79CE" w:rsidP="00CC79CE">
      <w:pPr>
        <w:pStyle w:val="ListParagraph"/>
        <w:ind w:left="1440"/>
      </w:pPr>
    </w:p>
    <w:p w14:paraId="7A4FC5B7" w14:textId="77777777" w:rsidR="00755142" w:rsidRDefault="00755142" w:rsidP="00755142">
      <w:pPr>
        <w:pStyle w:val="ListParagraph"/>
        <w:ind w:left="1440"/>
      </w:pPr>
    </w:p>
    <w:p w14:paraId="6160EB2C" w14:textId="77777777" w:rsidR="00755142" w:rsidRPr="00755142" w:rsidRDefault="00326CDF" w:rsidP="00755142">
      <w:pPr>
        <w:pStyle w:val="ListParagraph"/>
        <w:ind w:left="1440"/>
        <w:rPr>
          <w:b/>
        </w:rPr>
      </w:pPr>
      <w:r>
        <w:rPr>
          <w:b/>
        </w:rPr>
        <w:t>S2 Fig. One-y</w:t>
      </w:r>
      <w:r w:rsidR="00755142" w:rsidRPr="00755142">
        <w:rPr>
          <w:b/>
        </w:rPr>
        <w:t xml:space="preserve">ear </w:t>
      </w:r>
      <w:r>
        <w:rPr>
          <w:b/>
        </w:rPr>
        <w:t>P</w:t>
      </w:r>
      <w:r w:rsidR="00755142" w:rsidRPr="00755142">
        <w:rPr>
          <w:b/>
        </w:rPr>
        <w:t xml:space="preserve">robabilities of CVD </w:t>
      </w:r>
      <w:r>
        <w:rPr>
          <w:b/>
        </w:rPr>
        <w:t>E</w:t>
      </w:r>
      <w:r w:rsidR="00755142" w:rsidRPr="00755142">
        <w:rPr>
          <w:b/>
        </w:rPr>
        <w:t>vents</w:t>
      </w:r>
    </w:p>
    <w:p w14:paraId="5E2AF430" w14:textId="77777777" w:rsidR="00EA38B2" w:rsidRDefault="00755142" w:rsidP="00EA38B2">
      <w:pPr>
        <w:pStyle w:val="ListParagraph"/>
        <w:ind w:left="1440"/>
      </w:pPr>
      <w:r w:rsidRPr="00755142">
        <w:rPr>
          <w:noProof/>
        </w:rPr>
        <w:drawing>
          <wp:inline distT="0" distB="0" distL="0" distR="0" wp14:anchorId="37177214" wp14:editId="19803E63">
            <wp:extent cx="4571429" cy="274285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1429" cy="2742857"/>
                    </a:xfrm>
                    <a:prstGeom prst="rect">
                      <a:avLst/>
                    </a:prstGeom>
                  </pic:spPr>
                </pic:pic>
              </a:graphicData>
            </a:graphic>
          </wp:inline>
        </w:drawing>
      </w:r>
    </w:p>
    <w:p w14:paraId="30E6C349" w14:textId="77777777" w:rsidR="007B25AB" w:rsidRDefault="007B25AB" w:rsidP="00EA38B2">
      <w:pPr>
        <w:pStyle w:val="ListParagraph"/>
        <w:ind w:left="1440"/>
      </w:pPr>
    </w:p>
    <w:p w14:paraId="1FDE85F0" w14:textId="77777777" w:rsidR="00CC79CE" w:rsidRDefault="00CC79CE" w:rsidP="00EA38B2">
      <w:pPr>
        <w:pStyle w:val="ListParagraph"/>
        <w:ind w:left="1440"/>
      </w:pPr>
    </w:p>
    <w:p w14:paraId="36C5076E" w14:textId="77777777" w:rsidR="00235829" w:rsidRDefault="00235829" w:rsidP="00542700">
      <w:pPr>
        <w:pStyle w:val="ListParagraph"/>
        <w:numPr>
          <w:ilvl w:val="0"/>
          <w:numId w:val="2"/>
        </w:numPr>
      </w:pPr>
      <w:r>
        <w:t>Transition to post-CVD event occur after one cycl</w:t>
      </w:r>
      <w:r w:rsidR="00EF30C1">
        <w:t>e (one year) with probability 1 (tunnel state).</w:t>
      </w:r>
    </w:p>
    <w:p w14:paraId="3FBAC620" w14:textId="77777777" w:rsidR="007B25AB" w:rsidRDefault="00507F07" w:rsidP="00EA38B2">
      <w:pPr>
        <w:pStyle w:val="ListParagraph"/>
        <w:numPr>
          <w:ilvl w:val="0"/>
          <w:numId w:val="2"/>
        </w:numPr>
      </w:pPr>
      <w:r>
        <w:t xml:space="preserve">1-year probability of subsequent </w:t>
      </w:r>
      <w:r w:rsidR="00542700">
        <w:t>CVD events</w:t>
      </w:r>
      <w:r w:rsidR="00EA38B2">
        <w:t xml:space="preserve"> at ages 58 to 100</w:t>
      </w:r>
      <w:r>
        <w:t xml:space="preserve">. Probabilities were obtained </w:t>
      </w:r>
      <w:r w:rsidR="00235829">
        <w:t>f</w:t>
      </w:r>
      <w:r w:rsidR="00542700">
        <w:t xml:space="preserve">rom </w:t>
      </w:r>
      <w:r w:rsidR="00EA38B2">
        <w:t>4-year follow-up Framingham study on subsequent CVD events</w:t>
      </w:r>
      <w:hyperlink w:anchor="_ENREF_4" w:tooltip="D'Agostino, 2000 #752" w:history="1">
        <w:r w:rsidR="00CF4D85">
          <w:fldChar w:fldCharType="begin"/>
        </w:r>
        <w:r w:rsidR="00CF4D85">
          <w:instrText xml:space="preserve"> ADDIN EN.CITE &lt;EndNote&gt;&lt;Cite&gt;&lt;Author&gt;D&amp;apos;Agostino&lt;/Author&gt;&lt;Year&gt;2000&lt;/Year&gt;&lt;RecNum&gt;752&lt;/RecNum&gt;&lt;DisplayText&gt;&lt;style face="superscript"&gt;4&lt;/style&gt;&lt;/DisplayText&gt;&lt;record&gt;&lt;rec-number&gt;752&lt;/rec-number&gt;&lt;foreign-keys&gt;&lt;key app="EN" db-id="wttx5f5a2dse5xewf275dps1rea50dv9xw90"&gt;752&lt;/key&gt;&lt;/foreign-keys&gt;&lt;ref-type name="Journal Article"&gt;17&lt;/ref-type&gt;&lt;contributors&gt;&lt;authors&gt;&lt;author&gt;D&amp;apos;Agostino, Ralph B&lt;/author&gt;&lt;author&gt;Russell, Mason W&lt;/author&gt;&lt;author&gt;Huse, Daniel M&lt;/author&gt;&lt;author&gt;Ellison, R Curtis&lt;/author&gt;&lt;author&gt;Silbershatz, Halit&lt;/author&gt;&lt;author&gt;Wilson, Peter WF&lt;/author&gt;&lt;author&gt;Hartz, Stuart C&lt;/author&gt;&lt;/authors&gt;&lt;/contributors&gt;&lt;titles&gt;&lt;title&gt;Primary and subsequent coronary risk appraisal: new results from the Framingham study&lt;/title&gt;&lt;secondary-title&gt;American Heart Journal&lt;/secondary-title&gt;&lt;/titles&gt;&lt;periodical&gt;&lt;full-title&gt;American Heart Journal&lt;/full-title&gt;&lt;/periodical&gt;&lt;pages&gt;272-281&lt;/pages&gt;&lt;volume&gt;139&lt;/volume&gt;&lt;number&gt;2&lt;/number&gt;&lt;dates&gt;&lt;year&gt;2000&lt;/year&gt;&lt;/dates&gt;&lt;isbn&gt;0002-8703&lt;/isbn&gt;&lt;urls&gt;&lt;/urls&gt;&lt;/record&gt;&lt;/Cite&gt;&lt;/EndNote&gt;</w:instrText>
        </w:r>
        <w:r w:rsidR="00CF4D85">
          <w:fldChar w:fldCharType="separate"/>
        </w:r>
        <w:r w:rsidR="00CF4D85" w:rsidRPr="00EA38B2">
          <w:rPr>
            <w:noProof/>
            <w:vertAlign w:val="superscript"/>
          </w:rPr>
          <w:t>4</w:t>
        </w:r>
        <w:r w:rsidR="00CF4D85">
          <w:fldChar w:fldCharType="end"/>
        </w:r>
      </w:hyperlink>
      <w:r w:rsidR="00542700">
        <w:t xml:space="preserve">. </w:t>
      </w:r>
      <w:r w:rsidR="00EA38B2">
        <w:t>1-year probabilities of CVD events were obtained separately for males and females for each CVD event (MI, stroke and other CVD)  based on the 2008-2010 average of CVD distribution by age</w:t>
      </w:r>
      <w:hyperlink w:anchor="_ENREF_3" w:tooltip="CDC,  #751" w:history="1">
        <w:r w:rsidR="00CF4D85">
          <w:fldChar w:fldCharType="begin"/>
        </w:r>
        <w:r w:rsidR="00CF4D85">
          <w:instrText xml:space="preserve"> ADDIN EN.CITE &lt;EndNote&gt;&lt;Cite&gt;&lt;Author&gt;CDC&lt;/Author&gt;&lt;RecNum&gt;751&lt;/RecNum&gt;&lt;DisplayText&gt;&lt;style face="superscript"&gt;3&lt;/style&gt;&lt;/DisplayText&gt;&lt;record&gt;&lt;rec-number&gt;751&lt;/rec-number&gt;&lt;foreign-keys&gt;&lt;key app="EN" db-id="wttx5f5a2dse5xewf275dps1rea50dv9xw90"&gt;751&lt;/key&gt;&lt;/foreign-keys&gt;&lt;ref-type name="Web Page"&gt;12&lt;/ref-type&gt;&lt;contributors&gt;&lt;authors&gt;&lt;author&gt;CDC&lt;/author&gt;&lt;/authors&gt;&lt;/contributors&gt;&lt;titles&gt;&lt;title&gt;Health Data Interactive (2008-2010)&lt;/title&gt;&lt;/titles&gt;&lt;number&gt;August 16, 2015&lt;/number&gt;&lt;dates&gt;&lt;/dates&gt;&lt;urls&gt;&lt;related-urls&gt;&lt;url&gt;http://205.207.175.93/HDI/&lt;/url&gt;&lt;/related-urls&gt;&lt;/urls&gt;&lt;/record&gt;&lt;/Cite&gt;&lt;Cite&gt;&lt;Author&gt;CDC&lt;/Author&gt;&lt;RecNum&gt;751&lt;/RecNum&gt;&lt;record&gt;&lt;rec-number&gt;751&lt;/rec-number&gt;&lt;foreign-keys&gt;&lt;key app="EN" db-id="wttx5f5a2dse5xewf275dps1rea50dv9xw90"&gt;751&lt;/key&gt;&lt;/foreign-keys&gt;&lt;ref-type name="Web Page"&gt;12&lt;/ref-type&gt;&lt;contributors&gt;&lt;authors&gt;&lt;author&gt;CDC&lt;/author&gt;&lt;/authors&gt;&lt;/contributors&gt;&lt;titles&gt;&lt;title&gt;Health Data Interactive (2008-2010)&lt;/title&gt;&lt;/titles&gt;&lt;number&gt;August 16, 2015&lt;/number&gt;&lt;dates&gt;&lt;/dates&gt;&lt;urls&gt;&lt;related-urls&gt;&lt;url&gt;http://205.207.175.93/HDI/&lt;/url&gt;&lt;/related-urls&gt;&lt;/urls&gt;&lt;/record&gt;&lt;/Cite&gt;&lt;/EndNote&gt;</w:instrText>
        </w:r>
        <w:r w:rsidR="00CF4D85">
          <w:fldChar w:fldCharType="separate"/>
        </w:r>
        <w:r w:rsidR="00CF4D85" w:rsidRPr="00235829">
          <w:rPr>
            <w:noProof/>
            <w:vertAlign w:val="superscript"/>
          </w:rPr>
          <w:t>3</w:t>
        </w:r>
        <w:r w:rsidR="00CF4D85">
          <w:fldChar w:fldCharType="end"/>
        </w:r>
      </w:hyperlink>
      <w:r w:rsidR="00EA38B2">
        <w:t>. Probabilities were then combined based on female-male distribution. 1-year probabilities of CVD events were obtained separately for males and females for each subsequent CVD event (MI, stroke and other CVD)  based on the 2008-2010 average of CVD distribution by age</w:t>
      </w:r>
      <w:hyperlink w:anchor="_ENREF_3" w:tooltip="CDC,  #751" w:history="1">
        <w:r w:rsidR="00CF4D85">
          <w:fldChar w:fldCharType="begin"/>
        </w:r>
        <w:r w:rsidR="00CF4D85">
          <w:instrText xml:space="preserve"> ADDIN EN.CITE &lt;EndNote&gt;&lt;Cite&gt;&lt;Author&gt;CDC&lt;/Author&gt;&lt;RecNum&gt;751&lt;/RecNum&gt;&lt;DisplayText&gt;&lt;style face="superscript"&gt;3&lt;/style&gt;&lt;/DisplayText&gt;&lt;record&gt;&lt;rec-number&gt;751&lt;/rec-number&gt;&lt;foreign-keys&gt;&lt;key app="EN" db-id="wttx5f5a2dse5xewf275dps1rea50dv9xw90"&gt;751&lt;/key&gt;&lt;/foreign-keys&gt;&lt;ref-type name="Web Page"&gt;12&lt;/ref-type&gt;&lt;contributors&gt;&lt;authors&gt;&lt;author&gt;CDC&lt;/author&gt;&lt;/authors&gt;&lt;/contributors&gt;&lt;titles&gt;&lt;title&gt;Health Data Interactive (2008-2010)&lt;/title&gt;&lt;/titles&gt;&lt;number&gt;August 16, 2015&lt;/number&gt;&lt;dates&gt;&lt;/dates&gt;&lt;urls&gt;&lt;related-urls&gt;&lt;url&gt;http://205.207.175.93/HDI/&lt;/url&gt;&lt;/related-urls&gt;&lt;/urls&gt;&lt;/record&gt;&lt;/Cite&gt;&lt;/EndNote&gt;</w:instrText>
        </w:r>
        <w:r w:rsidR="00CF4D85">
          <w:fldChar w:fldCharType="separate"/>
        </w:r>
        <w:r w:rsidR="00CF4D85" w:rsidRPr="00235829">
          <w:rPr>
            <w:noProof/>
            <w:vertAlign w:val="superscript"/>
          </w:rPr>
          <w:t>3</w:t>
        </w:r>
        <w:r w:rsidR="00CF4D85">
          <w:fldChar w:fldCharType="end"/>
        </w:r>
      </w:hyperlink>
      <w:r w:rsidR="00EA38B2">
        <w:t>. Probabilities were then combined based on female-male distribution.</w:t>
      </w:r>
      <w:r w:rsidR="007B25AB">
        <w:t xml:space="preserve"> </w:t>
      </w:r>
      <w:r w:rsidR="0091099F">
        <w:t xml:space="preserve">S3 </w:t>
      </w:r>
      <w:r w:rsidR="007B25AB">
        <w:t>Fig shows the 1-year probabilities of subsequent CVD events for ages 58 to 100.</w:t>
      </w:r>
    </w:p>
    <w:p w14:paraId="7B4F982E" w14:textId="77777777" w:rsidR="007B25AB" w:rsidRDefault="007B25AB" w:rsidP="007B25AB">
      <w:pPr>
        <w:pStyle w:val="ListParagraph"/>
      </w:pPr>
    </w:p>
    <w:p w14:paraId="378E25C1" w14:textId="77777777" w:rsidR="00CC79CE" w:rsidRDefault="00CC79CE" w:rsidP="007B25AB">
      <w:pPr>
        <w:pStyle w:val="ListParagraph"/>
      </w:pPr>
    </w:p>
    <w:p w14:paraId="634B3F7E" w14:textId="77777777" w:rsidR="00CC79CE" w:rsidRDefault="00CC79CE" w:rsidP="007B25AB">
      <w:pPr>
        <w:pStyle w:val="ListParagraph"/>
      </w:pPr>
    </w:p>
    <w:p w14:paraId="58CFB191" w14:textId="77777777" w:rsidR="00CC79CE" w:rsidRDefault="00CC79CE" w:rsidP="007B25AB">
      <w:pPr>
        <w:pStyle w:val="ListParagraph"/>
      </w:pPr>
    </w:p>
    <w:p w14:paraId="32DBFDFD" w14:textId="77777777" w:rsidR="00CC79CE" w:rsidRDefault="00CC79CE" w:rsidP="007B25AB">
      <w:pPr>
        <w:pStyle w:val="ListParagraph"/>
      </w:pPr>
    </w:p>
    <w:p w14:paraId="3CABA57B" w14:textId="77777777" w:rsidR="00CC79CE" w:rsidRDefault="00CC79CE" w:rsidP="007B25AB">
      <w:pPr>
        <w:pStyle w:val="ListParagraph"/>
      </w:pPr>
    </w:p>
    <w:p w14:paraId="1FF83FF8" w14:textId="77777777" w:rsidR="00CC79CE" w:rsidRDefault="00CC79CE" w:rsidP="007B25AB">
      <w:pPr>
        <w:pStyle w:val="ListParagraph"/>
      </w:pPr>
    </w:p>
    <w:p w14:paraId="11BAD03C" w14:textId="77777777" w:rsidR="00CC79CE" w:rsidRDefault="00CC79CE" w:rsidP="007B25AB">
      <w:pPr>
        <w:pStyle w:val="ListParagraph"/>
      </w:pPr>
    </w:p>
    <w:p w14:paraId="46D337AF" w14:textId="77777777" w:rsidR="00CC79CE" w:rsidRDefault="00CC79CE" w:rsidP="007B25AB">
      <w:pPr>
        <w:pStyle w:val="ListParagraph"/>
      </w:pPr>
    </w:p>
    <w:p w14:paraId="300BFCA8" w14:textId="77777777" w:rsidR="00CC79CE" w:rsidRDefault="00CC79CE" w:rsidP="007B25AB">
      <w:pPr>
        <w:pStyle w:val="ListParagraph"/>
      </w:pPr>
    </w:p>
    <w:p w14:paraId="56E888D4" w14:textId="77777777" w:rsidR="00CC79CE" w:rsidRDefault="00CC79CE" w:rsidP="007B25AB">
      <w:pPr>
        <w:pStyle w:val="ListParagraph"/>
      </w:pPr>
    </w:p>
    <w:p w14:paraId="31D61804" w14:textId="77777777" w:rsidR="00CC79CE" w:rsidRDefault="00CC79CE" w:rsidP="007B25AB">
      <w:pPr>
        <w:pStyle w:val="ListParagraph"/>
      </w:pPr>
    </w:p>
    <w:p w14:paraId="7D64139D" w14:textId="77777777" w:rsidR="00E57E6A" w:rsidRPr="00755142" w:rsidRDefault="00326CDF" w:rsidP="00E57E6A">
      <w:pPr>
        <w:pStyle w:val="ListParagraph"/>
        <w:rPr>
          <w:b/>
        </w:rPr>
      </w:pPr>
      <w:r>
        <w:rPr>
          <w:b/>
        </w:rPr>
        <w:t xml:space="preserve">S3 </w:t>
      </w:r>
      <w:r w:rsidR="00E57E6A" w:rsidRPr="00755142">
        <w:rPr>
          <w:b/>
        </w:rPr>
        <w:t xml:space="preserve">Fig. One-year </w:t>
      </w:r>
      <w:r>
        <w:rPr>
          <w:b/>
        </w:rPr>
        <w:t>P</w:t>
      </w:r>
      <w:r w:rsidR="00E57E6A" w:rsidRPr="00755142">
        <w:rPr>
          <w:b/>
        </w:rPr>
        <w:t xml:space="preserve">robabilities of </w:t>
      </w:r>
      <w:r>
        <w:rPr>
          <w:b/>
        </w:rPr>
        <w:t>S</w:t>
      </w:r>
      <w:r w:rsidR="00E57E6A">
        <w:rPr>
          <w:b/>
        </w:rPr>
        <w:t xml:space="preserve">ubsequent </w:t>
      </w:r>
      <w:r w:rsidR="00E57E6A" w:rsidRPr="00755142">
        <w:rPr>
          <w:b/>
        </w:rPr>
        <w:t xml:space="preserve">CVD </w:t>
      </w:r>
      <w:r>
        <w:rPr>
          <w:b/>
        </w:rPr>
        <w:t>E</w:t>
      </w:r>
      <w:r w:rsidR="00E57E6A" w:rsidRPr="00755142">
        <w:rPr>
          <w:b/>
        </w:rPr>
        <w:t>vents</w:t>
      </w:r>
    </w:p>
    <w:p w14:paraId="035156CA" w14:textId="77777777" w:rsidR="00E57E6A" w:rsidRDefault="00731D6E" w:rsidP="007B25AB">
      <w:pPr>
        <w:pStyle w:val="ListParagraph"/>
      </w:pPr>
      <w:r w:rsidRPr="00731D6E">
        <w:rPr>
          <w:noProof/>
        </w:rPr>
        <w:drawing>
          <wp:inline distT="0" distB="0" distL="0" distR="0" wp14:anchorId="67E61CA0" wp14:editId="01E51CF7">
            <wp:extent cx="4571429" cy="274285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1429" cy="2742857"/>
                    </a:xfrm>
                    <a:prstGeom prst="rect">
                      <a:avLst/>
                    </a:prstGeom>
                  </pic:spPr>
                </pic:pic>
              </a:graphicData>
            </a:graphic>
          </wp:inline>
        </w:drawing>
      </w:r>
    </w:p>
    <w:p w14:paraId="627B3476" w14:textId="77777777" w:rsidR="00E57E6A" w:rsidRDefault="00E57E6A" w:rsidP="007B25AB">
      <w:pPr>
        <w:pStyle w:val="ListParagraph"/>
      </w:pPr>
    </w:p>
    <w:p w14:paraId="2B986BBC" w14:textId="77777777" w:rsidR="007B25AB" w:rsidRDefault="00E57E6A" w:rsidP="007B25AB">
      <w:pPr>
        <w:pStyle w:val="ListParagraph"/>
        <w:numPr>
          <w:ilvl w:val="0"/>
          <w:numId w:val="2"/>
        </w:numPr>
      </w:pPr>
      <w:r>
        <w:t xml:space="preserve">Progression within post-CVD event </w:t>
      </w:r>
      <w:r w:rsidR="00EF30C1">
        <w:t>(tunnel state)</w:t>
      </w:r>
      <w:r>
        <w:t>. Individuals are assumed to remain in the post-CVD event for 5 years, implying that it takes 5 years to recuperate from the CVD event. At any time during that 5-year period, they can transit to a subsequent CVD event (c) or they can die (e).</w:t>
      </w:r>
    </w:p>
    <w:p w14:paraId="1169E61D" w14:textId="77777777" w:rsidR="00E57E6A" w:rsidRDefault="00E57E6A" w:rsidP="00E57E6A">
      <w:pPr>
        <w:pStyle w:val="ListParagraph"/>
      </w:pPr>
    </w:p>
    <w:p w14:paraId="26AD9FB5" w14:textId="77777777" w:rsidR="00755142" w:rsidRDefault="00EA38B2" w:rsidP="00542700">
      <w:pPr>
        <w:pStyle w:val="ListParagraph"/>
        <w:numPr>
          <w:ilvl w:val="0"/>
          <w:numId w:val="2"/>
        </w:numPr>
      </w:pPr>
      <w:r>
        <w:t>Tran</w:t>
      </w:r>
      <w:r w:rsidR="00755142">
        <w:t>sition to death</w:t>
      </w:r>
      <w:r w:rsidR="00EF30C1">
        <w:t xml:space="preserve"> (absorbing state)</w:t>
      </w:r>
      <w:r w:rsidR="00755142">
        <w:t>.</w:t>
      </w:r>
    </w:p>
    <w:p w14:paraId="6DD4ACEE" w14:textId="77777777" w:rsidR="00542700" w:rsidRDefault="00542700" w:rsidP="00755142">
      <w:pPr>
        <w:pStyle w:val="ListParagraph"/>
        <w:numPr>
          <w:ilvl w:val="1"/>
          <w:numId w:val="2"/>
        </w:numPr>
      </w:pPr>
      <w:r>
        <w:t>Mortality probabilities after a</w:t>
      </w:r>
      <w:r w:rsidR="004D2738">
        <w:t xml:space="preserve"> MI and post-MI event and </w:t>
      </w:r>
      <w:r>
        <w:t>after</w:t>
      </w:r>
      <w:r w:rsidR="004D2738">
        <w:t xml:space="preserve"> a stroke and </w:t>
      </w:r>
      <w:r>
        <w:t>post-</w:t>
      </w:r>
      <w:r w:rsidR="004D2738">
        <w:t xml:space="preserve">stroke event were </w:t>
      </w:r>
      <w:r>
        <w:t xml:space="preserve">obtained from </w:t>
      </w:r>
      <w:proofErr w:type="spellStart"/>
      <w:r>
        <w:t>Bronnum</w:t>
      </w:r>
      <w:proofErr w:type="spellEnd"/>
      <w:r>
        <w:t xml:space="preserve"> et al.</w:t>
      </w:r>
      <w:r w:rsidR="004D2738">
        <w:fldChar w:fldCharType="begin">
          <w:fldData xml:space="preserve">PEVuZE5vdGU+PENpdGU+PEF1dGhvcj5CcsO4bm51bS1IYW5zZW48L0F1dGhvcj48WWVhcj4yMDAx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</w:fldData>
        </w:fldChar>
      </w:r>
      <w:r w:rsidR="004D2738">
        <w:instrText xml:space="preserve"> ADDIN EN.CITE </w:instrText>
      </w:r>
      <w:r w:rsidR="004D2738">
        <w:fldChar w:fldCharType="begin">
          <w:fldData xml:space="preserve">PEVuZE5vdGU+PENpdGU+PEF1dGhvcj5CcsO4bm51bS1IYW5zZW48L0F1dGhvcj48WWVhcj4yMDAx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</w:fldData>
        </w:fldChar>
      </w:r>
      <w:r w:rsidR="004D2738">
        <w:instrText xml:space="preserve"> ADDIN EN.CITE.DATA </w:instrText>
      </w:r>
      <w:r w:rsidR="004D2738">
        <w:fldChar w:fldCharType="end"/>
      </w:r>
      <w:r w:rsidR="004D2738">
        <w:fldChar w:fldCharType="separate"/>
      </w:r>
      <w:hyperlink w:anchor="_ENREF_5" w:tooltip="Brønnum-Hansen, 2001 #728" w:history="1">
        <w:r w:rsidR="00CF4D85" w:rsidRPr="004D2738">
          <w:rPr>
            <w:noProof/>
            <w:vertAlign w:val="superscript"/>
          </w:rPr>
          <w:t>5</w:t>
        </w:r>
      </w:hyperlink>
      <w:r w:rsidR="004D2738" w:rsidRPr="004D2738">
        <w:rPr>
          <w:noProof/>
          <w:vertAlign w:val="superscript"/>
        </w:rPr>
        <w:t xml:space="preserve">, </w:t>
      </w:r>
      <w:hyperlink w:anchor="_ENREF_6" w:tooltip="Brønnum-Hansen, 2001 #727" w:history="1">
        <w:r w:rsidR="00CF4D85" w:rsidRPr="004D2738">
          <w:rPr>
            <w:noProof/>
            <w:vertAlign w:val="superscript"/>
          </w:rPr>
          <w:t>6</w:t>
        </w:r>
      </w:hyperlink>
      <w:r w:rsidR="004D2738">
        <w:fldChar w:fldCharType="end"/>
      </w:r>
      <w:r w:rsidR="004D2738">
        <w:t xml:space="preserve">.  </w:t>
      </w:r>
    </w:p>
    <w:p w14:paraId="12FB1FEC" w14:textId="77777777" w:rsidR="005B06BF" w:rsidRDefault="00542700" w:rsidP="00755142">
      <w:pPr>
        <w:pStyle w:val="ListParagraph"/>
        <w:numPr>
          <w:ilvl w:val="1"/>
          <w:numId w:val="2"/>
        </w:numPr>
      </w:pPr>
      <w:r>
        <w:t>Non-CVD mortality was obtained from the 2010 U.S. life tables</w:t>
      </w:r>
      <w:hyperlink w:anchor="_ENREF_7" w:tooltip="CDC,  #753" w:history="1">
        <w:r w:rsidR="00CF4D85">
          <w:fldChar w:fldCharType="begin"/>
        </w:r>
        <w:r w:rsidR="00CF4D85">
          <w:instrText xml:space="preserve"> ADDIN EN.CITE &lt;EndNote&gt;&lt;Cite&gt;&lt;Author&gt;CDC&lt;/Author&gt;&lt;RecNum&gt;753&lt;/RecNum&gt;&lt;DisplayText&gt;&lt;style face="superscript"&gt;7&lt;/style&gt;&lt;/DisplayText&gt;&lt;record&gt;&lt;rec-number&gt;753&lt;/rec-number&gt;&lt;foreign-keys&gt;&lt;key app="EN" db-id="wttx5f5a2dse5xewf275dps1rea50dv9xw90"&gt;753&lt;/key&gt;&lt;/foreign-keys&gt;&lt;ref-type name="Web Page"&gt;12&lt;/ref-type&gt;&lt;contributors&gt;&lt;authors&gt;&lt;author&gt;CDC&lt;/author&gt;&lt;/authors&gt;&lt;/contributors&gt;&lt;titles&gt;&lt;title&gt;CDC Health Data Interactive&lt;/title&gt;&lt;/titles&gt;&lt;number&gt;August 16, 2015&lt;/number&gt;&lt;dates&gt;&lt;/dates&gt;&lt;urls&gt;&lt;related-urls&gt;&lt;url&gt;ftp://ftp.cdc.gov/pub/Health_Statistics/NCHS/Publications/NVSR/63_07/Table01.xlsx&lt;/url&gt;&lt;/related-urls&gt;&lt;/urls&gt;&lt;/record&gt;&lt;/Cite&gt;&lt;/EndNote&gt;</w:instrText>
        </w:r>
        <w:r w:rsidR="00CF4D85">
          <w:fldChar w:fldCharType="separate"/>
        </w:r>
        <w:r w:rsidR="00CF4D85" w:rsidRPr="00731D6E">
          <w:rPr>
            <w:noProof/>
            <w:vertAlign w:val="superscript"/>
          </w:rPr>
          <w:t>7</w:t>
        </w:r>
        <w:r w:rsidR="00CF4D85">
          <w:fldChar w:fldCharType="end"/>
        </w:r>
      </w:hyperlink>
      <w:r>
        <w:t>. Overall CVD mortality was</w:t>
      </w:r>
      <w:r w:rsidR="005B06BF">
        <w:t xml:space="preserve"> calibrated using clinical characteristics of the general population to match the life expectancy of the U.S. population. </w:t>
      </w:r>
    </w:p>
    <w:p w14:paraId="47046525" w14:textId="77777777" w:rsidR="000D76F6" w:rsidRDefault="000D76F6" w:rsidP="000D76F6">
      <w:pPr>
        <w:pStyle w:val="ListParagraph"/>
        <w:numPr>
          <w:ilvl w:val="0"/>
          <w:numId w:val="2"/>
        </w:numPr>
      </w:pPr>
      <w:r>
        <w:t>Transition to treatment (absorbing state).</w:t>
      </w:r>
    </w:p>
    <w:p w14:paraId="0EA91011" w14:textId="77777777" w:rsidR="00CC79CE" w:rsidRDefault="00CC79CE">
      <w:r>
        <w:br w:type="page"/>
      </w:r>
    </w:p>
    <w:p w14:paraId="06DA0491" w14:textId="42A11576" w:rsidR="00C82FE1" w:rsidRDefault="007135CF" w:rsidP="007135CF">
      <w:pPr>
        <w:pStyle w:val="ListParagraph"/>
        <w:numPr>
          <w:ilvl w:val="0"/>
          <w:numId w:val="1"/>
        </w:numPr>
      </w:pPr>
      <w:r>
        <w:lastRenderedPageBreak/>
        <w:t>Additional r</w:t>
      </w:r>
      <w:r w:rsidR="00C82FE1" w:rsidRPr="000D0A9F">
        <w:t xml:space="preserve">esults </w:t>
      </w:r>
      <w:r>
        <w:t>u</w:t>
      </w:r>
      <w:r w:rsidR="000D0A9F" w:rsidRPr="000D0A9F">
        <w:t xml:space="preserve">sing </w:t>
      </w:r>
      <w:r>
        <w:t>o</w:t>
      </w:r>
      <w:r w:rsidR="007814C7">
        <w:t>ne</w:t>
      </w:r>
      <w:r w:rsidR="000D0A9F" w:rsidRPr="000D0A9F">
        <w:t xml:space="preserve">-year </w:t>
      </w:r>
      <w:r>
        <w:t>p</w:t>
      </w:r>
      <w:r w:rsidR="000D0A9F" w:rsidRPr="000D0A9F">
        <w:t xml:space="preserve">robability of CVD </w:t>
      </w:r>
      <w:r>
        <w:t>e</w:t>
      </w:r>
      <w:r w:rsidR="000D0A9F" w:rsidRPr="000D0A9F">
        <w:t xml:space="preserve">vents </w:t>
      </w:r>
      <w:r>
        <w:t>o</w:t>
      </w:r>
      <w:r w:rsidR="000D0A9F" w:rsidRPr="000D0A9F">
        <w:t xml:space="preserve">btained from Framingham </w:t>
      </w:r>
      <w:r>
        <w:t>s</w:t>
      </w:r>
      <w:r w:rsidR="000D0A9F" w:rsidRPr="000D0A9F">
        <w:t>tudy</w:t>
      </w:r>
      <w:r>
        <w:t xml:space="preserve"> are presented in S1 Table.</w:t>
      </w:r>
    </w:p>
    <w:p w14:paraId="74EDDE7A" w14:textId="77777777" w:rsidR="00326CDF" w:rsidRDefault="00326CDF" w:rsidP="00326CDF">
      <w:pPr>
        <w:spacing w:after="0" w:line="240" w:lineRule="auto"/>
        <w:ind w:right="2520"/>
        <w:rPr>
          <w:b/>
        </w:rPr>
      </w:pPr>
    </w:p>
    <w:p w14:paraId="647CEA2D" w14:textId="77777777" w:rsidR="00326CDF" w:rsidRPr="000D0A9F" w:rsidRDefault="00326CDF" w:rsidP="00326CDF">
      <w:pPr>
        <w:spacing w:after="0" w:line="240" w:lineRule="auto"/>
        <w:ind w:right="2520"/>
        <w:rPr>
          <w:b/>
          <w:sz w:val="26"/>
          <w:szCs w:val="26"/>
        </w:rPr>
      </w:pPr>
      <w:r>
        <w:rPr>
          <w:b/>
        </w:rPr>
        <w:t xml:space="preserve">S1 Table. Cost Effectiveness at Different </w:t>
      </w:r>
      <w:bookmarkStart w:id="0" w:name="_GoBack"/>
      <w:bookmarkEnd w:id="0"/>
      <w:r>
        <w:rPr>
          <w:b/>
        </w:rPr>
        <w:t xml:space="preserve">Prices of PCSK9 (Health System’s and Payer’s Perspective) </w:t>
      </w:r>
      <w:r w:rsidRPr="00B861EA">
        <w:rPr>
          <w:b/>
          <w:vertAlign w:val="superscript"/>
        </w:rPr>
        <w:t>1/</w:t>
      </w:r>
    </w:p>
    <w:tbl>
      <w:tblPr>
        <w:tblW w:w="7830" w:type="dxa"/>
        <w:tblLook w:val="04A0" w:firstRow="1" w:lastRow="0" w:firstColumn="1" w:lastColumn="0" w:noHBand="0" w:noVBand="1"/>
      </w:tblPr>
      <w:tblGrid>
        <w:gridCol w:w="2250"/>
        <w:gridCol w:w="1980"/>
        <w:gridCol w:w="1980"/>
        <w:gridCol w:w="1620"/>
      </w:tblGrid>
      <w:tr w:rsidR="00326CDF" w:rsidRPr="00B861EA" w14:paraId="7664D258" w14:textId="77777777" w:rsidTr="00326CDF">
        <w:trPr>
          <w:trHeight w:val="300"/>
        </w:trPr>
        <w:tc>
          <w:tcPr>
            <w:tcW w:w="2250" w:type="dxa"/>
            <w:tcBorders>
              <w:top w:val="single" w:sz="4" w:space="0" w:color="auto"/>
              <w:left w:val="nil"/>
              <w:right w:val="nil"/>
            </w:tcBorders>
            <w:shd w:val="clear" w:color="auto" w:fill="auto"/>
            <w:noWrap/>
            <w:vAlign w:val="bottom"/>
            <w:hideMark/>
          </w:tcPr>
          <w:p w14:paraId="2730A3EE" w14:textId="77777777" w:rsidR="007C0CAF" w:rsidRPr="00B861EA" w:rsidRDefault="007C0CAF" w:rsidP="007B0797">
            <w:pPr>
              <w:spacing w:after="0" w:line="240" w:lineRule="auto"/>
              <w:jc w:val="center"/>
              <w:rPr>
                <w:rFonts w:ascii="Times New Roman" w:eastAsia="Times New Roman" w:hAnsi="Times New Roman" w:cs="Times New Roman"/>
                <w:sz w:val="24"/>
                <w:szCs w:val="24"/>
              </w:rPr>
            </w:pPr>
          </w:p>
        </w:tc>
        <w:tc>
          <w:tcPr>
            <w:tcW w:w="5580" w:type="dxa"/>
            <w:gridSpan w:val="3"/>
            <w:tcBorders>
              <w:top w:val="single" w:sz="4" w:space="0" w:color="auto"/>
              <w:left w:val="nil"/>
              <w:bottom w:val="single" w:sz="4" w:space="0" w:color="auto"/>
              <w:right w:val="nil"/>
            </w:tcBorders>
            <w:shd w:val="clear" w:color="auto" w:fill="auto"/>
            <w:noWrap/>
            <w:vAlign w:val="bottom"/>
            <w:hideMark/>
          </w:tcPr>
          <w:p w14:paraId="100DA44D" w14:textId="77777777" w:rsidR="007C0CAF" w:rsidRPr="00B861EA" w:rsidRDefault="007C0CAF" w:rsidP="007B0797">
            <w:pPr>
              <w:spacing w:after="0" w:line="240" w:lineRule="auto"/>
              <w:jc w:val="center"/>
              <w:rPr>
                <w:rFonts w:ascii="Times New Roman" w:eastAsia="Times New Roman" w:hAnsi="Times New Roman" w:cs="Times New Roman"/>
                <w:sz w:val="20"/>
                <w:szCs w:val="20"/>
              </w:rPr>
            </w:pPr>
            <w:r w:rsidRPr="00B861EA">
              <w:rPr>
                <w:rFonts w:ascii="Calibri" w:eastAsia="Times New Roman" w:hAnsi="Calibri" w:cs="Times New Roman"/>
                <w:color w:val="000000"/>
              </w:rPr>
              <w:t>Perspective</w:t>
            </w:r>
          </w:p>
        </w:tc>
      </w:tr>
      <w:tr w:rsidR="00326CDF" w:rsidRPr="00B861EA" w14:paraId="34DF7ECB" w14:textId="77777777" w:rsidTr="00326CDF">
        <w:trPr>
          <w:trHeight w:val="300"/>
        </w:trPr>
        <w:tc>
          <w:tcPr>
            <w:tcW w:w="2250" w:type="dxa"/>
            <w:vMerge w:val="restart"/>
            <w:tcBorders>
              <w:left w:val="nil"/>
              <w:right w:val="nil"/>
            </w:tcBorders>
            <w:shd w:val="clear" w:color="auto" w:fill="auto"/>
            <w:noWrap/>
            <w:vAlign w:val="bottom"/>
            <w:hideMark/>
          </w:tcPr>
          <w:p w14:paraId="14E678E6" w14:textId="77777777" w:rsidR="007C0CAF" w:rsidRPr="00B861EA" w:rsidRDefault="007C0CAF" w:rsidP="007B079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 xml:space="preserve">PCSK9 </w:t>
            </w:r>
            <w:r>
              <w:t xml:space="preserve">inhibitor </w:t>
            </w:r>
            <w:r>
              <w:rPr>
                <w:rFonts w:ascii="Calibri" w:eastAsia="Times New Roman" w:hAnsi="Calibri" w:cs="Times New Roman"/>
                <w:color w:val="000000"/>
              </w:rPr>
              <w:t>p</w:t>
            </w:r>
            <w:r w:rsidRPr="00B861EA">
              <w:rPr>
                <w:rFonts w:ascii="Calibri" w:eastAsia="Times New Roman" w:hAnsi="Calibri" w:cs="Times New Roman"/>
                <w:color w:val="000000"/>
              </w:rPr>
              <w:t>rice</w:t>
            </w:r>
          </w:p>
        </w:tc>
        <w:tc>
          <w:tcPr>
            <w:tcW w:w="1980" w:type="dxa"/>
            <w:tcBorders>
              <w:top w:val="single" w:sz="4" w:space="0" w:color="auto"/>
              <w:left w:val="nil"/>
              <w:right w:val="nil"/>
            </w:tcBorders>
            <w:shd w:val="clear" w:color="auto" w:fill="auto"/>
            <w:noWrap/>
            <w:vAlign w:val="bottom"/>
            <w:hideMark/>
          </w:tcPr>
          <w:p w14:paraId="68B8DE01" w14:textId="77777777" w:rsidR="007C0CAF" w:rsidRPr="00B861EA" w:rsidRDefault="00F1340A" w:rsidP="007B07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Health System</w:t>
            </w:r>
          </w:p>
        </w:tc>
        <w:tc>
          <w:tcPr>
            <w:tcW w:w="3600" w:type="dxa"/>
            <w:gridSpan w:val="2"/>
            <w:tcBorders>
              <w:top w:val="single" w:sz="4" w:space="0" w:color="auto"/>
              <w:left w:val="nil"/>
              <w:right w:val="nil"/>
            </w:tcBorders>
            <w:shd w:val="clear" w:color="auto" w:fill="auto"/>
            <w:noWrap/>
            <w:vAlign w:val="bottom"/>
            <w:hideMark/>
          </w:tcPr>
          <w:p w14:paraId="1729AD06" w14:textId="77777777" w:rsidR="007C0CAF" w:rsidRPr="00B861EA" w:rsidRDefault="007C0CAF" w:rsidP="007B0797">
            <w:pPr>
              <w:spacing w:after="0" w:line="240" w:lineRule="auto"/>
              <w:jc w:val="center"/>
              <w:rPr>
                <w:rFonts w:ascii="Calibri" w:eastAsia="Times New Roman" w:hAnsi="Calibri" w:cs="Times New Roman"/>
                <w:color w:val="000000"/>
              </w:rPr>
            </w:pPr>
            <w:r w:rsidRPr="00B861EA">
              <w:rPr>
                <w:rFonts w:ascii="Calibri" w:eastAsia="Times New Roman" w:hAnsi="Calibri" w:cs="Times New Roman"/>
                <w:color w:val="000000"/>
              </w:rPr>
              <w:t>Payer</w:t>
            </w:r>
            <w:r>
              <w:rPr>
                <w:rFonts w:ascii="Calibri" w:eastAsia="Times New Roman" w:hAnsi="Calibri" w:cs="Times New Roman"/>
                <w:color w:val="000000"/>
              </w:rPr>
              <w:t xml:space="preserve"> </w:t>
            </w:r>
            <w:r w:rsidRPr="00B861EA">
              <w:rPr>
                <w:rFonts w:ascii="Calibri" w:eastAsia="Times New Roman" w:hAnsi="Calibri" w:cs="Times New Roman"/>
                <w:color w:val="000000"/>
                <w:vertAlign w:val="superscript"/>
              </w:rPr>
              <w:t>2/</w:t>
            </w:r>
          </w:p>
        </w:tc>
      </w:tr>
      <w:tr w:rsidR="00326CDF" w:rsidRPr="00B861EA" w14:paraId="3D9C1B24" w14:textId="77777777" w:rsidTr="00326CDF">
        <w:trPr>
          <w:trHeight w:val="300"/>
        </w:trPr>
        <w:tc>
          <w:tcPr>
            <w:tcW w:w="2250" w:type="dxa"/>
            <w:vMerge/>
            <w:tcBorders>
              <w:left w:val="nil"/>
              <w:bottom w:val="single" w:sz="4" w:space="0" w:color="auto"/>
              <w:right w:val="nil"/>
            </w:tcBorders>
            <w:shd w:val="clear" w:color="auto" w:fill="auto"/>
            <w:noWrap/>
            <w:vAlign w:val="bottom"/>
            <w:hideMark/>
          </w:tcPr>
          <w:p w14:paraId="7D1013C0" w14:textId="77777777" w:rsidR="007C0CAF" w:rsidRPr="00B861EA" w:rsidRDefault="007C0CAF" w:rsidP="007B0797">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nil"/>
            </w:tcBorders>
            <w:shd w:val="clear" w:color="auto" w:fill="auto"/>
            <w:noWrap/>
            <w:vAlign w:val="bottom"/>
            <w:hideMark/>
          </w:tcPr>
          <w:p w14:paraId="6CD29D11" w14:textId="77777777" w:rsidR="007C0CAF" w:rsidRPr="00B861EA" w:rsidRDefault="007C0CAF" w:rsidP="007B07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ICER</w:t>
            </w:r>
          </w:p>
        </w:tc>
        <w:tc>
          <w:tcPr>
            <w:tcW w:w="1980" w:type="dxa"/>
            <w:tcBorders>
              <w:top w:val="nil"/>
              <w:left w:val="nil"/>
              <w:bottom w:val="single" w:sz="4" w:space="0" w:color="auto"/>
              <w:right w:val="nil"/>
            </w:tcBorders>
            <w:shd w:val="clear" w:color="auto" w:fill="auto"/>
            <w:noWrap/>
            <w:vAlign w:val="bottom"/>
            <w:hideMark/>
          </w:tcPr>
          <w:p w14:paraId="66E079CD" w14:textId="77777777" w:rsidR="007C0CAF" w:rsidRPr="00B861EA" w:rsidRDefault="007C0CAF" w:rsidP="007B0797">
            <w:pPr>
              <w:spacing w:after="0" w:line="240" w:lineRule="auto"/>
              <w:jc w:val="center"/>
              <w:rPr>
                <w:rFonts w:ascii="Calibri" w:eastAsia="Times New Roman" w:hAnsi="Calibri" w:cs="Times New Roman"/>
                <w:color w:val="000000"/>
              </w:rPr>
            </w:pPr>
            <w:r w:rsidRPr="00B861EA">
              <w:rPr>
                <w:rFonts w:ascii="Calibri" w:eastAsia="Times New Roman" w:hAnsi="Calibri" w:cs="Times New Roman"/>
                <w:color w:val="000000"/>
              </w:rPr>
              <w:t>ROI</w:t>
            </w:r>
          </w:p>
        </w:tc>
        <w:tc>
          <w:tcPr>
            <w:tcW w:w="1620" w:type="dxa"/>
            <w:tcBorders>
              <w:top w:val="nil"/>
              <w:left w:val="nil"/>
              <w:bottom w:val="single" w:sz="4" w:space="0" w:color="auto"/>
              <w:right w:val="nil"/>
            </w:tcBorders>
            <w:shd w:val="clear" w:color="auto" w:fill="auto"/>
            <w:noWrap/>
            <w:vAlign w:val="bottom"/>
            <w:hideMark/>
          </w:tcPr>
          <w:p w14:paraId="4CADAB94" w14:textId="77777777" w:rsidR="007C0CAF" w:rsidRPr="00B861EA" w:rsidRDefault="007C0CAF" w:rsidP="007B0797">
            <w:pPr>
              <w:spacing w:after="0" w:line="240" w:lineRule="auto"/>
              <w:jc w:val="center"/>
              <w:rPr>
                <w:rFonts w:ascii="Calibri" w:eastAsia="Times New Roman" w:hAnsi="Calibri" w:cs="Times New Roman"/>
                <w:color w:val="000000"/>
              </w:rPr>
            </w:pPr>
            <w:r w:rsidRPr="00B861EA">
              <w:rPr>
                <w:rFonts w:ascii="Calibri" w:eastAsia="Times New Roman" w:hAnsi="Calibri" w:cs="Times New Roman"/>
                <w:color w:val="000000"/>
              </w:rPr>
              <w:t>NPV</w:t>
            </w:r>
          </w:p>
        </w:tc>
      </w:tr>
      <w:tr w:rsidR="00326CDF" w:rsidRPr="00B861EA" w14:paraId="668189D0" w14:textId="77777777" w:rsidTr="00326CDF">
        <w:trPr>
          <w:trHeight w:hRule="exact" w:val="317"/>
        </w:trPr>
        <w:tc>
          <w:tcPr>
            <w:tcW w:w="2250" w:type="dxa"/>
            <w:tcBorders>
              <w:top w:val="single" w:sz="4" w:space="0" w:color="auto"/>
              <w:left w:val="nil"/>
              <w:bottom w:val="nil"/>
              <w:right w:val="nil"/>
            </w:tcBorders>
            <w:shd w:val="clear" w:color="auto" w:fill="auto"/>
            <w:noWrap/>
            <w:vAlign w:val="center"/>
          </w:tcPr>
          <w:p w14:paraId="28CA0DC5" w14:textId="77777777" w:rsidR="007C0CAF" w:rsidRPr="00B861EA"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$500</w:t>
            </w:r>
          </w:p>
        </w:tc>
        <w:tc>
          <w:tcPr>
            <w:tcW w:w="1980" w:type="dxa"/>
            <w:tcBorders>
              <w:top w:val="single" w:sz="4" w:space="0" w:color="auto"/>
              <w:left w:val="nil"/>
              <w:bottom w:val="nil"/>
              <w:right w:val="nil"/>
            </w:tcBorders>
            <w:shd w:val="clear" w:color="auto" w:fill="auto"/>
            <w:noWrap/>
            <w:vAlign w:val="center"/>
          </w:tcPr>
          <w:p w14:paraId="6A7F024D" w14:textId="77777777" w:rsidR="007C0CAF" w:rsidRDefault="007C0CAF" w:rsidP="007C0CAF">
            <w:pPr>
              <w:jc w:val="center"/>
              <w:rPr>
                <w:rFonts w:ascii="Calibri" w:hAnsi="Calibri"/>
                <w:color w:val="000000"/>
              </w:rPr>
            </w:pPr>
            <w:r>
              <w:rPr>
                <w:rFonts w:ascii="Calibri" w:hAnsi="Calibri"/>
                <w:color w:val="000000"/>
              </w:rPr>
              <w:t>$14,523</w:t>
            </w:r>
          </w:p>
        </w:tc>
        <w:tc>
          <w:tcPr>
            <w:tcW w:w="1980" w:type="dxa"/>
            <w:tcBorders>
              <w:top w:val="single" w:sz="4" w:space="0" w:color="auto"/>
              <w:left w:val="nil"/>
              <w:bottom w:val="nil"/>
              <w:right w:val="nil"/>
            </w:tcBorders>
            <w:shd w:val="clear" w:color="auto" w:fill="auto"/>
            <w:noWrap/>
            <w:vAlign w:val="center"/>
          </w:tcPr>
          <w:p w14:paraId="2588259B" w14:textId="77777777" w:rsidR="007C0CAF" w:rsidRDefault="007C0CAF" w:rsidP="007C0CAF">
            <w:pPr>
              <w:jc w:val="center"/>
              <w:rPr>
                <w:rFonts w:ascii="Calibri" w:hAnsi="Calibri"/>
                <w:color w:val="000000"/>
              </w:rPr>
            </w:pPr>
            <w:r>
              <w:rPr>
                <w:rFonts w:ascii="Calibri" w:hAnsi="Calibri"/>
                <w:color w:val="000000"/>
              </w:rPr>
              <w:t>-30.46%</w:t>
            </w:r>
          </w:p>
        </w:tc>
        <w:tc>
          <w:tcPr>
            <w:tcW w:w="1620" w:type="dxa"/>
            <w:tcBorders>
              <w:top w:val="single" w:sz="4" w:space="0" w:color="auto"/>
              <w:left w:val="nil"/>
              <w:bottom w:val="nil"/>
              <w:right w:val="nil"/>
            </w:tcBorders>
            <w:shd w:val="clear" w:color="auto" w:fill="auto"/>
            <w:noWrap/>
            <w:vAlign w:val="center"/>
          </w:tcPr>
          <w:p w14:paraId="731778C8" w14:textId="77777777" w:rsidR="007C0CAF" w:rsidRDefault="007C0CAF" w:rsidP="007C0CAF">
            <w:pPr>
              <w:jc w:val="center"/>
              <w:rPr>
                <w:rFonts w:ascii="Calibri" w:hAnsi="Calibri"/>
                <w:color w:val="000000"/>
              </w:rPr>
            </w:pPr>
            <w:r>
              <w:rPr>
                <w:rFonts w:ascii="Calibri" w:hAnsi="Calibri"/>
                <w:color w:val="000000"/>
              </w:rPr>
              <w:t>-$381</w:t>
            </w:r>
          </w:p>
        </w:tc>
      </w:tr>
      <w:tr w:rsidR="00326CDF" w:rsidRPr="00F56ED3" w14:paraId="2C4CE6FE" w14:textId="77777777" w:rsidTr="00326CDF">
        <w:trPr>
          <w:trHeight w:hRule="exact" w:val="317"/>
        </w:trPr>
        <w:tc>
          <w:tcPr>
            <w:tcW w:w="2250" w:type="dxa"/>
            <w:tcBorders>
              <w:left w:val="nil"/>
              <w:bottom w:val="nil"/>
              <w:right w:val="nil"/>
            </w:tcBorders>
            <w:shd w:val="clear" w:color="auto" w:fill="auto"/>
            <w:noWrap/>
            <w:vAlign w:val="center"/>
          </w:tcPr>
          <w:p w14:paraId="1290E5D4"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$1,000</w:t>
            </w:r>
          </w:p>
        </w:tc>
        <w:tc>
          <w:tcPr>
            <w:tcW w:w="1980" w:type="dxa"/>
            <w:tcBorders>
              <w:left w:val="nil"/>
              <w:bottom w:val="nil"/>
              <w:right w:val="nil"/>
            </w:tcBorders>
            <w:shd w:val="clear" w:color="auto" w:fill="auto"/>
            <w:noWrap/>
            <w:vAlign w:val="center"/>
          </w:tcPr>
          <w:p w14:paraId="5BCDB3C1" w14:textId="77777777" w:rsidR="007C0CAF" w:rsidRDefault="007C0CAF" w:rsidP="007C0CAF">
            <w:pPr>
              <w:jc w:val="center"/>
              <w:rPr>
                <w:rFonts w:ascii="Calibri" w:hAnsi="Calibri"/>
                <w:color w:val="000000"/>
              </w:rPr>
            </w:pPr>
            <w:r>
              <w:rPr>
                <w:rFonts w:ascii="Calibri" w:hAnsi="Calibri"/>
                <w:color w:val="000000"/>
              </w:rPr>
              <w:t>$36,857</w:t>
            </w:r>
          </w:p>
        </w:tc>
        <w:tc>
          <w:tcPr>
            <w:tcW w:w="1980" w:type="dxa"/>
            <w:tcBorders>
              <w:left w:val="nil"/>
              <w:bottom w:val="nil"/>
              <w:right w:val="nil"/>
            </w:tcBorders>
            <w:shd w:val="clear" w:color="auto" w:fill="auto"/>
            <w:noWrap/>
            <w:vAlign w:val="center"/>
          </w:tcPr>
          <w:p w14:paraId="7D75E6B9" w14:textId="77777777" w:rsidR="007C0CAF" w:rsidRDefault="007C0CAF" w:rsidP="007C0CAF">
            <w:pPr>
              <w:jc w:val="center"/>
              <w:rPr>
                <w:rFonts w:ascii="Calibri" w:hAnsi="Calibri"/>
                <w:color w:val="000000"/>
              </w:rPr>
            </w:pPr>
            <w:r>
              <w:rPr>
                <w:rFonts w:ascii="Calibri" w:hAnsi="Calibri"/>
                <w:color w:val="000000"/>
              </w:rPr>
              <w:t>-77.83%</w:t>
            </w:r>
          </w:p>
        </w:tc>
        <w:tc>
          <w:tcPr>
            <w:tcW w:w="1620" w:type="dxa"/>
            <w:tcBorders>
              <w:left w:val="nil"/>
              <w:bottom w:val="nil"/>
              <w:right w:val="nil"/>
            </w:tcBorders>
            <w:shd w:val="clear" w:color="auto" w:fill="auto"/>
            <w:noWrap/>
            <w:vAlign w:val="center"/>
          </w:tcPr>
          <w:p w14:paraId="2F2151D3" w14:textId="77777777" w:rsidR="007C0CAF" w:rsidRDefault="007C0CAF" w:rsidP="007C0CAF">
            <w:pPr>
              <w:jc w:val="center"/>
              <w:rPr>
                <w:rFonts w:ascii="Calibri" w:hAnsi="Calibri"/>
                <w:color w:val="000000"/>
              </w:rPr>
            </w:pPr>
            <w:r>
              <w:rPr>
                <w:rFonts w:ascii="Calibri" w:hAnsi="Calibri"/>
                <w:color w:val="000000"/>
              </w:rPr>
              <w:t>-$3,052</w:t>
            </w:r>
          </w:p>
        </w:tc>
      </w:tr>
      <w:tr w:rsidR="00326CDF" w:rsidRPr="00F56ED3" w14:paraId="7AB62CC7" w14:textId="77777777" w:rsidTr="00326CDF">
        <w:trPr>
          <w:trHeight w:hRule="exact" w:val="317"/>
        </w:trPr>
        <w:tc>
          <w:tcPr>
            <w:tcW w:w="2250" w:type="dxa"/>
            <w:tcBorders>
              <w:left w:val="nil"/>
              <w:bottom w:val="nil"/>
              <w:right w:val="nil"/>
            </w:tcBorders>
            <w:shd w:val="clear" w:color="auto" w:fill="auto"/>
            <w:noWrap/>
            <w:vAlign w:val="center"/>
          </w:tcPr>
          <w:p w14:paraId="1D4661DC"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$2,500</w:t>
            </w:r>
          </w:p>
        </w:tc>
        <w:tc>
          <w:tcPr>
            <w:tcW w:w="1980" w:type="dxa"/>
            <w:tcBorders>
              <w:left w:val="nil"/>
              <w:bottom w:val="nil"/>
              <w:right w:val="nil"/>
            </w:tcBorders>
            <w:shd w:val="clear" w:color="auto" w:fill="auto"/>
            <w:noWrap/>
            <w:vAlign w:val="center"/>
          </w:tcPr>
          <w:p w14:paraId="3025089E" w14:textId="77777777" w:rsidR="007C0CAF" w:rsidRDefault="007C0CAF" w:rsidP="007C0CAF">
            <w:pPr>
              <w:jc w:val="center"/>
              <w:rPr>
                <w:rFonts w:ascii="Calibri" w:hAnsi="Calibri"/>
                <w:color w:val="000000"/>
              </w:rPr>
            </w:pPr>
            <w:r>
              <w:rPr>
                <w:rFonts w:ascii="Calibri" w:hAnsi="Calibri"/>
                <w:color w:val="000000"/>
              </w:rPr>
              <w:t>$103,859</w:t>
            </w:r>
          </w:p>
        </w:tc>
        <w:tc>
          <w:tcPr>
            <w:tcW w:w="1980" w:type="dxa"/>
            <w:tcBorders>
              <w:left w:val="nil"/>
              <w:bottom w:val="nil"/>
              <w:right w:val="nil"/>
            </w:tcBorders>
            <w:shd w:val="clear" w:color="auto" w:fill="auto"/>
            <w:noWrap/>
            <w:vAlign w:val="center"/>
          </w:tcPr>
          <w:p w14:paraId="17C86B1F" w14:textId="77777777" w:rsidR="007C0CAF" w:rsidRDefault="007C0CAF" w:rsidP="007C0CAF">
            <w:pPr>
              <w:jc w:val="center"/>
              <w:rPr>
                <w:rFonts w:ascii="Calibri" w:hAnsi="Calibri"/>
                <w:color w:val="000000"/>
              </w:rPr>
            </w:pPr>
            <w:r>
              <w:rPr>
                <w:rFonts w:ascii="Calibri" w:hAnsi="Calibri"/>
                <w:color w:val="000000"/>
              </w:rPr>
              <w:t>-92.72%</w:t>
            </w:r>
          </w:p>
        </w:tc>
        <w:tc>
          <w:tcPr>
            <w:tcW w:w="1620" w:type="dxa"/>
            <w:tcBorders>
              <w:left w:val="nil"/>
              <w:bottom w:val="nil"/>
              <w:right w:val="nil"/>
            </w:tcBorders>
            <w:shd w:val="clear" w:color="auto" w:fill="auto"/>
            <w:noWrap/>
            <w:vAlign w:val="center"/>
          </w:tcPr>
          <w:p w14:paraId="7EC22FF1" w14:textId="77777777" w:rsidR="007C0CAF" w:rsidRDefault="007C0CAF" w:rsidP="007C0CAF">
            <w:pPr>
              <w:jc w:val="center"/>
              <w:rPr>
                <w:rFonts w:ascii="Calibri" w:hAnsi="Calibri"/>
                <w:color w:val="000000"/>
              </w:rPr>
            </w:pPr>
            <w:r>
              <w:rPr>
                <w:rFonts w:ascii="Calibri" w:hAnsi="Calibri"/>
                <w:color w:val="000000"/>
              </w:rPr>
              <w:t>-$11,066</w:t>
            </w:r>
          </w:p>
        </w:tc>
      </w:tr>
      <w:tr w:rsidR="00326CDF" w:rsidRPr="00F56ED3" w14:paraId="7B650431" w14:textId="77777777" w:rsidTr="00326CDF">
        <w:trPr>
          <w:trHeight w:hRule="exact" w:val="317"/>
        </w:trPr>
        <w:tc>
          <w:tcPr>
            <w:tcW w:w="2250" w:type="dxa"/>
            <w:tcBorders>
              <w:left w:val="nil"/>
              <w:bottom w:val="nil"/>
              <w:right w:val="nil"/>
            </w:tcBorders>
            <w:shd w:val="clear" w:color="auto" w:fill="auto"/>
            <w:noWrap/>
            <w:vAlign w:val="center"/>
          </w:tcPr>
          <w:p w14:paraId="39E0D4CA"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$5,000</w:t>
            </w:r>
          </w:p>
        </w:tc>
        <w:tc>
          <w:tcPr>
            <w:tcW w:w="1980" w:type="dxa"/>
            <w:tcBorders>
              <w:left w:val="nil"/>
              <w:bottom w:val="nil"/>
              <w:right w:val="nil"/>
            </w:tcBorders>
            <w:shd w:val="clear" w:color="auto" w:fill="auto"/>
            <w:noWrap/>
            <w:vAlign w:val="center"/>
          </w:tcPr>
          <w:p w14:paraId="01502506" w14:textId="77777777" w:rsidR="007C0CAF" w:rsidRDefault="007C0CAF" w:rsidP="007C0CAF">
            <w:pPr>
              <w:jc w:val="center"/>
              <w:rPr>
                <w:rFonts w:ascii="Calibri" w:hAnsi="Calibri"/>
                <w:color w:val="000000"/>
              </w:rPr>
            </w:pPr>
            <w:r>
              <w:rPr>
                <w:rFonts w:ascii="Calibri" w:hAnsi="Calibri"/>
                <w:color w:val="000000"/>
              </w:rPr>
              <w:t>$215,529</w:t>
            </w:r>
          </w:p>
        </w:tc>
        <w:tc>
          <w:tcPr>
            <w:tcW w:w="1980" w:type="dxa"/>
            <w:tcBorders>
              <w:left w:val="nil"/>
              <w:bottom w:val="nil"/>
              <w:right w:val="nil"/>
            </w:tcBorders>
            <w:shd w:val="clear" w:color="auto" w:fill="auto"/>
            <w:noWrap/>
            <w:vAlign w:val="center"/>
          </w:tcPr>
          <w:p w14:paraId="7AA91046" w14:textId="77777777" w:rsidR="007C0CAF" w:rsidRDefault="007C0CAF" w:rsidP="007C0CAF">
            <w:pPr>
              <w:jc w:val="center"/>
              <w:rPr>
                <w:rFonts w:ascii="Calibri" w:hAnsi="Calibri"/>
                <w:color w:val="000000"/>
              </w:rPr>
            </w:pPr>
            <w:r>
              <w:rPr>
                <w:rFonts w:ascii="Calibri" w:hAnsi="Calibri"/>
                <w:color w:val="000000"/>
              </w:rPr>
              <w:t>-96.56%</w:t>
            </w:r>
          </w:p>
        </w:tc>
        <w:tc>
          <w:tcPr>
            <w:tcW w:w="1620" w:type="dxa"/>
            <w:tcBorders>
              <w:left w:val="nil"/>
              <w:bottom w:val="nil"/>
              <w:right w:val="nil"/>
            </w:tcBorders>
            <w:shd w:val="clear" w:color="auto" w:fill="auto"/>
            <w:noWrap/>
            <w:vAlign w:val="center"/>
          </w:tcPr>
          <w:p w14:paraId="42E23701" w14:textId="77777777" w:rsidR="007C0CAF" w:rsidRDefault="007C0CAF" w:rsidP="007C0CAF">
            <w:pPr>
              <w:jc w:val="center"/>
              <w:rPr>
                <w:rFonts w:ascii="Calibri" w:hAnsi="Calibri"/>
                <w:color w:val="000000"/>
              </w:rPr>
            </w:pPr>
            <w:r>
              <w:rPr>
                <w:rFonts w:ascii="Calibri" w:hAnsi="Calibri"/>
                <w:color w:val="000000"/>
              </w:rPr>
              <w:t>-$24,422</w:t>
            </w:r>
          </w:p>
        </w:tc>
      </w:tr>
      <w:tr w:rsidR="00326CDF" w:rsidRPr="00F56ED3" w14:paraId="18791B38" w14:textId="77777777" w:rsidTr="00326CDF">
        <w:trPr>
          <w:trHeight w:hRule="exact" w:val="317"/>
        </w:trPr>
        <w:tc>
          <w:tcPr>
            <w:tcW w:w="2250" w:type="dxa"/>
            <w:tcBorders>
              <w:left w:val="nil"/>
              <w:bottom w:val="nil"/>
              <w:right w:val="nil"/>
            </w:tcBorders>
            <w:shd w:val="clear" w:color="auto" w:fill="auto"/>
            <w:noWrap/>
            <w:vAlign w:val="center"/>
          </w:tcPr>
          <w:p w14:paraId="6D5EBC0A"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$7,500</w:t>
            </w:r>
          </w:p>
        </w:tc>
        <w:tc>
          <w:tcPr>
            <w:tcW w:w="1980" w:type="dxa"/>
            <w:tcBorders>
              <w:left w:val="nil"/>
              <w:bottom w:val="nil"/>
              <w:right w:val="nil"/>
            </w:tcBorders>
            <w:shd w:val="clear" w:color="auto" w:fill="auto"/>
            <w:noWrap/>
            <w:vAlign w:val="center"/>
          </w:tcPr>
          <w:p w14:paraId="6660CFBB" w14:textId="77777777" w:rsidR="007C0CAF" w:rsidRDefault="007C0CAF" w:rsidP="007C0CAF">
            <w:pPr>
              <w:jc w:val="center"/>
              <w:rPr>
                <w:rFonts w:ascii="Calibri" w:hAnsi="Calibri"/>
                <w:color w:val="000000"/>
              </w:rPr>
            </w:pPr>
            <w:r>
              <w:rPr>
                <w:rFonts w:ascii="Calibri" w:hAnsi="Calibri"/>
                <w:color w:val="000000"/>
              </w:rPr>
              <w:t>$327,199</w:t>
            </w:r>
          </w:p>
        </w:tc>
        <w:tc>
          <w:tcPr>
            <w:tcW w:w="1980" w:type="dxa"/>
            <w:tcBorders>
              <w:left w:val="nil"/>
              <w:bottom w:val="nil"/>
              <w:right w:val="nil"/>
            </w:tcBorders>
            <w:shd w:val="clear" w:color="auto" w:fill="auto"/>
            <w:noWrap/>
            <w:vAlign w:val="center"/>
          </w:tcPr>
          <w:p w14:paraId="2B0E1BC4" w14:textId="77777777" w:rsidR="007C0CAF" w:rsidRDefault="007C0CAF" w:rsidP="007C0CAF">
            <w:pPr>
              <w:jc w:val="center"/>
              <w:rPr>
                <w:rFonts w:ascii="Calibri" w:hAnsi="Calibri"/>
                <w:color w:val="000000"/>
              </w:rPr>
            </w:pPr>
            <w:r>
              <w:rPr>
                <w:rFonts w:ascii="Calibri" w:hAnsi="Calibri"/>
                <w:color w:val="000000"/>
              </w:rPr>
              <w:t>-97.75%</w:t>
            </w:r>
          </w:p>
        </w:tc>
        <w:tc>
          <w:tcPr>
            <w:tcW w:w="1620" w:type="dxa"/>
            <w:tcBorders>
              <w:left w:val="nil"/>
              <w:bottom w:val="nil"/>
              <w:right w:val="nil"/>
            </w:tcBorders>
            <w:shd w:val="clear" w:color="auto" w:fill="auto"/>
            <w:noWrap/>
            <w:vAlign w:val="center"/>
          </w:tcPr>
          <w:p w14:paraId="574BF815" w14:textId="77777777" w:rsidR="007C0CAF" w:rsidRDefault="007C0CAF" w:rsidP="007C0CAF">
            <w:pPr>
              <w:jc w:val="center"/>
              <w:rPr>
                <w:rFonts w:ascii="Calibri" w:hAnsi="Calibri"/>
                <w:color w:val="000000"/>
              </w:rPr>
            </w:pPr>
            <w:r>
              <w:rPr>
                <w:rFonts w:ascii="Calibri" w:hAnsi="Calibri"/>
                <w:color w:val="000000"/>
              </w:rPr>
              <w:t>-$37,778</w:t>
            </w:r>
          </w:p>
        </w:tc>
      </w:tr>
      <w:tr w:rsidR="00326CDF" w:rsidRPr="00F56ED3" w14:paraId="70824A4F" w14:textId="77777777" w:rsidTr="00326CDF">
        <w:trPr>
          <w:trHeight w:hRule="exact" w:val="317"/>
        </w:trPr>
        <w:tc>
          <w:tcPr>
            <w:tcW w:w="2250" w:type="dxa"/>
            <w:tcBorders>
              <w:left w:val="nil"/>
              <w:bottom w:val="nil"/>
              <w:right w:val="nil"/>
            </w:tcBorders>
            <w:shd w:val="clear" w:color="auto" w:fill="auto"/>
            <w:noWrap/>
            <w:vAlign w:val="center"/>
          </w:tcPr>
          <w:p w14:paraId="7915E1CC"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$10,000</w:t>
            </w:r>
          </w:p>
        </w:tc>
        <w:tc>
          <w:tcPr>
            <w:tcW w:w="1980" w:type="dxa"/>
            <w:tcBorders>
              <w:left w:val="nil"/>
              <w:bottom w:val="nil"/>
              <w:right w:val="nil"/>
            </w:tcBorders>
            <w:shd w:val="clear" w:color="auto" w:fill="auto"/>
            <w:noWrap/>
            <w:vAlign w:val="center"/>
          </w:tcPr>
          <w:p w14:paraId="578440A0" w14:textId="77777777" w:rsidR="007C0CAF" w:rsidRDefault="007C0CAF" w:rsidP="007C0CAF">
            <w:pPr>
              <w:jc w:val="center"/>
              <w:rPr>
                <w:rFonts w:ascii="Calibri" w:hAnsi="Calibri"/>
                <w:color w:val="000000"/>
              </w:rPr>
            </w:pPr>
            <w:r>
              <w:rPr>
                <w:rFonts w:ascii="Calibri" w:hAnsi="Calibri"/>
                <w:color w:val="000000"/>
              </w:rPr>
              <w:t>$438,869</w:t>
            </w:r>
          </w:p>
        </w:tc>
        <w:tc>
          <w:tcPr>
            <w:tcW w:w="1980" w:type="dxa"/>
            <w:tcBorders>
              <w:left w:val="nil"/>
              <w:bottom w:val="nil"/>
              <w:right w:val="nil"/>
            </w:tcBorders>
            <w:shd w:val="clear" w:color="auto" w:fill="auto"/>
            <w:noWrap/>
            <w:vAlign w:val="center"/>
          </w:tcPr>
          <w:p w14:paraId="07B01B29" w14:textId="77777777" w:rsidR="007C0CAF" w:rsidRDefault="007C0CAF" w:rsidP="007C0CAF">
            <w:pPr>
              <w:jc w:val="center"/>
              <w:rPr>
                <w:rFonts w:ascii="Calibri" w:hAnsi="Calibri"/>
                <w:color w:val="000000"/>
              </w:rPr>
            </w:pPr>
            <w:r>
              <w:rPr>
                <w:rFonts w:ascii="Calibri" w:hAnsi="Calibri"/>
                <w:color w:val="000000"/>
              </w:rPr>
              <w:t>-98.33%</w:t>
            </w:r>
          </w:p>
        </w:tc>
        <w:tc>
          <w:tcPr>
            <w:tcW w:w="1620" w:type="dxa"/>
            <w:tcBorders>
              <w:left w:val="nil"/>
              <w:bottom w:val="nil"/>
              <w:right w:val="nil"/>
            </w:tcBorders>
            <w:shd w:val="clear" w:color="auto" w:fill="auto"/>
            <w:noWrap/>
            <w:vAlign w:val="center"/>
          </w:tcPr>
          <w:p w14:paraId="0A0EAFFE" w14:textId="77777777" w:rsidR="007C0CAF" w:rsidRDefault="007C0CAF" w:rsidP="007C0CAF">
            <w:pPr>
              <w:jc w:val="center"/>
              <w:rPr>
                <w:rFonts w:ascii="Calibri" w:hAnsi="Calibri"/>
                <w:color w:val="000000"/>
              </w:rPr>
            </w:pPr>
            <w:r>
              <w:rPr>
                <w:rFonts w:ascii="Calibri" w:hAnsi="Calibri"/>
                <w:color w:val="000000"/>
              </w:rPr>
              <w:t>-$51,134</w:t>
            </w:r>
          </w:p>
        </w:tc>
      </w:tr>
      <w:tr w:rsidR="00326CDF" w:rsidRPr="00F56ED3" w14:paraId="01EBE24A" w14:textId="77777777" w:rsidTr="00326CDF">
        <w:trPr>
          <w:trHeight w:hRule="exact" w:val="317"/>
        </w:trPr>
        <w:tc>
          <w:tcPr>
            <w:tcW w:w="2250" w:type="dxa"/>
            <w:tcBorders>
              <w:left w:val="nil"/>
              <w:bottom w:val="nil"/>
              <w:right w:val="nil"/>
            </w:tcBorders>
            <w:shd w:val="clear" w:color="auto" w:fill="auto"/>
            <w:noWrap/>
            <w:vAlign w:val="center"/>
            <w:hideMark/>
          </w:tcPr>
          <w:p w14:paraId="5169AAE4"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$12,500</w:t>
            </w:r>
          </w:p>
        </w:tc>
        <w:tc>
          <w:tcPr>
            <w:tcW w:w="1980" w:type="dxa"/>
            <w:tcBorders>
              <w:left w:val="nil"/>
              <w:bottom w:val="nil"/>
              <w:right w:val="nil"/>
            </w:tcBorders>
            <w:shd w:val="clear" w:color="auto" w:fill="auto"/>
            <w:noWrap/>
            <w:vAlign w:val="center"/>
            <w:hideMark/>
          </w:tcPr>
          <w:p w14:paraId="5DCDBFC6" w14:textId="77777777" w:rsidR="007C0CAF" w:rsidRDefault="007C0CAF" w:rsidP="007C0CAF">
            <w:pPr>
              <w:jc w:val="center"/>
              <w:rPr>
                <w:rFonts w:ascii="Calibri" w:hAnsi="Calibri"/>
                <w:color w:val="000000"/>
              </w:rPr>
            </w:pPr>
            <w:r>
              <w:rPr>
                <w:rFonts w:ascii="Calibri" w:hAnsi="Calibri"/>
                <w:color w:val="000000"/>
              </w:rPr>
              <w:t>$550,540</w:t>
            </w:r>
          </w:p>
        </w:tc>
        <w:tc>
          <w:tcPr>
            <w:tcW w:w="1980" w:type="dxa"/>
            <w:tcBorders>
              <w:left w:val="nil"/>
              <w:bottom w:val="nil"/>
              <w:right w:val="nil"/>
            </w:tcBorders>
            <w:shd w:val="clear" w:color="auto" w:fill="auto"/>
            <w:noWrap/>
            <w:vAlign w:val="center"/>
            <w:hideMark/>
          </w:tcPr>
          <w:p w14:paraId="3942EBB1" w14:textId="77777777" w:rsidR="007C0CAF" w:rsidRDefault="007C0CAF" w:rsidP="007C0CAF">
            <w:pPr>
              <w:jc w:val="center"/>
              <w:rPr>
                <w:rFonts w:ascii="Calibri" w:hAnsi="Calibri"/>
                <w:color w:val="000000"/>
              </w:rPr>
            </w:pPr>
            <w:r>
              <w:rPr>
                <w:rFonts w:ascii="Calibri" w:hAnsi="Calibri"/>
                <w:color w:val="000000"/>
              </w:rPr>
              <w:t>-98.67%</w:t>
            </w:r>
          </w:p>
        </w:tc>
        <w:tc>
          <w:tcPr>
            <w:tcW w:w="1620" w:type="dxa"/>
            <w:tcBorders>
              <w:left w:val="nil"/>
              <w:bottom w:val="nil"/>
              <w:right w:val="nil"/>
            </w:tcBorders>
            <w:shd w:val="clear" w:color="auto" w:fill="auto"/>
            <w:noWrap/>
            <w:vAlign w:val="center"/>
            <w:hideMark/>
          </w:tcPr>
          <w:p w14:paraId="5758BA32" w14:textId="77777777" w:rsidR="007C0CAF" w:rsidRDefault="007C0CAF" w:rsidP="007C0CAF">
            <w:pPr>
              <w:jc w:val="center"/>
              <w:rPr>
                <w:rFonts w:ascii="Calibri" w:hAnsi="Calibri"/>
                <w:color w:val="000000"/>
              </w:rPr>
            </w:pPr>
            <w:r>
              <w:rPr>
                <w:rFonts w:ascii="Calibri" w:hAnsi="Calibri"/>
                <w:color w:val="000000"/>
              </w:rPr>
              <w:t>-$64,491</w:t>
            </w:r>
          </w:p>
        </w:tc>
      </w:tr>
      <w:tr w:rsidR="00326CDF" w:rsidRPr="00F56ED3" w14:paraId="4F966500" w14:textId="77777777" w:rsidTr="00326CDF">
        <w:trPr>
          <w:trHeight w:hRule="exact" w:val="317"/>
        </w:trPr>
        <w:tc>
          <w:tcPr>
            <w:tcW w:w="2250" w:type="dxa"/>
            <w:tcBorders>
              <w:top w:val="nil"/>
              <w:left w:val="nil"/>
              <w:right w:val="nil"/>
            </w:tcBorders>
            <w:shd w:val="clear" w:color="auto" w:fill="auto"/>
            <w:noWrap/>
            <w:vAlign w:val="center"/>
            <w:hideMark/>
          </w:tcPr>
          <w:p w14:paraId="5154E75B" w14:textId="77777777" w:rsidR="007C0CAF" w:rsidRPr="00F56ED3"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$14,000</w:t>
            </w:r>
          </w:p>
        </w:tc>
        <w:tc>
          <w:tcPr>
            <w:tcW w:w="1980" w:type="dxa"/>
            <w:tcBorders>
              <w:top w:val="nil"/>
              <w:left w:val="nil"/>
              <w:right w:val="nil"/>
            </w:tcBorders>
            <w:shd w:val="clear" w:color="auto" w:fill="auto"/>
            <w:noWrap/>
            <w:vAlign w:val="center"/>
            <w:hideMark/>
          </w:tcPr>
          <w:p w14:paraId="413C69EC" w14:textId="77777777" w:rsidR="007C0CAF" w:rsidRDefault="007C0CAF" w:rsidP="007C0CAF">
            <w:pPr>
              <w:jc w:val="center"/>
              <w:rPr>
                <w:rFonts w:ascii="Calibri" w:hAnsi="Calibri"/>
                <w:color w:val="000000"/>
              </w:rPr>
            </w:pPr>
            <w:r>
              <w:rPr>
                <w:rFonts w:ascii="Calibri" w:hAnsi="Calibri"/>
                <w:color w:val="000000"/>
              </w:rPr>
              <w:t>$617,542</w:t>
            </w:r>
          </w:p>
        </w:tc>
        <w:tc>
          <w:tcPr>
            <w:tcW w:w="1980" w:type="dxa"/>
            <w:tcBorders>
              <w:top w:val="nil"/>
              <w:left w:val="nil"/>
              <w:right w:val="nil"/>
            </w:tcBorders>
            <w:shd w:val="clear" w:color="auto" w:fill="auto"/>
            <w:noWrap/>
            <w:vAlign w:val="center"/>
            <w:hideMark/>
          </w:tcPr>
          <w:p w14:paraId="45B867BD" w14:textId="77777777" w:rsidR="007C0CAF" w:rsidRDefault="007C0CAF" w:rsidP="007C0CAF">
            <w:pPr>
              <w:jc w:val="center"/>
              <w:rPr>
                <w:rFonts w:ascii="Calibri" w:hAnsi="Calibri"/>
                <w:color w:val="000000"/>
              </w:rPr>
            </w:pPr>
            <w:r>
              <w:rPr>
                <w:rFonts w:ascii="Calibri" w:hAnsi="Calibri"/>
                <w:color w:val="000000"/>
              </w:rPr>
              <w:t>-98.82%</w:t>
            </w:r>
          </w:p>
        </w:tc>
        <w:tc>
          <w:tcPr>
            <w:tcW w:w="1620" w:type="dxa"/>
            <w:tcBorders>
              <w:top w:val="nil"/>
              <w:left w:val="nil"/>
              <w:right w:val="nil"/>
            </w:tcBorders>
            <w:shd w:val="clear" w:color="auto" w:fill="auto"/>
            <w:noWrap/>
            <w:vAlign w:val="center"/>
            <w:hideMark/>
          </w:tcPr>
          <w:p w14:paraId="4E7091CE" w14:textId="77777777" w:rsidR="007C0CAF" w:rsidRDefault="007C0CAF" w:rsidP="007C0CAF">
            <w:pPr>
              <w:jc w:val="center"/>
              <w:rPr>
                <w:rFonts w:ascii="Calibri" w:hAnsi="Calibri"/>
                <w:color w:val="000000"/>
              </w:rPr>
            </w:pPr>
            <w:r>
              <w:rPr>
                <w:rFonts w:ascii="Calibri" w:hAnsi="Calibri"/>
                <w:color w:val="000000"/>
              </w:rPr>
              <w:t>-$72,504</w:t>
            </w:r>
          </w:p>
        </w:tc>
      </w:tr>
      <w:tr w:rsidR="00326CDF" w:rsidRPr="00B861EA" w14:paraId="7B40C801" w14:textId="77777777" w:rsidTr="00326CDF">
        <w:trPr>
          <w:trHeight w:hRule="exact" w:val="317"/>
        </w:trPr>
        <w:tc>
          <w:tcPr>
            <w:tcW w:w="2250" w:type="dxa"/>
            <w:tcBorders>
              <w:top w:val="nil"/>
              <w:left w:val="nil"/>
              <w:bottom w:val="single" w:sz="4" w:space="0" w:color="auto"/>
              <w:right w:val="nil"/>
            </w:tcBorders>
            <w:shd w:val="clear" w:color="auto" w:fill="auto"/>
            <w:noWrap/>
            <w:vAlign w:val="center"/>
            <w:hideMark/>
          </w:tcPr>
          <w:p w14:paraId="57AD90AF" w14:textId="77777777" w:rsidR="007C0CAF" w:rsidRPr="00B861EA" w:rsidRDefault="007C0CAF" w:rsidP="007C0CAF">
            <w:pPr>
              <w:spacing w:after="0" w:line="240" w:lineRule="auto"/>
              <w:jc w:val="center"/>
              <w:rPr>
                <w:rFonts w:ascii="Calibri" w:eastAsia="Times New Roman" w:hAnsi="Calibri" w:cs="Times New Roman"/>
                <w:color w:val="000000"/>
              </w:rPr>
            </w:pPr>
            <w:r>
              <w:rPr>
                <w:rFonts w:ascii="Calibri" w:hAnsi="Calibri"/>
                <w:color w:val="000000"/>
              </w:rPr>
              <w:t>$15,000</w:t>
            </w:r>
          </w:p>
        </w:tc>
        <w:tc>
          <w:tcPr>
            <w:tcW w:w="1980" w:type="dxa"/>
            <w:tcBorders>
              <w:top w:val="nil"/>
              <w:left w:val="nil"/>
              <w:bottom w:val="single" w:sz="4" w:space="0" w:color="auto"/>
              <w:right w:val="nil"/>
            </w:tcBorders>
            <w:shd w:val="clear" w:color="auto" w:fill="auto"/>
            <w:noWrap/>
            <w:vAlign w:val="center"/>
            <w:hideMark/>
          </w:tcPr>
          <w:p w14:paraId="389461B1" w14:textId="77777777" w:rsidR="007C0CAF" w:rsidRDefault="007C0CAF" w:rsidP="007C0CAF">
            <w:pPr>
              <w:jc w:val="center"/>
              <w:rPr>
                <w:rFonts w:ascii="Calibri" w:hAnsi="Calibri"/>
                <w:color w:val="000000"/>
              </w:rPr>
            </w:pPr>
            <w:r>
              <w:rPr>
                <w:rFonts w:ascii="Calibri" w:hAnsi="Calibri"/>
                <w:color w:val="000000"/>
              </w:rPr>
              <w:t>$662,210</w:t>
            </w:r>
          </w:p>
        </w:tc>
        <w:tc>
          <w:tcPr>
            <w:tcW w:w="1980" w:type="dxa"/>
            <w:tcBorders>
              <w:top w:val="nil"/>
              <w:left w:val="nil"/>
              <w:bottom w:val="single" w:sz="4" w:space="0" w:color="auto"/>
              <w:right w:val="nil"/>
            </w:tcBorders>
            <w:shd w:val="clear" w:color="auto" w:fill="auto"/>
            <w:noWrap/>
            <w:vAlign w:val="center"/>
            <w:hideMark/>
          </w:tcPr>
          <w:p w14:paraId="2F748E28" w14:textId="77777777" w:rsidR="007C0CAF" w:rsidRDefault="007C0CAF" w:rsidP="007C0CAF">
            <w:pPr>
              <w:jc w:val="center"/>
              <w:rPr>
                <w:rFonts w:ascii="Calibri" w:hAnsi="Calibri"/>
                <w:color w:val="000000"/>
              </w:rPr>
            </w:pPr>
            <w:r>
              <w:rPr>
                <w:rFonts w:ascii="Calibri" w:hAnsi="Calibri"/>
                <w:color w:val="000000"/>
              </w:rPr>
              <w:t>-98.90%</w:t>
            </w:r>
          </w:p>
        </w:tc>
        <w:tc>
          <w:tcPr>
            <w:tcW w:w="1620" w:type="dxa"/>
            <w:tcBorders>
              <w:top w:val="nil"/>
              <w:left w:val="nil"/>
              <w:bottom w:val="single" w:sz="4" w:space="0" w:color="auto"/>
              <w:right w:val="nil"/>
            </w:tcBorders>
            <w:shd w:val="clear" w:color="auto" w:fill="auto"/>
            <w:noWrap/>
            <w:vAlign w:val="center"/>
            <w:hideMark/>
          </w:tcPr>
          <w:p w14:paraId="257E599E" w14:textId="77777777" w:rsidR="007C0CAF" w:rsidRDefault="007C0CAF" w:rsidP="007C0CAF">
            <w:pPr>
              <w:jc w:val="center"/>
              <w:rPr>
                <w:rFonts w:ascii="Calibri" w:hAnsi="Calibri"/>
                <w:color w:val="000000"/>
              </w:rPr>
            </w:pPr>
            <w:r>
              <w:rPr>
                <w:rFonts w:ascii="Calibri" w:hAnsi="Calibri"/>
                <w:color w:val="000000"/>
              </w:rPr>
              <w:t>-$77,847</w:t>
            </w:r>
          </w:p>
        </w:tc>
      </w:tr>
    </w:tbl>
    <w:p w14:paraId="7F45C4BF" w14:textId="77777777" w:rsidR="00326CDF" w:rsidRPr="00326CDF" w:rsidRDefault="00326CDF" w:rsidP="00326CDF">
      <w:pPr>
        <w:spacing w:after="0" w:line="240" w:lineRule="auto"/>
        <w:ind w:right="1530"/>
        <w:rPr>
          <w:sz w:val="20"/>
          <w:szCs w:val="20"/>
        </w:rPr>
      </w:pPr>
      <w:r w:rsidRPr="00326CDF">
        <w:rPr>
          <w:sz w:val="20"/>
          <w:szCs w:val="20"/>
        </w:rPr>
        <w:t>1/ Effect of PCSK9 on annual probability of CVD is obtained indirectly through the LDL effect using the Framingham risk equation.</w:t>
      </w:r>
    </w:p>
    <w:p w14:paraId="3299D34A" w14:textId="77777777" w:rsidR="00326CDF" w:rsidRPr="00326CDF" w:rsidRDefault="00326CDF" w:rsidP="00326CDF">
      <w:pPr>
        <w:spacing w:after="0" w:line="240" w:lineRule="auto"/>
        <w:ind w:right="1530"/>
        <w:rPr>
          <w:sz w:val="20"/>
          <w:szCs w:val="20"/>
        </w:rPr>
      </w:pPr>
      <w:r w:rsidRPr="00326CDF">
        <w:rPr>
          <w:sz w:val="20"/>
          <w:szCs w:val="20"/>
        </w:rPr>
        <w:t>2/ Private insurance perspective assuming national average premiums, medication copayments and deductibles. It also includes a health insurance turnover rate of 12%.</w:t>
      </w:r>
    </w:p>
    <w:p w14:paraId="524B9A1E" w14:textId="77777777" w:rsidR="00326CDF" w:rsidRPr="00326CDF" w:rsidRDefault="00326CDF" w:rsidP="00326CDF">
      <w:pPr>
        <w:spacing w:after="0" w:line="240" w:lineRule="auto"/>
        <w:ind w:right="1530"/>
        <w:rPr>
          <w:sz w:val="20"/>
          <w:szCs w:val="20"/>
        </w:rPr>
      </w:pPr>
      <w:r w:rsidRPr="00326CDF">
        <w:rPr>
          <w:sz w:val="20"/>
          <w:szCs w:val="20"/>
        </w:rPr>
        <w:t>ICER=Incremental cost effectiveness ration. ROI=Return on investment. NPV=Net present value.</w:t>
      </w:r>
    </w:p>
    <w:p w14:paraId="396461BE" w14:textId="77777777" w:rsidR="00CC6B9B" w:rsidRDefault="00CC6B9B" w:rsidP="00CB178A"/>
    <w:p w14:paraId="5B067EA1" w14:textId="77777777" w:rsidR="00264D4F" w:rsidRDefault="00264D4F"/>
    <w:p w14:paraId="2334C0B4" w14:textId="77777777" w:rsidR="00264D4F" w:rsidRPr="00864DE3" w:rsidRDefault="00864DE3">
      <w:pPr>
        <w:rPr>
          <w:b/>
        </w:rPr>
      </w:pPr>
      <w:r w:rsidRPr="00864DE3">
        <w:rPr>
          <w:b/>
        </w:rPr>
        <w:t>References</w:t>
      </w:r>
    </w:p>
    <w:p w14:paraId="39D1878B" w14:textId="77777777" w:rsidR="00CF4D85" w:rsidRPr="00CF4D85" w:rsidRDefault="00264D4F" w:rsidP="00CF4D85">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CF4D85" w:rsidRPr="00CF4D85">
        <w:rPr>
          <w:rFonts w:ascii="Calibri" w:hAnsi="Calibri"/>
          <w:noProof/>
        </w:rPr>
        <w:t>1.</w:t>
      </w:r>
      <w:r w:rsidR="00CF4D85" w:rsidRPr="00CF4D85">
        <w:rPr>
          <w:rFonts w:ascii="Calibri" w:hAnsi="Calibri"/>
          <w:noProof/>
        </w:rPr>
        <w:tab/>
        <w:t xml:space="preserve">Sabatine MS, Giugliano RP, Wiviott SD, Raal FJ, Blom DJ, Robinson J, Ballantyne CM, Somaratne R, Legg J, Wasserman SM. Efficacy and safety of evolocumab in reducing lipids and cardiovascular events. </w:t>
      </w:r>
      <w:r w:rsidR="00CF4D85" w:rsidRPr="00CF4D85">
        <w:rPr>
          <w:rFonts w:ascii="Calibri" w:hAnsi="Calibri"/>
          <w:i/>
          <w:noProof/>
        </w:rPr>
        <w:t>New England Journal of Medicine</w:t>
      </w:r>
      <w:r w:rsidR="00CF4D85" w:rsidRPr="00CF4D85">
        <w:rPr>
          <w:rFonts w:ascii="Calibri" w:hAnsi="Calibri"/>
          <w:noProof/>
        </w:rPr>
        <w:t>. 2015;372:1500-1509</w:t>
      </w:r>
      <w:bookmarkEnd w:id="1"/>
    </w:p>
    <w:p w14:paraId="3649A448" w14:textId="77777777" w:rsidR="00CF4D85" w:rsidRPr="00CF4D85" w:rsidRDefault="00CF4D85" w:rsidP="00CF4D85">
      <w:pPr>
        <w:spacing w:after="0" w:line="240" w:lineRule="auto"/>
        <w:ind w:left="720" w:hanging="720"/>
        <w:rPr>
          <w:rFonts w:ascii="Calibri" w:hAnsi="Calibri"/>
          <w:noProof/>
        </w:rPr>
      </w:pPr>
      <w:bookmarkStart w:id="2" w:name="_ENREF_2"/>
      <w:r w:rsidRPr="00CF4D85">
        <w:rPr>
          <w:rFonts w:ascii="Calibri" w:hAnsi="Calibri"/>
          <w:noProof/>
        </w:rPr>
        <w:t>2.</w:t>
      </w:r>
      <w:r w:rsidRPr="00CF4D85">
        <w:rPr>
          <w:rFonts w:ascii="Calibri" w:hAnsi="Calibri"/>
          <w:noProof/>
        </w:rPr>
        <w:tab/>
        <w:t xml:space="preserve">D’Agostino RB, Vasan RS, Pencina MJ, Wolf PA, Cobain M, Massaro JM, Kannel WB. General cardiovascular risk profile for use in primary care the Framingham Heart Study. </w:t>
      </w:r>
      <w:r w:rsidRPr="00CF4D85">
        <w:rPr>
          <w:rFonts w:ascii="Calibri" w:hAnsi="Calibri"/>
          <w:i/>
          <w:noProof/>
        </w:rPr>
        <w:t>Circulation</w:t>
      </w:r>
      <w:r w:rsidRPr="00CF4D85">
        <w:rPr>
          <w:rFonts w:ascii="Calibri" w:hAnsi="Calibri"/>
          <w:noProof/>
        </w:rPr>
        <w:t>. 2008;117:743-753</w:t>
      </w:r>
      <w:bookmarkEnd w:id="2"/>
    </w:p>
    <w:p w14:paraId="42302E41" w14:textId="77777777" w:rsidR="00CF4D85" w:rsidRPr="00CF4D85" w:rsidRDefault="00CF4D85" w:rsidP="00CF4D85">
      <w:pPr>
        <w:spacing w:after="0" w:line="240" w:lineRule="auto"/>
        <w:ind w:left="720" w:hanging="720"/>
        <w:rPr>
          <w:rFonts w:ascii="Calibri" w:hAnsi="Calibri"/>
          <w:noProof/>
        </w:rPr>
      </w:pPr>
      <w:bookmarkStart w:id="3" w:name="_ENREF_3"/>
      <w:r w:rsidRPr="00CF4D85">
        <w:rPr>
          <w:rFonts w:ascii="Calibri" w:hAnsi="Calibri"/>
          <w:noProof/>
        </w:rPr>
        <w:t>3.</w:t>
      </w:r>
      <w:r w:rsidRPr="00CF4D85">
        <w:rPr>
          <w:rFonts w:ascii="Calibri" w:hAnsi="Calibri"/>
          <w:noProof/>
        </w:rPr>
        <w:tab/>
        <w:t xml:space="preserve">CDC. Health Data Interactive (2008-2010). </w:t>
      </w:r>
      <w:bookmarkEnd w:id="3"/>
    </w:p>
    <w:p w14:paraId="4D6B541F" w14:textId="77777777" w:rsidR="00CF4D85" w:rsidRPr="00CF4D85" w:rsidRDefault="00CF4D85" w:rsidP="00CF4D85">
      <w:pPr>
        <w:spacing w:after="0" w:line="240" w:lineRule="auto"/>
        <w:ind w:left="720" w:hanging="720"/>
        <w:rPr>
          <w:rFonts w:ascii="Calibri" w:hAnsi="Calibri"/>
          <w:noProof/>
        </w:rPr>
      </w:pPr>
      <w:bookmarkStart w:id="4" w:name="_ENREF_4"/>
      <w:r w:rsidRPr="00CF4D85">
        <w:rPr>
          <w:rFonts w:ascii="Calibri" w:hAnsi="Calibri"/>
          <w:noProof/>
        </w:rPr>
        <w:t>4.</w:t>
      </w:r>
      <w:r w:rsidRPr="00CF4D85">
        <w:rPr>
          <w:rFonts w:ascii="Calibri" w:hAnsi="Calibri"/>
          <w:noProof/>
        </w:rPr>
        <w:tab/>
        <w:t xml:space="preserve">D'Agostino RB, Russell MW, Huse DM, Ellison RC, Silbershatz H, Wilson PW, Hartz SC. Primary and subsequent coronary risk appraisal: new results from the Framingham study. </w:t>
      </w:r>
      <w:r w:rsidRPr="00CF4D85">
        <w:rPr>
          <w:rFonts w:ascii="Calibri" w:hAnsi="Calibri"/>
          <w:i/>
          <w:noProof/>
        </w:rPr>
        <w:t>American Heart Journal</w:t>
      </w:r>
      <w:r w:rsidRPr="00CF4D85">
        <w:rPr>
          <w:rFonts w:ascii="Calibri" w:hAnsi="Calibri"/>
          <w:noProof/>
        </w:rPr>
        <w:t>. 2000;139:272-281</w:t>
      </w:r>
      <w:bookmarkEnd w:id="4"/>
    </w:p>
    <w:p w14:paraId="2987014E" w14:textId="77777777" w:rsidR="00CF4D85" w:rsidRPr="00CF4D85" w:rsidRDefault="00CF4D85" w:rsidP="00CF4D85">
      <w:pPr>
        <w:spacing w:after="0" w:line="240" w:lineRule="auto"/>
        <w:ind w:left="720" w:hanging="720"/>
        <w:rPr>
          <w:rFonts w:ascii="Calibri" w:hAnsi="Calibri"/>
          <w:noProof/>
        </w:rPr>
      </w:pPr>
      <w:bookmarkStart w:id="5" w:name="_ENREF_5"/>
      <w:r w:rsidRPr="00CF4D85">
        <w:rPr>
          <w:rFonts w:ascii="Calibri" w:hAnsi="Calibri"/>
          <w:noProof/>
        </w:rPr>
        <w:t>5.</w:t>
      </w:r>
      <w:r w:rsidRPr="00CF4D85">
        <w:rPr>
          <w:rFonts w:ascii="Calibri" w:hAnsi="Calibri"/>
          <w:noProof/>
        </w:rPr>
        <w:tab/>
        <w:t xml:space="preserve">Brønnum-Hansen H, Davidsen M, Thorvaldsen P, Group ftDMS. Long-Term Survival and Causes of Death After Stroke. </w:t>
      </w:r>
      <w:r w:rsidRPr="00CF4D85">
        <w:rPr>
          <w:rFonts w:ascii="Calibri" w:hAnsi="Calibri"/>
          <w:i/>
          <w:noProof/>
        </w:rPr>
        <w:t>Stroke</w:t>
      </w:r>
      <w:r w:rsidRPr="00CF4D85">
        <w:rPr>
          <w:rFonts w:ascii="Calibri" w:hAnsi="Calibri"/>
          <w:noProof/>
        </w:rPr>
        <w:t>. 2001;32:2131-2136</w:t>
      </w:r>
      <w:bookmarkEnd w:id="5"/>
    </w:p>
    <w:p w14:paraId="3B49D139" w14:textId="77777777" w:rsidR="00CF4D85" w:rsidRPr="00CF4D85" w:rsidRDefault="00CF4D85" w:rsidP="00CF4D85">
      <w:pPr>
        <w:spacing w:after="0" w:line="240" w:lineRule="auto"/>
        <w:ind w:left="720" w:hanging="720"/>
        <w:rPr>
          <w:rFonts w:ascii="Calibri" w:hAnsi="Calibri"/>
          <w:noProof/>
        </w:rPr>
      </w:pPr>
      <w:bookmarkStart w:id="6" w:name="_ENREF_6"/>
      <w:r w:rsidRPr="00CF4D85">
        <w:rPr>
          <w:rFonts w:ascii="Calibri" w:hAnsi="Calibri"/>
          <w:noProof/>
        </w:rPr>
        <w:t>6.</w:t>
      </w:r>
      <w:r w:rsidRPr="00CF4D85">
        <w:rPr>
          <w:rFonts w:ascii="Calibri" w:hAnsi="Calibri"/>
          <w:noProof/>
        </w:rPr>
        <w:tab/>
        <w:t xml:space="preserve">Brønnum-Hansen H, Jorgensen T, Davidsen M, Madsen M, Osler M, Gerdes LU, Schroll M. Survival and cause of death after myocardial infarction: the Danish MONICA study. </w:t>
      </w:r>
      <w:r w:rsidRPr="00CF4D85">
        <w:rPr>
          <w:rFonts w:ascii="Calibri" w:hAnsi="Calibri"/>
          <w:i/>
          <w:noProof/>
        </w:rPr>
        <w:t>Journal of Clinical Epidemiology</w:t>
      </w:r>
      <w:r w:rsidRPr="00CF4D85">
        <w:rPr>
          <w:rFonts w:ascii="Calibri" w:hAnsi="Calibri"/>
          <w:noProof/>
        </w:rPr>
        <w:t>. 2001;54:1244-1250</w:t>
      </w:r>
      <w:bookmarkEnd w:id="6"/>
    </w:p>
    <w:p w14:paraId="19EC40EA" w14:textId="77777777" w:rsidR="00CF4D85" w:rsidRPr="00CF4D85" w:rsidRDefault="00CF4D85" w:rsidP="00CF4D85">
      <w:pPr>
        <w:spacing w:line="240" w:lineRule="auto"/>
        <w:ind w:left="720" w:hanging="720"/>
        <w:rPr>
          <w:rFonts w:ascii="Calibri" w:hAnsi="Calibri"/>
          <w:noProof/>
        </w:rPr>
      </w:pPr>
      <w:bookmarkStart w:id="7" w:name="_ENREF_7"/>
      <w:r w:rsidRPr="00CF4D85">
        <w:rPr>
          <w:rFonts w:ascii="Calibri" w:hAnsi="Calibri"/>
          <w:noProof/>
        </w:rPr>
        <w:t>7.</w:t>
      </w:r>
      <w:r w:rsidRPr="00CF4D85">
        <w:rPr>
          <w:rFonts w:ascii="Calibri" w:hAnsi="Calibri"/>
          <w:noProof/>
        </w:rPr>
        <w:tab/>
        <w:t xml:space="preserve">CDC. CDC Health Data Interactive. </w:t>
      </w:r>
      <w:bookmarkEnd w:id="7"/>
    </w:p>
    <w:p w14:paraId="1783163F" w14:textId="77777777" w:rsidR="00255EEE" w:rsidRDefault="00264D4F">
      <w:r>
        <w:fldChar w:fldCharType="end"/>
      </w:r>
    </w:p>
    <w:sectPr w:rsidR="0025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E0A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64D4D"/>
    <w:multiLevelType w:val="hybridMultilevel"/>
    <w:tmpl w:val="C966D28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50E9"/>
    <w:multiLevelType w:val="hybridMultilevel"/>
    <w:tmpl w:val="5ACEFDC2"/>
    <w:lvl w:ilvl="0" w:tplc="314A6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118EE"/>
    <w:multiLevelType w:val="hybridMultilevel"/>
    <w:tmpl w:val="106EC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59023C"/>
    <w:multiLevelType w:val="hybridMultilevel"/>
    <w:tmpl w:val="BE8C7A30"/>
    <w:lvl w:ilvl="0" w:tplc="A8E03A4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20A7C"/>
    <w:multiLevelType w:val="hybridMultilevel"/>
    <w:tmpl w:val="AB7E826A"/>
    <w:lvl w:ilvl="0" w:tplc="5330D57C">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2E49A6"/>
    <w:multiLevelType w:val="hybridMultilevel"/>
    <w:tmpl w:val="3CB2D20E"/>
    <w:lvl w:ilvl="0" w:tplc="A8E03A4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DE006D"/>
    <w:multiLevelType w:val="hybridMultilevel"/>
    <w:tmpl w:val="E646A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tx5f5a2dse5xewf275dps1rea50dv9xw90&quot;&gt;AA-EndNote Library&lt;record-ids&gt;&lt;item&gt;727&lt;/item&gt;&lt;item&gt;728&lt;/item&gt;&lt;item&gt;744&lt;/item&gt;&lt;item&gt;749&lt;/item&gt;&lt;item&gt;751&lt;/item&gt;&lt;item&gt;752&lt;/item&gt;&lt;item&gt;753&lt;/item&gt;&lt;/record-ids&gt;&lt;/item&gt;&lt;/Libraries&gt;"/>
  </w:docVars>
  <w:rsids>
    <w:rsidRoot w:val="00255EEE"/>
    <w:rsid w:val="0000087A"/>
    <w:rsid w:val="000022FC"/>
    <w:rsid w:val="00020DBA"/>
    <w:rsid w:val="00074C68"/>
    <w:rsid w:val="00075FBC"/>
    <w:rsid w:val="000C17DA"/>
    <w:rsid w:val="000D0A9F"/>
    <w:rsid w:val="000D76F6"/>
    <w:rsid w:val="000E194E"/>
    <w:rsid w:val="0012202A"/>
    <w:rsid w:val="002016CE"/>
    <w:rsid w:val="0023153F"/>
    <w:rsid w:val="00235829"/>
    <w:rsid w:val="00255EEE"/>
    <w:rsid w:val="00264D4F"/>
    <w:rsid w:val="002751E6"/>
    <w:rsid w:val="002D2157"/>
    <w:rsid w:val="00326CDF"/>
    <w:rsid w:val="00333316"/>
    <w:rsid w:val="00353EEF"/>
    <w:rsid w:val="0036117A"/>
    <w:rsid w:val="003721F1"/>
    <w:rsid w:val="003975E9"/>
    <w:rsid w:val="003A267A"/>
    <w:rsid w:val="003A5949"/>
    <w:rsid w:val="003B322E"/>
    <w:rsid w:val="003E3B41"/>
    <w:rsid w:val="003E4385"/>
    <w:rsid w:val="004741AE"/>
    <w:rsid w:val="004907A3"/>
    <w:rsid w:val="004B02D1"/>
    <w:rsid w:val="004D2738"/>
    <w:rsid w:val="004F1871"/>
    <w:rsid w:val="00507F07"/>
    <w:rsid w:val="00522577"/>
    <w:rsid w:val="00531F58"/>
    <w:rsid w:val="00540409"/>
    <w:rsid w:val="00542700"/>
    <w:rsid w:val="00592C66"/>
    <w:rsid w:val="005B06BF"/>
    <w:rsid w:val="005D44AC"/>
    <w:rsid w:val="005D5F2C"/>
    <w:rsid w:val="005E64A0"/>
    <w:rsid w:val="005F0525"/>
    <w:rsid w:val="0060009B"/>
    <w:rsid w:val="006041A3"/>
    <w:rsid w:val="00613BEE"/>
    <w:rsid w:val="00640AC5"/>
    <w:rsid w:val="006525AA"/>
    <w:rsid w:val="00665ED6"/>
    <w:rsid w:val="006F4B46"/>
    <w:rsid w:val="007135CF"/>
    <w:rsid w:val="00731D6E"/>
    <w:rsid w:val="00734CED"/>
    <w:rsid w:val="007401C9"/>
    <w:rsid w:val="00744C3B"/>
    <w:rsid w:val="00755142"/>
    <w:rsid w:val="007814C7"/>
    <w:rsid w:val="007B25AB"/>
    <w:rsid w:val="007B5D22"/>
    <w:rsid w:val="007C0CAF"/>
    <w:rsid w:val="007D68F7"/>
    <w:rsid w:val="007F574A"/>
    <w:rsid w:val="007F69F6"/>
    <w:rsid w:val="0081591E"/>
    <w:rsid w:val="00864DE3"/>
    <w:rsid w:val="008B0A25"/>
    <w:rsid w:val="008C3424"/>
    <w:rsid w:val="008E0D7A"/>
    <w:rsid w:val="0091099F"/>
    <w:rsid w:val="00913B2C"/>
    <w:rsid w:val="009349D2"/>
    <w:rsid w:val="00974D9F"/>
    <w:rsid w:val="00987B48"/>
    <w:rsid w:val="009A33C7"/>
    <w:rsid w:val="00A05F74"/>
    <w:rsid w:val="00A102E9"/>
    <w:rsid w:val="00A7487E"/>
    <w:rsid w:val="00AA0618"/>
    <w:rsid w:val="00AC6624"/>
    <w:rsid w:val="00AC7C45"/>
    <w:rsid w:val="00AD6AC0"/>
    <w:rsid w:val="00B14D92"/>
    <w:rsid w:val="00B22D93"/>
    <w:rsid w:val="00B861EA"/>
    <w:rsid w:val="00BA653C"/>
    <w:rsid w:val="00BA7C19"/>
    <w:rsid w:val="00C3784F"/>
    <w:rsid w:val="00C70E74"/>
    <w:rsid w:val="00C82FE1"/>
    <w:rsid w:val="00CB178A"/>
    <w:rsid w:val="00CC4AA9"/>
    <w:rsid w:val="00CC6B9B"/>
    <w:rsid w:val="00CC79CE"/>
    <w:rsid w:val="00CF4D85"/>
    <w:rsid w:val="00D73A8A"/>
    <w:rsid w:val="00D826EC"/>
    <w:rsid w:val="00DF5967"/>
    <w:rsid w:val="00DF75B5"/>
    <w:rsid w:val="00E02261"/>
    <w:rsid w:val="00E57E6A"/>
    <w:rsid w:val="00EA38B2"/>
    <w:rsid w:val="00EC4D19"/>
    <w:rsid w:val="00EF30C1"/>
    <w:rsid w:val="00F044BA"/>
    <w:rsid w:val="00F1340A"/>
    <w:rsid w:val="00F4316C"/>
    <w:rsid w:val="00F858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F5C3"/>
  <w15:chartTrackingRefBased/>
  <w15:docId w15:val="{5E392B6C-3D26-49FD-9C81-C7B26E48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CDF"/>
    <w:pPr>
      <w:keepNext/>
      <w:keepLines/>
      <w:spacing w:before="240" w:after="0" w:line="360" w:lineRule="auto"/>
      <w:outlineLvl w:val="0"/>
    </w:pPr>
    <w:rPr>
      <w:rFonts w:eastAsiaTheme="majorEastAsia"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EE"/>
    <w:pPr>
      <w:ind w:left="720"/>
      <w:contextualSpacing/>
    </w:pPr>
  </w:style>
  <w:style w:type="character" w:styleId="PlaceholderText">
    <w:name w:val="Placeholder Text"/>
    <w:basedOn w:val="DefaultParagraphFont"/>
    <w:uiPriority w:val="99"/>
    <w:semiHidden/>
    <w:rsid w:val="007B5D22"/>
    <w:rPr>
      <w:color w:val="808080"/>
    </w:rPr>
  </w:style>
  <w:style w:type="character" w:styleId="Hyperlink">
    <w:name w:val="Hyperlink"/>
    <w:basedOn w:val="DefaultParagraphFont"/>
    <w:uiPriority w:val="99"/>
    <w:unhideWhenUsed/>
    <w:rsid w:val="00264D4F"/>
    <w:rPr>
      <w:color w:val="0563C1" w:themeColor="hyperlink"/>
      <w:u w:val="single"/>
    </w:rPr>
  </w:style>
  <w:style w:type="character" w:customStyle="1" w:styleId="Heading1Char">
    <w:name w:val="Heading 1 Char"/>
    <w:basedOn w:val="DefaultParagraphFont"/>
    <w:link w:val="Heading1"/>
    <w:uiPriority w:val="9"/>
    <w:rsid w:val="00326CDF"/>
    <w:rPr>
      <w:rFonts w:eastAsiaTheme="majorEastAsia"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7617">
      <w:bodyDiv w:val="1"/>
      <w:marLeft w:val="0"/>
      <w:marRight w:val="0"/>
      <w:marTop w:val="0"/>
      <w:marBottom w:val="0"/>
      <w:divBdr>
        <w:top w:val="none" w:sz="0" w:space="0" w:color="auto"/>
        <w:left w:val="none" w:sz="0" w:space="0" w:color="auto"/>
        <w:bottom w:val="none" w:sz="0" w:space="0" w:color="auto"/>
        <w:right w:val="none" w:sz="0" w:space="0" w:color="auto"/>
      </w:divBdr>
    </w:div>
    <w:div w:id="464353047">
      <w:bodyDiv w:val="1"/>
      <w:marLeft w:val="0"/>
      <w:marRight w:val="0"/>
      <w:marTop w:val="0"/>
      <w:marBottom w:val="0"/>
      <w:divBdr>
        <w:top w:val="none" w:sz="0" w:space="0" w:color="auto"/>
        <w:left w:val="none" w:sz="0" w:space="0" w:color="auto"/>
        <w:bottom w:val="none" w:sz="0" w:space="0" w:color="auto"/>
        <w:right w:val="none" w:sz="0" w:space="0" w:color="auto"/>
      </w:divBdr>
    </w:div>
    <w:div w:id="1201209824">
      <w:bodyDiv w:val="1"/>
      <w:marLeft w:val="0"/>
      <w:marRight w:val="0"/>
      <w:marTop w:val="0"/>
      <w:marBottom w:val="0"/>
      <w:divBdr>
        <w:top w:val="none" w:sz="0" w:space="0" w:color="auto"/>
        <w:left w:val="none" w:sz="0" w:space="0" w:color="auto"/>
        <w:bottom w:val="none" w:sz="0" w:space="0" w:color="auto"/>
        <w:right w:val="none" w:sz="0" w:space="0" w:color="auto"/>
      </w:divBdr>
    </w:div>
    <w:div w:id="1304627582">
      <w:bodyDiv w:val="1"/>
      <w:marLeft w:val="0"/>
      <w:marRight w:val="0"/>
      <w:marTop w:val="0"/>
      <w:marBottom w:val="0"/>
      <w:divBdr>
        <w:top w:val="none" w:sz="0" w:space="0" w:color="auto"/>
        <w:left w:val="none" w:sz="0" w:space="0" w:color="auto"/>
        <w:bottom w:val="none" w:sz="0" w:space="0" w:color="auto"/>
        <w:right w:val="none" w:sz="0" w:space="0" w:color="auto"/>
      </w:divBdr>
    </w:div>
    <w:div w:id="1409501220">
      <w:bodyDiv w:val="1"/>
      <w:marLeft w:val="0"/>
      <w:marRight w:val="0"/>
      <w:marTop w:val="0"/>
      <w:marBottom w:val="0"/>
      <w:divBdr>
        <w:top w:val="none" w:sz="0" w:space="0" w:color="auto"/>
        <w:left w:val="none" w:sz="0" w:space="0" w:color="auto"/>
        <w:bottom w:val="none" w:sz="0" w:space="0" w:color="auto"/>
        <w:right w:val="none" w:sz="0" w:space="0" w:color="auto"/>
      </w:divBdr>
    </w:div>
    <w:div w:id="1775050964">
      <w:bodyDiv w:val="1"/>
      <w:marLeft w:val="0"/>
      <w:marRight w:val="0"/>
      <w:marTop w:val="0"/>
      <w:marBottom w:val="0"/>
      <w:divBdr>
        <w:top w:val="none" w:sz="0" w:space="0" w:color="auto"/>
        <w:left w:val="none" w:sz="0" w:space="0" w:color="auto"/>
        <w:bottom w:val="none" w:sz="0" w:space="0" w:color="auto"/>
        <w:right w:val="none" w:sz="0" w:space="0" w:color="auto"/>
      </w:divBdr>
    </w:div>
    <w:div w:id="1827671468">
      <w:bodyDiv w:val="1"/>
      <w:marLeft w:val="0"/>
      <w:marRight w:val="0"/>
      <w:marTop w:val="0"/>
      <w:marBottom w:val="0"/>
      <w:divBdr>
        <w:top w:val="none" w:sz="0" w:space="0" w:color="auto"/>
        <w:left w:val="none" w:sz="0" w:space="0" w:color="auto"/>
        <w:bottom w:val="none" w:sz="0" w:space="0" w:color="auto"/>
        <w:right w:val="none" w:sz="0" w:space="0" w:color="auto"/>
      </w:divBdr>
    </w:div>
    <w:div w:id="1926106000">
      <w:bodyDiv w:val="1"/>
      <w:marLeft w:val="0"/>
      <w:marRight w:val="0"/>
      <w:marTop w:val="0"/>
      <w:marBottom w:val="0"/>
      <w:divBdr>
        <w:top w:val="none" w:sz="0" w:space="0" w:color="auto"/>
        <w:left w:val="none" w:sz="0" w:space="0" w:color="auto"/>
        <w:bottom w:val="none" w:sz="0" w:space="0" w:color="auto"/>
        <w:right w:val="none" w:sz="0" w:space="0" w:color="auto"/>
      </w:divBdr>
    </w:div>
    <w:div w:id="19572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2146</Words>
  <Characters>12238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Arrieta</dc:creator>
  <cp:keywords/>
  <dc:description/>
  <cp:lastModifiedBy>Alejandro Arrieta</cp:lastModifiedBy>
  <cp:revision>11</cp:revision>
  <dcterms:created xsi:type="dcterms:W3CDTF">2015-12-18T06:36:00Z</dcterms:created>
  <dcterms:modified xsi:type="dcterms:W3CDTF">2017-01-05T05:09:00Z</dcterms:modified>
</cp:coreProperties>
</file>