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8429" w14:textId="77777777" w:rsidR="00A73F84" w:rsidRPr="00AF61E5" w:rsidRDefault="0053129A" w:rsidP="005124DE">
      <w:pPr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AF61E5">
        <w:rPr>
          <w:rFonts w:ascii="Times New Roman" w:hAnsi="Times New Roman" w:cs="Times New Roman"/>
          <w:b/>
          <w:sz w:val="28"/>
          <w:szCs w:val="24"/>
        </w:rPr>
        <w:t>Tree circumference dynamics over short time scales using automated dendrometer bands in four forests</w:t>
      </w:r>
    </w:p>
    <w:p w14:paraId="11A81351" w14:textId="1FADE699" w:rsidR="0053129A" w:rsidRDefault="0053129A" w:rsidP="005124D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24DE">
        <w:rPr>
          <w:rFonts w:ascii="Times New Roman" w:hAnsi="Times New Roman" w:cs="Times New Roman"/>
          <w:sz w:val="24"/>
          <w:szCs w:val="24"/>
        </w:rPr>
        <w:t>Valentine Herrman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n, </w:t>
      </w:r>
      <w:r w:rsidRPr="005124DE">
        <w:rPr>
          <w:rFonts w:ascii="Times New Roman" w:hAnsi="Times New Roman" w:cs="Times New Roman"/>
          <w:sz w:val="24"/>
          <w:szCs w:val="24"/>
        </w:rPr>
        <w:t>Sean M. McMahon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Matteo Detto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James A. Lutz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Stuart J. Davies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Chia-Hao Chang</w:t>
      </w:r>
      <w:r w:rsidRPr="003B27FD">
        <w:rPr>
          <w:rFonts w:ascii="Times New Roman" w:hAnsi="Times New Roman" w:cs="Times New Roman"/>
          <w:sz w:val="24"/>
          <w:szCs w:val="24"/>
        </w:rPr>
        <w:t>-Yang</w:t>
      </w:r>
      <w:r w:rsidR="00893E98">
        <w:rPr>
          <w:rFonts w:ascii="Times New Roman" w:hAnsi="Times New Roman" w:cs="Times New Roman"/>
          <w:sz w:val="24"/>
          <w:szCs w:val="24"/>
        </w:rPr>
        <w:t>,</w:t>
      </w:r>
      <w:r w:rsidRPr="003B2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27FD">
        <w:rPr>
          <w:rFonts w:ascii="Times New Roman" w:hAnsi="Times New Roman" w:cs="Times New Roman"/>
          <w:sz w:val="24"/>
          <w:szCs w:val="24"/>
        </w:rPr>
        <w:t>Kristina J.</w:t>
      </w:r>
      <w:r w:rsidRPr="00433681">
        <w:rPr>
          <w:rFonts w:ascii="Times New Roman" w:hAnsi="Times New Roman" w:cs="Times New Roman"/>
          <w:sz w:val="24"/>
          <w:szCs w:val="24"/>
        </w:rPr>
        <w:t xml:space="preserve"> Anderson-Teixeira</w:t>
      </w:r>
    </w:p>
    <w:p w14:paraId="0FFED090" w14:textId="13630FED" w:rsidR="00F32FAB" w:rsidRPr="00EA43CA" w:rsidRDefault="00F32FAB" w:rsidP="00AB38CF">
      <w:pPr>
        <w:pStyle w:val="Heading1"/>
      </w:pPr>
      <w:bookmarkStart w:id="0" w:name="_Toc335582613"/>
      <w:r w:rsidRPr="00EA43CA">
        <w:t>S</w:t>
      </w:r>
      <w:r w:rsidR="00681C18">
        <w:t>4</w:t>
      </w:r>
      <w:r w:rsidR="00833399" w:rsidRPr="00833399">
        <w:t xml:space="preserve"> </w:t>
      </w:r>
      <w:r w:rsidR="00833399" w:rsidRPr="00EA43CA">
        <w:t>Appendix</w:t>
      </w:r>
      <w:r w:rsidRPr="00EA43CA">
        <w:t>. Thermal expansion experiment</w:t>
      </w:r>
      <w:bookmarkEnd w:id="0"/>
    </w:p>
    <w:p w14:paraId="58B4C2BB" w14:textId="0368AB9F" w:rsidR="00F32FAB" w:rsidRDefault="00F32FAB" w:rsidP="00AD3F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43CA">
        <w:rPr>
          <w:rFonts w:ascii="Times New Roman" w:hAnsi="Times New Roman" w:cs="Times New Roman"/>
          <w:sz w:val="24"/>
          <w:szCs w:val="24"/>
        </w:rPr>
        <w:t>Metallic dendrometer bands are subject to lengthening due to thermal expansion, which needs to be quantified to estimate true diameter change</w:t>
      </w:r>
      <w:r w:rsidR="00870C3C" w:rsidRPr="00EA43CA">
        <w:rPr>
          <w:rFonts w:ascii="Times New Roman" w:hAnsi="Times New Roman" w:cs="Times New Roman"/>
          <w:sz w:val="24"/>
          <w:szCs w:val="24"/>
        </w:rPr>
        <w:t xml:space="preserve"> </w:t>
      </w:r>
      <w:r w:rsidR="00870C3C" w:rsidRPr="00EA43C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1450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SHBIQiPE","properties":{"formattedCitation":"[1,2]","plainCitation":"[1,2]"},"citationItems":[{"id":"ITEM-1","uris":["http://www.mendeley.com/documents/?uuid=70293cf2-fec7-4c25-b4e8-e0c0b47af544"],"uri":["http://www.mendeley.com/documents/?uuid=70293cf2-fec7-4c25-b4e8-e0c0b47af544"],"itemData":{"ISSN":"0883-8542","author":[{"dropping-particle":"","family":"Wang","given":"J","non-dropping-particle":"","parse-names":false,"suffix":""},{"dropping-particle":"","family":"Sammis","given":"T W","non-dropping-particle":"","parse-names":false,"suffix":""}],"id":"ITEM-1","issued":{"date-parts":[["2008"]]},"page":"1-20","title":"New automatic band and point dendrometers for measuring stem diameter growth","type":"article-journal"}},{"id":"ITEM-2","uris":["http://www.mendeley.com/documents/?uuid=06246012-3d23-48b8-b3c3-7d9dd3c013ef"],"uri":["http://www.mendeley.com/documents/?uuid=06246012-3d23-48b8-b3c3-7d9dd3c013ef"],"itemData":{"ISSN":"12396095","abstract":"The coefficient of thermal expansion in the radial direction for wet fresh wood was determined for two coniferous species Pinus sylvestris and Picea abies and three broad-leaved species Acer platanoides, Betula pendula and Alms ","author":[{"dropping-particle":"","family":"Sevanto","given":"Sanna","non-dropping-particle":"","parse-names":false,"suffix":""},{"dropping-particle":"","family":"Hölttä","given":"Teemu","non-dropping-particle":"","parse-names":false,"suffix":""},{"dropping-particle":"","family":"Hirsikko","given":"Anne","non-dropping-particle":"","parse-names":false,"suffix":""},{"dropping-particle":"","family":"Vesala","given":"Timo","non-dropping-particle":"","parse-names":false,"suffix":""},{"dropping-particle":"","family":"Nikinmaa","given":"Eero","non-dropping-particle":"","parse-names":false,"suffix":""}],"container-title":"Boreal Environment Research","id":"ITEM-2","issue":"5","issued":{"date-parts":[["2005"]]},"page":"437-445","title":"Determination of thermal expansion of green wood and the accuracy of tree stem diameter variation measurements","type":"article-journal","volume":"10"}}],"schema":"https://github.com/citation-style-language/schema/raw/master/csl-citation.json"} </w:instrText>
      </w:r>
      <w:r w:rsidR="00870C3C" w:rsidRPr="00EA43CA">
        <w:rPr>
          <w:rFonts w:ascii="Times New Roman" w:hAnsi="Times New Roman" w:cs="Times New Roman"/>
          <w:sz w:val="24"/>
          <w:szCs w:val="24"/>
        </w:rPr>
        <w:fldChar w:fldCharType="separate"/>
      </w:r>
      <w:r w:rsidR="0081450F">
        <w:rPr>
          <w:rFonts w:ascii="Times New Roman" w:hAnsi="Times New Roman" w:cs="Times New Roman"/>
          <w:noProof/>
          <w:sz w:val="24"/>
          <w:szCs w:val="24"/>
        </w:rPr>
        <w:t>[1,2]</w:t>
      </w:r>
      <w:r w:rsidR="00870C3C" w:rsidRPr="00EA43CA">
        <w:rPr>
          <w:rFonts w:ascii="Times New Roman" w:hAnsi="Times New Roman" w:cs="Times New Roman"/>
          <w:sz w:val="24"/>
          <w:szCs w:val="24"/>
        </w:rPr>
        <w:fldChar w:fldCharType="end"/>
      </w:r>
      <w:r w:rsidRPr="00EA43CA">
        <w:rPr>
          <w:rFonts w:ascii="Times New Roman" w:hAnsi="Times New Roman" w:cs="Times New Roman"/>
          <w:sz w:val="24"/>
          <w:szCs w:val="24"/>
        </w:rPr>
        <w:t>. However, a simple correction for thermal expansion of the stainless steel band—</w:t>
      </w:r>
      <w:r w:rsidRPr="00EA43CA">
        <w:rPr>
          <w:rFonts w:ascii="Times New Roman" w:hAnsi="Times New Roman" w:cs="Times New Roman"/>
          <w:i/>
          <w:sz w:val="24"/>
          <w:szCs w:val="24"/>
        </w:rPr>
        <w:t xml:space="preserve">i.e., </w:t>
      </w:r>
      <w:r w:rsidRPr="00EA43CA">
        <w:rPr>
          <w:rFonts w:ascii="Times New Roman" w:hAnsi="Times New Roman" w:cs="Times New Roman"/>
          <w:sz w:val="24"/>
          <w:szCs w:val="24"/>
        </w:rPr>
        <w:t xml:space="preserve">applying a linear expansion correction factor based on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air</w:t>
      </w:r>
      <w:r w:rsidRPr="00EA43CA">
        <w:rPr>
          <w:rFonts w:ascii="Times New Roman" w:hAnsi="Times New Roman" w:cs="Times New Roman"/>
          <w:sz w:val="24"/>
          <w:szCs w:val="24"/>
        </w:rPr>
        <w:t xml:space="preserve">—can be inappropriate considering the physical complexity of the system. Major factors that may make a simple correction inappropriate include thermal expansion of the tree </w:t>
      </w:r>
      <w:r w:rsidRPr="00EA43C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870C3C" w:rsidRPr="00EA43CA">
        <w:rPr>
          <w:rFonts w:ascii="Times New Roman" w:hAnsi="Times New Roman" w:cs="Times New Roman"/>
          <w:sz w:val="24"/>
          <w:szCs w:val="24"/>
        </w:rPr>
        <w:instrText>ADDIN CSL_CITATION { "citationID" : "i77df5g5v", "citationItems" : [ { "id" : "ITEM-1", "itemData" : { "ISSN" : "12396095", "abstract" : "The coefficient of thermal expansion in the radial direction for wet fresh wood was determined for two coniferous species Pinus sylvestris and Picea abies and three broad-leaved species Acer platanoides, Betula pendula and Alms ", "author" : [ { "dropping-particle" : "", "family" : "Sevanto", "given" : "Sanna", "non-dropping-particle" : "", "parse-names" : false, "suffix" : "" }, { "dropping-particle" : "", "family" : "H\u00f6ltt\u00e4", "given" : "Teemu", "non-dropping-particle" : "", "parse-names" : false, "suffix" : "" }, { "dropping-particle" : "", "family" : "Hirsikko", "given" : "Anne", "non-dropping-particle" : "", "parse-names" : false, "suffix" : "" }, { "dropping-particle" : "", "family" : "Vesala", "given" : "Timo", "non-dropping-particle" : "", "parse-names" : false, "suffix" : "" }, { "dropping-particle" : "", "family" : "Nikinmaa", "given" : "Eero", "non-dropping-particle" : "", "parse-names" : false, "suffix" : "" } ], "container-title" : "Boreal Environment Research", "id" : "ITEM-1", "issue" : "5", "issued" : { "date-parts" : [ [ "2005" ] ] }, "page" : "437-445", "title" : "Determination of thermal expansion of green wood and the accuracy of tree stem diameter variation measurements", "type" : "article-journal", "volume" : "10" }, "uris" : [ "http://www.mendeley.com/documents/?uuid=06246012-3d23-48b8-b3c3-7d9dd3c013ef" ] } ], "mendeley" : { "formattedCitation" : "[2]", "plainTextFormattedCitation" : "[2]", "previouslyFormattedCitation" : "[2]" }, "properties" : { "formattedCitation" : "{\\rtf (Sevanto {\\i{}et al.}, 2005b)}", "noteIndex" : 0, "plainCitation" : "(Sevanto et al., 2005b)" }, "schema" : "https://github.com/citation-style-language/schema/raw/master/csl-citation.json" }</w:instrText>
      </w:r>
      <w:r w:rsidRPr="00EA43CA">
        <w:rPr>
          <w:rFonts w:ascii="Times New Roman" w:hAnsi="Times New Roman" w:cs="Times New Roman"/>
          <w:sz w:val="24"/>
          <w:szCs w:val="24"/>
        </w:rPr>
        <w:fldChar w:fldCharType="separate"/>
      </w:r>
      <w:r w:rsidR="00870C3C" w:rsidRPr="00EA43CA">
        <w:rPr>
          <w:rFonts w:ascii="Times New Roman" w:hAnsi="Times New Roman" w:cs="Times New Roman"/>
          <w:noProof/>
          <w:sz w:val="24"/>
          <w:szCs w:val="24"/>
        </w:rPr>
        <w:t>[2]</w:t>
      </w:r>
      <w:r w:rsidRPr="00EA43CA">
        <w:rPr>
          <w:rFonts w:ascii="Times New Roman" w:hAnsi="Times New Roman" w:cs="Times New Roman"/>
          <w:sz w:val="24"/>
          <w:szCs w:val="24"/>
        </w:rPr>
        <w:fldChar w:fldCharType="end"/>
      </w:r>
      <w:r w:rsidRPr="00EA43CA">
        <w:rPr>
          <w:rFonts w:ascii="Times New Roman" w:hAnsi="Times New Roman" w:cs="Times New Roman"/>
          <w:sz w:val="24"/>
          <w:szCs w:val="24"/>
        </w:rPr>
        <w:t xml:space="preserve">, friction between the band and the tree, and thermal inertia of the tree and band (so </w:t>
      </w:r>
      <w:r w:rsidR="00462799"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="00462799"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band</w:t>
      </w:r>
      <w:r w:rsidRPr="00EA43CA">
        <w:rPr>
          <w:rFonts w:ascii="Times New Roman" w:hAnsi="Times New Roman" w:cs="Times New Roman"/>
          <w:sz w:val="24"/>
          <w:szCs w:val="24"/>
        </w:rPr>
        <w:t xml:space="preserve"> ≠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air</w:t>
      </w:r>
      <w:r w:rsidRPr="00EA43CA">
        <w:rPr>
          <w:rFonts w:ascii="Times New Roman" w:hAnsi="Times New Roman" w:cs="Times New Roman"/>
          <w:sz w:val="24"/>
          <w:szCs w:val="24"/>
        </w:rPr>
        <w:t>). A simple correction that fails to account for these factors could overcorrect for temperature. To determine whether the TreeHuggers could show a signal of daily shrinkage attributable to thermal expansion of the steel banding, we conducted a simple experiment to observe the temperature response of bands tensioned around a cylindrical object with a lower thermal expansion coefficient, less friction, and lower thermal inertia than a tree. Specifically, we installed ADBs on two cylindrical glass vases with d</w:t>
      </w:r>
      <w:r w:rsidR="00462799">
        <w:rPr>
          <w:rFonts w:ascii="Times New Roman" w:hAnsi="Times New Roman" w:cs="Times New Roman"/>
          <w:sz w:val="24"/>
          <w:szCs w:val="24"/>
        </w:rPr>
        <w:t>iameters of 20 cm and 40 cm</w:t>
      </w:r>
      <w:r w:rsidRPr="00EA43CA">
        <w:rPr>
          <w:rFonts w:ascii="Times New Roman" w:hAnsi="Times New Roman" w:cs="Times New Roman"/>
          <w:sz w:val="24"/>
          <w:szCs w:val="24"/>
        </w:rPr>
        <w:t xml:space="preserve"> in an open garage on the SCBI campus, protected from sun flecks but subject to thermal variation. This experiment wa</w:t>
      </w:r>
      <w:bookmarkStart w:id="1" w:name="_GoBack"/>
      <w:bookmarkEnd w:id="1"/>
      <w:r w:rsidRPr="00EA43CA">
        <w:rPr>
          <w:rFonts w:ascii="Times New Roman" w:hAnsi="Times New Roman" w:cs="Times New Roman"/>
          <w:sz w:val="24"/>
          <w:szCs w:val="24"/>
        </w:rPr>
        <w:t>s run from July 01-15, 2015. Since glass vases had no consistent pattern in ∆</w:t>
      </w:r>
      <w:r w:rsidRPr="00EA43CA">
        <w:rPr>
          <w:rFonts w:ascii="Times New Roman" w:hAnsi="Times New Roman" w:cs="Times New Roman"/>
          <w:i/>
          <w:sz w:val="24"/>
          <w:szCs w:val="24"/>
        </w:rPr>
        <w:t>c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EA43CA">
        <w:rPr>
          <w:rFonts w:ascii="Times New Roman" w:hAnsi="Times New Roman" w:cs="Times New Roman"/>
          <w:sz w:val="24"/>
          <w:szCs w:val="24"/>
        </w:rPr>
        <w:t xml:space="preserve"> in relation to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band</w:t>
      </w:r>
      <w:r w:rsidRPr="00EA43CA">
        <w:rPr>
          <w:rFonts w:ascii="Times New Roman" w:hAnsi="Times New Roman" w:cs="Times New Roman"/>
          <w:sz w:val="24"/>
          <w:szCs w:val="24"/>
        </w:rPr>
        <w:t xml:space="preserve"> (see Table 3 in main paper), we concluded that it would not be appropriate to </w:t>
      </w:r>
      <w:r w:rsidRPr="0081450F">
        <w:rPr>
          <w:rFonts w:ascii="Times New Roman" w:hAnsi="Times New Roman" w:cs="Times New Roman"/>
          <w:sz w:val="24"/>
          <w:szCs w:val="24"/>
        </w:rPr>
        <w:t xml:space="preserve">apply a thermal correction to the dendrometer band readings.  </w:t>
      </w:r>
    </w:p>
    <w:p w14:paraId="627C654F" w14:textId="77777777" w:rsidR="0081450F" w:rsidRPr="0081450F" w:rsidRDefault="0081450F" w:rsidP="00AD3F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5EE468" w14:textId="77777777" w:rsidR="0081450F" w:rsidRPr="0081450F" w:rsidRDefault="0081450F" w:rsidP="0081450F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81450F">
        <w:rPr>
          <w:rFonts w:ascii="Times New Roman" w:hAnsi="Times New Roman" w:cs="Times New Roman"/>
          <w:sz w:val="24"/>
          <w:szCs w:val="24"/>
        </w:rPr>
        <w:fldChar w:fldCharType="begin"/>
      </w:r>
      <w:r w:rsidRPr="0081450F">
        <w:rPr>
          <w:rFonts w:ascii="Times New Roman" w:hAnsi="Times New Roman" w:cs="Times New Roman"/>
          <w:sz w:val="24"/>
          <w:szCs w:val="24"/>
        </w:rPr>
        <w:instrText xml:space="preserve"> ADDIN ZOTERO_BIBL {"custom":[]} CSL_BIBLIOGRAPHY </w:instrText>
      </w:r>
      <w:r w:rsidRPr="0081450F">
        <w:rPr>
          <w:rFonts w:ascii="Times New Roman" w:hAnsi="Times New Roman" w:cs="Times New Roman"/>
          <w:sz w:val="24"/>
          <w:szCs w:val="24"/>
        </w:rPr>
        <w:fldChar w:fldCharType="separate"/>
      </w:r>
      <w:r w:rsidRPr="0081450F">
        <w:rPr>
          <w:rFonts w:ascii="Times New Roman" w:hAnsi="Times New Roman" w:cs="Times New Roman"/>
          <w:sz w:val="24"/>
          <w:szCs w:val="24"/>
        </w:rPr>
        <w:t xml:space="preserve">1. </w:t>
      </w:r>
      <w:r w:rsidRPr="0081450F">
        <w:rPr>
          <w:rFonts w:ascii="Times New Roman" w:hAnsi="Times New Roman" w:cs="Times New Roman"/>
          <w:sz w:val="24"/>
          <w:szCs w:val="24"/>
        </w:rPr>
        <w:tab/>
        <w:t xml:space="preserve">Wang J, Sammis TW. New automatic band and point dendrometers for measuring stem diameter growth. 2008; 1–20. </w:t>
      </w:r>
    </w:p>
    <w:p w14:paraId="17EB68D4" w14:textId="2812C180" w:rsidR="005576C6" w:rsidRDefault="0081450F" w:rsidP="00D418E4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81450F">
        <w:rPr>
          <w:rFonts w:ascii="Times New Roman" w:hAnsi="Times New Roman" w:cs="Times New Roman"/>
          <w:sz w:val="24"/>
          <w:szCs w:val="24"/>
        </w:rPr>
        <w:t xml:space="preserve">2. </w:t>
      </w:r>
      <w:r w:rsidRPr="0081450F">
        <w:rPr>
          <w:rFonts w:ascii="Times New Roman" w:hAnsi="Times New Roman" w:cs="Times New Roman"/>
          <w:sz w:val="24"/>
          <w:szCs w:val="24"/>
        </w:rPr>
        <w:tab/>
        <w:t xml:space="preserve">Sevanto S, Hölttä T, Hirsikko A, Vesala T, Nikinmaa E. Determination of thermal expansion of green wood and the accuracy of tree stem diameter variation measurements. Boreal Environ Res. 2005;10: 437–445. </w:t>
      </w:r>
      <w:r w:rsidRPr="0081450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576C6" w:rsidSect="00D418E4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BFD4" w14:textId="77777777" w:rsidR="000E44D5" w:rsidRDefault="000E44D5" w:rsidP="00143080">
      <w:pPr>
        <w:spacing w:after="0" w:line="240" w:lineRule="auto"/>
      </w:pPr>
      <w:r>
        <w:separator/>
      </w:r>
    </w:p>
  </w:endnote>
  <w:endnote w:type="continuationSeparator" w:id="0">
    <w:p w14:paraId="1EEBFBFB" w14:textId="77777777" w:rsidR="000E44D5" w:rsidRDefault="000E44D5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F2B" w14:textId="77777777" w:rsidR="00AB67FD" w:rsidRDefault="00AB67FD" w:rsidP="00F96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A3EA6" w14:textId="77777777" w:rsidR="00AB67FD" w:rsidRDefault="00AB6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352D" w14:textId="77777777" w:rsidR="00AB67FD" w:rsidRDefault="00AB67FD" w:rsidP="00D239B1">
    <w:pPr>
      <w:pBdr>
        <w:bottom w:val="single" w:sz="12" w:space="1" w:color="auto"/>
      </w:pBd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</w:p>
  <w:p w14:paraId="561AE712" w14:textId="4D57E287" w:rsidR="00AB67FD" w:rsidRDefault="00AB67FD" w:rsidP="00D239B1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b/>
        <w:sz w:val="20"/>
        <w:szCs w:val="24"/>
      </w:rPr>
      <w:t>Tree circumference dynamics over short time scales using automated dendrometer bands in four forests</w:t>
    </w:r>
  </w:p>
  <w:p w14:paraId="55CBB562" w14:textId="77777777" w:rsidR="00AB67FD" w:rsidRPr="00C75C36" w:rsidRDefault="00AB67FD" w:rsidP="00956422">
    <w:pPr>
      <w:pStyle w:val="Footer"/>
      <w:framePr w:wrap="around" w:vAnchor="text" w:hAnchor="page" w:x="5761" w:y="60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75C3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33399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BBBDA58" w14:textId="31A1775B" w:rsidR="00AB67FD" w:rsidRPr="00FC1D41" w:rsidRDefault="00AB67FD" w:rsidP="00FC1D41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sz w:val="20"/>
        <w:szCs w:val="24"/>
      </w:rPr>
      <w:t>Valentine Herrmann, Sean M. McMahon, Matteo Detto, James A. Lutz, Stuart J. Davies, Chia-Hao Chang-Yang,</w:t>
    </w:r>
    <w:r w:rsidRPr="004B5A8C">
      <w:rPr>
        <w:rFonts w:ascii="Times New Roman" w:hAnsi="Times New Roman" w:cs="Times New Roman"/>
        <w:sz w:val="20"/>
        <w:szCs w:val="24"/>
        <w:vertAlign w:val="superscript"/>
      </w:rPr>
      <w:t xml:space="preserve"> </w:t>
    </w:r>
    <w:r w:rsidRPr="004B5A8C">
      <w:rPr>
        <w:rFonts w:ascii="Times New Roman" w:hAnsi="Times New Roman" w:cs="Times New Roman"/>
        <w:sz w:val="20"/>
        <w:szCs w:val="24"/>
      </w:rPr>
      <w:t>Kristina J. Anderson-Teixeira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535C" w14:textId="7758A596" w:rsidR="00AB67FD" w:rsidRDefault="00AB67FD" w:rsidP="004B5A8C">
    <w:pPr>
      <w:pBdr>
        <w:bottom w:val="single" w:sz="12" w:space="1" w:color="auto"/>
      </w:pBd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</w:p>
  <w:p w14:paraId="1DA9CD75" w14:textId="585CB355" w:rsidR="00AB67FD" w:rsidRDefault="00AB67FD" w:rsidP="004B5A8C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b/>
        <w:sz w:val="20"/>
        <w:szCs w:val="24"/>
      </w:rPr>
      <w:t>Tree circumference dynamics over short time scales using automated dendrometer bands in four forests</w:t>
    </w:r>
  </w:p>
  <w:p w14:paraId="1B924415" w14:textId="163BC53E" w:rsidR="00AB67FD" w:rsidRPr="004B5A8C" w:rsidRDefault="00AB67FD" w:rsidP="004B5A8C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sz w:val="20"/>
        <w:szCs w:val="24"/>
      </w:rPr>
      <w:t>Valentine Herrmann, Sean M. McMahon, Matteo Detto, James A. Lutz, Stuart J. Davies, Chia-Hao Chang-Yang,</w:t>
    </w:r>
    <w:r w:rsidRPr="004B5A8C">
      <w:rPr>
        <w:rFonts w:ascii="Times New Roman" w:hAnsi="Times New Roman" w:cs="Times New Roman"/>
        <w:sz w:val="20"/>
        <w:szCs w:val="24"/>
        <w:vertAlign w:val="superscript"/>
      </w:rPr>
      <w:t xml:space="preserve"> </w:t>
    </w:r>
    <w:r w:rsidRPr="004B5A8C">
      <w:rPr>
        <w:rFonts w:ascii="Times New Roman" w:hAnsi="Times New Roman" w:cs="Times New Roman"/>
        <w:sz w:val="20"/>
        <w:szCs w:val="24"/>
      </w:rPr>
      <w:t>Kristina J. Anderson-Teixeira</w:t>
    </w:r>
  </w:p>
  <w:p w14:paraId="672B3DC0" w14:textId="77777777" w:rsidR="00AB67FD" w:rsidRDefault="00AB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F4B3B" w14:textId="77777777" w:rsidR="000E44D5" w:rsidRDefault="000E44D5" w:rsidP="00143080">
      <w:pPr>
        <w:spacing w:after="0" w:line="240" w:lineRule="auto"/>
      </w:pPr>
      <w:r>
        <w:separator/>
      </w:r>
    </w:p>
  </w:footnote>
  <w:footnote w:type="continuationSeparator" w:id="0">
    <w:p w14:paraId="46CAD313" w14:textId="77777777" w:rsidR="000E44D5" w:rsidRDefault="000E44D5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BA"/>
    <w:multiLevelType w:val="hybridMultilevel"/>
    <w:tmpl w:val="6018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7F8"/>
    <w:multiLevelType w:val="hybridMultilevel"/>
    <w:tmpl w:val="8D3EFBB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6"/>
    <w:rsid w:val="00004AC8"/>
    <w:rsid w:val="00022815"/>
    <w:rsid w:val="00025CE2"/>
    <w:rsid w:val="00031711"/>
    <w:rsid w:val="00070673"/>
    <w:rsid w:val="00073191"/>
    <w:rsid w:val="00084F12"/>
    <w:rsid w:val="000C6639"/>
    <w:rsid w:val="000D4693"/>
    <w:rsid w:val="000E1454"/>
    <w:rsid w:val="000E44D5"/>
    <w:rsid w:val="00143080"/>
    <w:rsid w:val="0019590C"/>
    <w:rsid w:val="001C47A2"/>
    <w:rsid w:val="001D4DD1"/>
    <w:rsid w:val="001E10F1"/>
    <w:rsid w:val="001E6000"/>
    <w:rsid w:val="001E6450"/>
    <w:rsid w:val="001F4DA2"/>
    <w:rsid w:val="001F7997"/>
    <w:rsid w:val="002437F1"/>
    <w:rsid w:val="00253081"/>
    <w:rsid w:val="00282DD6"/>
    <w:rsid w:val="002B49F5"/>
    <w:rsid w:val="002B573A"/>
    <w:rsid w:val="002C3763"/>
    <w:rsid w:val="003135DB"/>
    <w:rsid w:val="00324C0B"/>
    <w:rsid w:val="0035277B"/>
    <w:rsid w:val="00363961"/>
    <w:rsid w:val="00367A91"/>
    <w:rsid w:val="00370F3E"/>
    <w:rsid w:val="00406BF5"/>
    <w:rsid w:val="00454BD6"/>
    <w:rsid w:val="00462799"/>
    <w:rsid w:val="00463A74"/>
    <w:rsid w:val="004959DF"/>
    <w:rsid w:val="004B45F6"/>
    <w:rsid w:val="004B4B33"/>
    <w:rsid w:val="004B5A8C"/>
    <w:rsid w:val="005124DE"/>
    <w:rsid w:val="00512DDF"/>
    <w:rsid w:val="0053129A"/>
    <w:rsid w:val="00535D56"/>
    <w:rsid w:val="00546B99"/>
    <w:rsid w:val="005576C6"/>
    <w:rsid w:val="00573CF5"/>
    <w:rsid w:val="00574B8B"/>
    <w:rsid w:val="0058775D"/>
    <w:rsid w:val="005912F5"/>
    <w:rsid w:val="005A33AA"/>
    <w:rsid w:val="005C4069"/>
    <w:rsid w:val="005C7107"/>
    <w:rsid w:val="005D0A78"/>
    <w:rsid w:val="005D38C2"/>
    <w:rsid w:val="005E53FE"/>
    <w:rsid w:val="005F04EB"/>
    <w:rsid w:val="005F4341"/>
    <w:rsid w:val="005F47D7"/>
    <w:rsid w:val="00665A42"/>
    <w:rsid w:val="00681C18"/>
    <w:rsid w:val="006C0534"/>
    <w:rsid w:val="006F119F"/>
    <w:rsid w:val="00711AAE"/>
    <w:rsid w:val="0072035A"/>
    <w:rsid w:val="00745A88"/>
    <w:rsid w:val="00751509"/>
    <w:rsid w:val="00756FEF"/>
    <w:rsid w:val="007615AE"/>
    <w:rsid w:val="007A21A9"/>
    <w:rsid w:val="007C1941"/>
    <w:rsid w:val="007F01FA"/>
    <w:rsid w:val="008110A9"/>
    <w:rsid w:val="0081450F"/>
    <w:rsid w:val="00833399"/>
    <w:rsid w:val="00840355"/>
    <w:rsid w:val="008513CC"/>
    <w:rsid w:val="00870C3C"/>
    <w:rsid w:val="00883436"/>
    <w:rsid w:val="00893E98"/>
    <w:rsid w:val="008B6E4C"/>
    <w:rsid w:val="008C0B52"/>
    <w:rsid w:val="008E6EF8"/>
    <w:rsid w:val="00956422"/>
    <w:rsid w:val="00982E18"/>
    <w:rsid w:val="0098388D"/>
    <w:rsid w:val="00986A7E"/>
    <w:rsid w:val="00994CB1"/>
    <w:rsid w:val="009A1D93"/>
    <w:rsid w:val="009C38F8"/>
    <w:rsid w:val="009E15B3"/>
    <w:rsid w:val="00A302D7"/>
    <w:rsid w:val="00A32B39"/>
    <w:rsid w:val="00A33783"/>
    <w:rsid w:val="00A73F84"/>
    <w:rsid w:val="00A75DF3"/>
    <w:rsid w:val="00A84527"/>
    <w:rsid w:val="00A8589F"/>
    <w:rsid w:val="00AA64FE"/>
    <w:rsid w:val="00AB1A4D"/>
    <w:rsid w:val="00AB38CF"/>
    <w:rsid w:val="00AB67FD"/>
    <w:rsid w:val="00AD16A6"/>
    <w:rsid w:val="00AD3FCE"/>
    <w:rsid w:val="00AF61E5"/>
    <w:rsid w:val="00B0053C"/>
    <w:rsid w:val="00B3230D"/>
    <w:rsid w:val="00B55ABC"/>
    <w:rsid w:val="00B87236"/>
    <w:rsid w:val="00B90721"/>
    <w:rsid w:val="00B92FCF"/>
    <w:rsid w:val="00BA6B6D"/>
    <w:rsid w:val="00BC4DFF"/>
    <w:rsid w:val="00BF4516"/>
    <w:rsid w:val="00BF5324"/>
    <w:rsid w:val="00C055A5"/>
    <w:rsid w:val="00C222BA"/>
    <w:rsid w:val="00C419ED"/>
    <w:rsid w:val="00C55BB0"/>
    <w:rsid w:val="00C74043"/>
    <w:rsid w:val="00C75C36"/>
    <w:rsid w:val="00C92592"/>
    <w:rsid w:val="00CA328B"/>
    <w:rsid w:val="00CD04BC"/>
    <w:rsid w:val="00D06D2D"/>
    <w:rsid w:val="00D11912"/>
    <w:rsid w:val="00D17FA6"/>
    <w:rsid w:val="00D224F2"/>
    <w:rsid w:val="00D239B1"/>
    <w:rsid w:val="00D418E4"/>
    <w:rsid w:val="00D84354"/>
    <w:rsid w:val="00DB5225"/>
    <w:rsid w:val="00DE21D2"/>
    <w:rsid w:val="00DE5100"/>
    <w:rsid w:val="00E01944"/>
    <w:rsid w:val="00E32375"/>
    <w:rsid w:val="00E3592A"/>
    <w:rsid w:val="00E71A0A"/>
    <w:rsid w:val="00E87078"/>
    <w:rsid w:val="00EA2248"/>
    <w:rsid w:val="00EA43CA"/>
    <w:rsid w:val="00EC04EB"/>
    <w:rsid w:val="00ED7B71"/>
    <w:rsid w:val="00F234B9"/>
    <w:rsid w:val="00F32FAB"/>
    <w:rsid w:val="00F42E2E"/>
    <w:rsid w:val="00F47605"/>
    <w:rsid w:val="00F966D7"/>
    <w:rsid w:val="00FA2CF2"/>
    <w:rsid w:val="00FC1D41"/>
    <w:rsid w:val="00FD75FF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6BEB"/>
  <w15:docId w15:val="{29666A49-B937-43F7-97C6-7563D32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A9"/>
    <w:pPr>
      <w:spacing w:after="240" w:line="480" w:lineRule="auto"/>
      <w:ind w:firstLine="360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8CF"/>
    <w:pPr>
      <w:spacing w:before="140" w:line="240" w:lineRule="auto"/>
      <w:ind w:firstLine="0"/>
      <w:jc w:val="left"/>
      <w:outlineLvl w:val="0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CF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1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2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72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3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36"/>
    <w:rPr>
      <w:rFonts w:ascii="Segoe UI" w:eastAsiaTheme="minorEastAsia" w:hAnsi="Segoe UI" w:cs="Segoe UI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5D38C2"/>
    <w:pPr>
      <w:spacing w:before="180" w:after="180" w:line="240" w:lineRule="auto"/>
      <w:ind w:firstLine="0"/>
      <w:jc w:val="left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C2"/>
    <w:rPr>
      <w:rFonts w:eastAsiaTheme="minorEastAsia"/>
    </w:rPr>
  </w:style>
  <w:style w:type="table" w:customStyle="1" w:styleId="ListTable1Light1">
    <w:name w:val="List Table 1 Light1"/>
    <w:basedOn w:val="TableNormal"/>
    <w:uiPriority w:val="46"/>
    <w:rsid w:val="00313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0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0721"/>
    <w:pPr>
      <w:spacing w:after="200"/>
    </w:pPr>
    <w:rPr>
      <w:rFonts w:ascii="Cambria" w:hAnsi="Cambria"/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9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F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2FAB"/>
    <w:pPr>
      <w:spacing w:after="0" w:line="240" w:lineRule="auto"/>
      <w:ind w:firstLine="360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1F7997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F7997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1F7997"/>
    <w:pPr>
      <w:spacing w:after="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1F7997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997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997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997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997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997"/>
    <w:pPr>
      <w:spacing w:after="0"/>
      <w:ind w:left="1760"/>
      <w:jc w:val="left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3F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F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43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8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43080"/>
  </w:style>
  <w:style w:type="paragraph" w:styleId="Header">
    <w:name w:val="header"/>
    <w:basedOn w:val="Normal"/>
    <w:link w:val="HeaderChar"/>
    <w:uiPriority w:val="99"/>
    <w:unhideWhenUsed/>
    <w:rsid w:val="00F9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D7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81450F"/>
    <w:pPr>
      <w:tabs>
        <w:tab w:val="left" w:pos="380"/>
      </w:tabs>
      <w:spacing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B835-9158-408F-8DCC-6253CE1E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Valentine</dc:creator>
  <cp:keywords/>
  <dc:description/>
  <cp:lastModifiedBy>Herrmann, Valentine</cp:lastModifiedBy>
  <cp:revision>5</cp:revision>
  <dcterms:created xsi:type="dcterms:W3CDTF">2016-09-19T14:10:00Z</dcterms:created>
  <dcterms:modified xsi:type="dcterms:W3CDTF">2016-12-13T20:17:00Z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valentine.h@hotmail.fr@www.mendeley.com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http://www.zotero.org/styles/forest-ecology-and-management</vt:lpwstr>
  </property>
  <property fmtid="{D5CDD505-2E9C-101B-9397-08002B2CF9AE}" pid="14" name="Mendeley Recent Style Name 4_1">
    <vt:lpwstr>Forest Ecology and Management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http://www.zotero.org/styles/oecologia</vt:lpwstr>
  </property>
  <property fmtid="{D5CDD505-2E9C-101B-9397-08002B2CF9AE}" pid="22" name="Mendeley Recent Style Name 8_1">
    <vt:lpwstr>Oecologia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  <property fmtid="{D5CDD505-2E9C-101B-9397-08002B2CF9AE}" pid="25" name="ZOTERO_PREF_1">
    <vt:lpwstr>&lt;data data-version="3" zotero-version="4.0.29.5"&gt;&lt;session id="CTdn24Iu"/&gt;&lt;style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26" name="ZOTERO_PREF_2">
    <vt:lpwstr>="true"/&gt;&lt;pref name="automaticJournalAbbreviations" value="true"/&gt;&lt;pref name="noteType" value=""/&gt;&lt;/prefs&gt;&lt;/data&gt;</vt:lpwstr>
  </property>
</Properties>
</file>