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8C" w:rsidRPr="00255D8C" w:rsidRDefault="00255D8C" w:rsidP="00255D8C">
      <w:pPr>
        <w:jc w:val="both"/>
        <w:rPr>
          <w:b/>
          <w:lang w:val="en-US"/>
        </w:rPr>
      </w:pPr>
      <w:r w:rsidRPr="00255D8C">
        <w:rPr>
          <w:b/>
          <w:color w:val="000000"/>
          <w:lang w:val="en-GB"/>
        </w:rPr>
        <w:t xml:space="preserve">S2 Text. </w:t>
      </w:r>
      <w:r w:rsidRPr="00A53F7B">
        <w:rPr>
          <w:b/>
          <w:lang w:val="en-US"/>
        </w:rPr>
        <w:t xml:space="preserve">The ICD-11 draft criteria of ‘Gender Incongruence of </w:t>
      </w:r>
      <w:r>
        <w:rPr>
          <w:b/>
          <w:lang w:val="en-US"/>
        </w:rPr>
        <w:t xml:space="preserve">Childhood </w:t>
      </w:r>
      <w:bookmarkStart w:id="0" w:name="_GoBack"/>
      <w:bookmarkEnd w:id="0"/>
      <w:r w:rsidRPr="00A53F7B">
        <w:rPr>
          <w:b/>
          <w:lang w:val="en-US"/>
        </w:rPr>
        <w:t>of the WGSDSH criteria used in this study.</w:t>
      </w:r>
    </w:p>
    <w:p w:rsidR="00255D8C" w:rsidRPr="009C5677" w:rsidRDefault="00255D8C" w:rsidP="00255D8C">
      <w:pPr>
        <w:jc w:val="both"/>
        <w:rPr>
          <w:color w:val="000000"/>
          <w:sz w:val="22"/>
          <w:szCs w:val="22"/>
          <w:lang w:val="en-GB"/>
        </w:rPr>
      </w:pPr>
      <w:r w:rsidRPr="009C5677">
        <w:rPr>
          <w:color w:val="000000"/>
          <w:sz w:val="22"/>
          <w:szCs w:val="22"/>
          <w:lang w:val="en-GB"/>
        </w:rPr>
        <w:t xml:space="preserve"> </w:t>
      </w:r>
    </w:p>
    <w:p w:rsidR="00255D8C" w:rsidRPr="009C5677" w:rsidRDefault="00255D8C" w:rsidP="00255D8C">
      <w:pPr>
        <w:tabs>
          <w:tab w:val="left" w:pos="567"/>
        </w:tabs>
        <w:jc w:val="both"/>
        <w:rPr>
          <w:rFonts w:eastAsia="SimSun"/>
          <w:b/>
          <w:bCs/>
          <w:sz w:val="22"/>
          <w:szCs w:val="22"/>
          <w:lang w:val="en-GB" w:eastAsia="en-US"/>
        </w:rPr>
      </w:pPr>
      <w:r w:rsidRPr="009C5677">
        <w:rPr>
          <w:rFonts w:eastAsia="SimSun"/>
          <w:b/>
          <w:bCs/>
          <w:sz w:val="22"/>
          <w:szCs w:val="22"/>
          <w:lang w:val="en-GB" w:eastAsia="en-US"/>
        </w:rPr>
        <w:t>Definition:</w:t>
      </w:r>
    </w:p>
    <w:p w:rsidR="00255D8C" w:rsidRPr="009C5677" w:rsidRDefault="00255D8C" w:rsidP="00255D8C">
      <w:pPr>
        <w:tabs>
          <w:tab w:val="left" w:pos="567"/>
        </w:tabs>
        <w:jc w:val="both"/>
        <w:rPr>
          <w:sz w:val="22"/>
          <w:szCs w:val="22"/>
          <w:lang w:val="en-GB" w:eastAsia="en-US"/>
        </w:rPr>
      </w:pPr>
      <w:r w:rsidRPr="009C5677">
        <w:rPr>
          <w:sz w:val="22"/>
          <w:szCs w:val="22"/>
          <w:lang w:val="en-GB" w:eastAsia="en-US"/>
        </w:rPr>
        <w:t>Gender Incongruence of Childhood is characterized by a marked incongruence between an individual’s experienced/expressed gender and the assigned sex in pre-pubertal children</w:t>
      </w:r>
      <w:r w:rsidRPr="009C5677">
        <w:rPr>
          <w:rFonts w:eastAsia="MS Minngs"/>
          <w:sz w:val="22"/>
          <w:szCs w:val="22"/>
          <w:lang w:val="en-GB" w:eastAsia="ja-JP"/>
        </w:rPr>
        <w:t xml:space="preserve">. </w:t>
      </w:r>
    </w:p>
    <w:p w:rsidR="00255D8C" w:rsidRPr="009C5677" w:rsidRDefault="00255D8C" w:rsidP="00255D8C">
      <w:pPr>
        <w:tabs>
          <w:tab w:val="left" w:pos="567"/>
        </w:tabs>
        <w:jc w:val="both"/>
        <w:rPr>
          <w:rFonts w:eastAsia="SimSun"/>
          <w:b/>
          <w:bCs/>
          <w:sz w:val="22"/>
          <w:szCs w:val="22"/>
          <w:lang w:val="en-GB" w:eastAsia="en-US"/>
        </w:rPr>
      </w:pPr>
    </w:p>
    <w:p w:rsidR="00255D8C" w:rsidRPr="009C5677" w:rsidRDefault="00255D8C" w:rsidP="00255D8C">
      <w:pPr>
        <w:tabs>
          <w:tab w:val="left" w:pos="567"/>
        </w:tabs>
        <w:jc w:val="both"/>
        <w:rPr>
          <w:rFonts w:eastAsia="SimSun"/>
          <w:b/>
          <w:bCs/>
          <w:sz w:val="22"/>
          <w:szCs w:val="22"/>
          <w:lang w:val="en-GB" w:eastAsia="en-US"/>
        </w:rPr>
      </w:pPr>
      <w:r>
        <w:rPr>
          <w:rFonts w:eastAsia="SimSun"/>
          <w:b/>
          <w:bCs/>
          <w:sz w:val="22"/>
          <w:szCs w:val="22"/>
          <w:lang w:val="en-GB" w:eastAsia="en-US"/>
        </w:rPr>
        <w:t>Essential (Required) Features:</w:t>
      </w:r>
    </w:p>
    <w:p w:rsidR="00255D8C" w:rsidRPr="009C5677" w:rsidRDefault="00255D8C" w:rsidP="00255D8C">
      <w:pPr>
        <w:numPr>
          <w:ilvl w:val="0"/>
          <w:numId w:val="1"/>
        </w:numPr>
        <w:ind w:left="357" w:hanging="357"/>
        <w:jc w:val="both"/>
        <w:rPr>
          <w:iCs/>
          <w:sz w:val="22"/>
          <w:szCs w:val="22"/>
          <w:lang w:val="en-GB" w:eastAsia="en-US"/>
        </w:rPr>
      </w:pPr>
      <w:r w:rsidRPr="009C5677">
        <w:rPr>
          <w:sz w:val="22"/>
          <w:szCs w:val="22"/>
          <w:lang w:val="en-GB" w:eastAsia="en-US"/>
        </w:rPr>
        <w:t>In pre-pubertal children, a marked incongruence between the child’s experienced/expressed gender and the child’s assigned sex as manifested by all of the following indicators:</w:t>
      </w:r>
    </w:p>
    <w:p w:rsidR="00255D8C" w:rsidRPr="009C5677" w:rsidRDefault="00255D8C" w:rsidP="00255D8C">
      <w:pPr>
        <w:numPr>
          <w:ilvl w:val="0"/>
          <w:numId w:val="2"/>
        </w:numPr>
        <w:ind w:left="714" w:hanging="357"/>
        <w:jc w:val="both"/>
        <w:rPr>
          <w:iCs/>
          <w:sz w:val="22"/>
          <w:szCs w:val="22"/>
          <w:lang w:val="en-GB" w:eastAsia="en-US"/>
        </w:rPr>
      </w:pPr>
      <w:r w:rsidRPr="009C5677">
        <w:rPr>
          <w:iCs/>
          <w:sz w:val="22"/>
          <w:szCs w:val="22"/>
          <w:lang w:val="en-GB" w:eastAsia="en-US"/>
        </w:rPr>
        <w:t>A strong desire on the child’s part to be a different gender than the assigned sex, or insistence that he or she is a gender</w:t>
      </w:r>
      <w:r w:rsidRPr="009C5677">
        <w:rPr>
          <w:sz w:val="22"/>
          <w:szCs w:val="22"/>
          <w:lang w:val="en-GB" w:eastAsia="en-US"/>
        </w:rPr>
        <w:t xml:space="preserve"> different from the assigned gender</w:t>
      </w:r>
      <w:r w:rsidRPr="009C5677">
        <w:rPr>
          <w:iCs/>
          <w:sz w:val="22"/>
          <w:szCs w:val="22"/>
          <w:lang w:val="en-GB" w:eastAsia="en-US"/>
        </w:rPr>
        <w:t>.</w:t>
      </w:r>
    </w:p>
    <w:p w:rsidR="00255D8C" w:rsidRPr="009C5677" w:rsidRDefault="00255D8C" w:rsidP="00255D8C">
      <w:pPr>
        <w:numPr>
          <w:ilvl w:val="0"/>
          <w:numId w:val="2"/>
        </w:numPr>
        <w:ind w:left="714" w:hanging="357"/>
        <w:jc w:val="both"/>
        <w:rPr>
          <w:iCs/>
          <w:sz w:val="22"/>
          <w:szCs w:val="22"/>
          <w:lang w:val="en-GB" w:eastAsia="en-US"/>
        </w:rPr>
      </w:pPr>
      <w:r w:rsidRPr="009C5677">
        <w:rPr>
          <w:iCs/>
          <w:sz w:val="22"/>
          <w:szCs w:val="22"/>
          <w:lang w:val="en-GB" w:eastAsia="en-US"/>
        </w:rPr>
        <w:t>A strong dislike on the child’s part of his or her sexual anatomy or anticipated secondary sex characteristics and/or a strong desire for the primary and/or anticipated secondary sex characteristics that match the experienced gender. For example, a child assigned at birth as a boy says he wants to be rid of his penis or a child assigned at birth as a girl says she does not want to develop breasts when she grows up.</w:t>
      </w:r>
    </w:p>
    <w:p w:rsidR="00255D8C" w:rsidRPr="009C5677" w:rsidRDefault="00255D8C" w:rsidP="00255D8C">
      <w:pPr>
        <w:numPr>
          <w:ilvl w:val="0"/>
          <w:numId w:val="2"/>
        </w:numPr>
        <w:jc w:val="both"/>
        <w:rPr>
          <w:iCs/>
          <w:sz w:val="22"/>
          <w:szCs w:val="22"/>
          <w:lang w:val="en-GB" w:eastAsia="en-US"/>
        </w:rPr>
      </w:pPr>
      <w:r w:rsidRPr="009C5677">
        <w:rPr>
          <w:iCs/>
          <w:sz w:val="22"/>
          <w:szCs w:val="22"/>
          <w:lang w:val="en-GB" w:eastAsia="en-US"/>
        </w:rPr>
        <w:t>Make-believe or fantasy play, toys, games, or activities and playmates that are typical of their experienced rather than their assigned sex. Gender incongruent children assigned as boys reject typically “masculine” toys, games, and activities and avoid rough-and-tumble play. Gender incongruent children assigned as girls reject “feminine” toys, games, and activities and like rough-and tumble play.</w:t>
      </w:r>
    </w:p>
    <w:p w:rsidR="00255D8C" w:rsidRPr="009C5677" w:rsidRDefault="00255D8C" w:rsidP="00255D8C">
      <w:pPr>
        <w:ind w:left="357"/>
        <w:jc w:val="both"/>
        <w:rPr>
          <w:iCs/>
          <w:sz w:val="22"/>
          <w:szCs w:val="22"/>
          <w:lang w:val="en-GB" w:eastAsia="en-US"/>
        </w:rPr>
      </w:pPr>
    </w:p>
    <w:p w:rsidR="00255D8C" w:rsidRPr="009C5677" w:rsidRDefault="00255D8C" w:rsidP="00255D8C">
      <w:pPr>
        <w:numPr>
          <w:ilvl w:val="0"/>
          <w:numId w:val="1"/>
        </w:numPr>
        <w:ind w:left="357" w:hanging="357"/>
        <w:jc w:val="both"/>
        <w:rPr>
          <w:iCs/>
          <w:sz w:val="22"/>
          <w:szCs w:val="22"/>
          <w:lang w:val="en-GB" w:eastAsia="en-US"/>
        </w:rPr>
      </w:pPr>
      <w:r w:rsidRPr="009C5677">
        <w:rPr>
          <w:sz w:val="22"/>
          <w:szCs w:val="22"/>
          <w:lang w:val="en-GB" w:eastAsia="en-US"/>
        </w:rPr>
        <w:t xml:space="preserve">The incongruence must have persisted for about 2 years. </w:t>
      </w:r>
      <w:r w:rsidRPr="009C5677">
        <w:rPr>
          <w:iCs/>
          <w:sz w:val="22"/>
          <w:szCs w:val="22"/>
          <w:lang w:val="en-GB" w:eastAsia="en-US"/>
        </w:rPr>
        <w:t>Although some indications of Gender Incongruence may be present when children are as young as age 2, it is not possible to perform an accurate assessment of Gender Incongruence of Childhood at this age. The requirement of a duration of about 2 years implies that the diagnosis cannot be made before approximately age 5.</w:t>
      </w:r>
    </w:p>
    <w:p w:rsidR="00255D8C" w:rsidRPr="009C5677" w:rsidRDefault="00255D8C" w:rsidP="00255D8C">
      <w:pPr>
        <w:jc w:val="both"/>
        <w:rPr>
          <w:iCs/>
          <w:sz w:val="22"/>
          <w:szCs w:val="22"/>
          <w:lang w:val="en-GB" w:eastAsia="en-US"/>
        </w:rPr>
      </w:pPr>
    </w:p>
    <w:p w:rsidR="00255D8C" w:rsidRPr="009C5677" w:rsidRDefault="00255D8C" w:rsidP="00255D8C">
      <w:pPr>
        <w:numPr>
          <w:ilvl w:val="0"/>
          <w:numId w:val="1"/>
        </w:numPr>
        <w:pBdr>
          <w:bottom w:val="single" w:sz="4" w:space="1" w:color="auto"/>
        </w:pBdr>
        <w:ind w:left="357" w:hanging="357"/>
        <w:jc w:val="both"/>
        <w:rPr>
          <w:iCs/>
          <w:sz w:val="22"/>
          <w:szCs w:val="22"/>
          <w:lang w:val="en-GB" w:eastAsia="en-US"/>
        </w:rPr>
      </w:pPr>
      <w:r w:rsidRPr="009C5677">
        <w:rPr>
          <w:sz w:val="22"/>
          <w:szCs w:val="22"/>
          <w:lang w:val="en-GB" w:eastAsia="en-US"/>
        </w:rPr>
        <w:t xml:space="preserve">The diagnosis can only be assigned to children before puberty. </w:t>
      </w:r>
    </w:p>
    <w:p w:rsidR="000678B3" w:rsidRPr="00255D8C" w:rsidRDefault="00255D8C">
      <w:pPr>
        <w:rPr>
          <w:lang w:val="en-GB"/>
        </w:rPr>
      </w:pPr>
    </w:p>
    <w:sectPr w:rsidR="000678B3" w:rsidRPr="00255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98"/>
    <w:multiLevelType w:val="hybridMultilevel"/>
    <w:tmpl w:val="E9DA07A2"/>
    <w:lvl w:ilvl="0" w:tplc="04090003">
      <w:start w:val="1"/>
      <w:numFmt w:val="bullet"/>
      <w:lvlText w:val="o"/>
      <w:lvlJc w:val="left"/>
      <w:pPr>
        <w:ind w:left="717" w:hanging="360"/>
      </w:pPr>
      <w:rPr>
        <w:rFonts w:ascii="Courier New" w:hAnsi="Courier New" w:hint="default"/>
      </w:rPr>
    </w:lvl>
    <w:lvl w:ilvl="1" w:tplc="080A0019" w:tentative="1">
      <w:start w:val="1"/>
      <w:numFmt w:val="lowerLetter"/>
      <w:lvlText w:val="%2."/>
      <w:lvlJc w:val="left"/>
      <w:pPr>
        <w:ind w:left="2157" w:hanging="360"/>
      </w:pPr>
      <w:rPr>
        <w:rFonts w:cs="Times New Roman"/>
      </w:rPr>
    </w:lvl>
    <w:lvl w:ilvl="2" w:tplc="080A001B" w:tentative="1">
      <w:start w:val="1"/>
      <w:numFmt w:val="lowerRoman"/>
      <w:lvlText w:val="%3."/>
      <w:lvlJc w:val="right"/>
      <w:pPr>
        <w:ind w:left="2877" w:hanging="180"/>
      </w:pPr>
      <w:rPr>
        <w:rFonts w:cs="Times New Roman"/>
      </w:rPr>
    </w:lvl>
    <w:lvl w:ilvl="3" w:tplc="080A000F" w:tentative="1">
      <w:start w:val="1"/>
      <w:numFmt w:val="decimal"/>
      <w:lvlText w:val="%4."/>
      <w:lvlJc w:val="left"/>
      <w:pPr>
        <w:ind w:left="3597" w:hanging="360"/>
      </w:pPr>
      <w:rPr>
        <w:rFonts w:cs="Times New Roman"/>
      </w:rPr>
    </w:lvl>
    <w:lvl w:ilvl="4" w:tplc="080A0019" w:tentative="1">
      <w:start w:val="1"/>
      <w:numFmt w:val="lowerLetter"/>
      <w:lvlText w:val="%5."/>
      <w:lvlJc w:val="left"/>
      <w:pPr>
        <w:ind w:left="4317" w:hanging="360"/>
      </w:pPr>
      <w:rPr>
        <w:rFonts w:cs="Times New Roman"/>
      </w:rPr>
    </w:lvl>
    <w:lvl w:ilvl="5" w:tplc="080A001B" w:tentative="1">
      <w:start w:val="1"/>
      <w:numFmt w:val="lowerRoman"/>
      <w:lvlText w:val="%6."/>
      <w:lvlJc w:val="right"/>
      <w:pPr>
        <w:ind w:left="5037" w:hanging="180"/>
      </w:pPr>
      <w:rPr>
        <w:rFonts w:cs="Times New Roman"/>
      </w:rPr>
    </w:lvl>
    <w:lvl w:ilvl="6" w:tplc="080A000F" w:tentative="1">
      <w:start w:val="1"/>
      <w:numFmt w:val="decimal"/>
      <w:lvlText w:val="%7."/>
      <w:lvlJc w:val="left"/>
      <w:pPr>
        <w:ind w:left="5757" w:hanging="360"/>
      </w:pPr>
      <w:rPr>
        <w:rFonts w:cs="Times New Roman"/>
      </w:rPr>
    </w:lvl>
    <w:lvl w:ilvl="7" w:tplc="080A0019" w:tentative="1">
      <w:start w:val="1"/>
      <w:numFmt w:val="lowerLetter"/>
      <w:lvlText w:val="%8."/>
      <w:lvlJc w:val="left"/>
      <w:pPr>
        <w:ind w:left="6477" w:hanging="360"/>
      </w:pPr>
      <w:rPr>
        <w:rFonts w:cs="Times New Roman"/>
      </w:rPr>
    </w:lvl>
    <w:lvl w:ilvl="8" w:tplc="080A001B" w:tentative="1">
      <w:start w:val="1"/>
      <w:numFmt w:val="lowerRoman"/>
      <w:lvlText w:val="%9."/>
      <w:lvlJc w:val="right"/>
      <w:pPr>
        <w:ind w:left="7197" w:hanging="180"/>
      </w:pPr>
      <w:rPr>
        <w:rFonts w:cs="Times New Roman"/>
      </w:rPr>
    </w:lvl>
  </w:abstractNum>
  <w:abstractNum w:abstractNumId="1">
    <w:nsid w:val="49450F9C"/>
    <w:multiLevelType w:val="hybridMultilevel"/>
    <w:tmpl w:val="59A4463A"/>
    <w:lvl w:ilvl="0" w:tplc="04090001">
      <w:start w:val="1"/>
      <w:numFmt w:val="bullet"/>
      <w:lvlText w:val=""/>
      <w:lvlJc w:val="left"/>
      <w:pPr>
        <w:ind w:left="1294" w:hanging="360"/>
      </w:pPr>
      <w:rPr>
        <w:rFonts w:ascii="Symbol" w:hAnsi="Symbol" w:hint="default"/>
      </w:rPr>
    </w:lvl>
    <w:lvl w:ilvl="1" w:tplc="04090001">
      <w:start w:val="1"/>
      <w:numFmt w:val="bullet"/>
      <w:lvlText w:val=""/>
      <w:lvlJc w:val="left"/>
      <w:pPr>
        <w:ind w:left="1448" w:hanging="360"/>
      </w:pPr>
      <w:rPr>
        <w:rFonts w:ascii="Symbol" w:hAnsi="Symbol" w:hint="default"/>
      </w:rPr>
    </w:lvl>
    <w:lvl w:ilvl="2" w:tplc="04130005">
      <w:start w:val="1"/>
      <w:numFmt w:val="bullet"/>
      <w:lvlText w:val=""/>
      <w:lvlJc w:val="left"/>
      <w:pPr>
        <w:ind w:left="2168" w:hanging="360"/>
      </w:pPr>
      <w:rPr>
        <w:rFonts w:ascii="Wingdings" w:hAnsi="Wingdings" w:hint="default"/>
      </w:rPr>
    </w:lvl>
    <w:lvl w:ilvl="3" w:tplc="04130001" w:tentative="1">
      <w:start w:val="1"/>
      <w:numFmt w:val="bullet"/>
      <w:lvlText w:val=""/>
      <w:lvlJc w:val="left"/>
      <w:pPr>
        <w:ind w:left="2888" w:hanging="360"/>
      </w:pPr>
      <w:rPr>
        <w:rFonts w:ascii="Symbol" w:hAnsi="Symbol" w:hint="default"/>
      </w:rPr>
    </w:lvl>
    <w:lvl w:ilvl="4" w:tplc="04130003" w:tentative="1">
      <w:start w:val="1"/>
      <w:numFmt w:val="bullet"/>
      <w:lvlText w:val="o"/>
      <w:lvlJc w:val="left"/>
      <w:pPr>
        <w:ind w:left="3608" w:hanging="360"/>
      </w:pPr>
      <w:rPr>
        <w:rFonts w:ascii="Courier New" w:hAnsi="Courier New" w:hint="default"/>
      </w:rPr>
    </w:lvl>
    <w:lvl w:ilvl="5" w:tplc="04130005" w:tentative="1">
      <w:start w:val="1"/>
      <w:numFmt w:val="bullet"/>
      <w:lvlText w:val=""/>
      <w:lvlJc w:val="left"/>
      <w:pPr>
        <w:ind w:left="4328" w:hanging="360"/>
      </w:pPr>
      <w:rPr>
        <w:rFonts w:ascii="Wingdings" w:hAnsi="Wingdings" w:hint="default"/>
      </w:rPr>
    </w:lvl>
    <w:lvl w:ilvl="6" w:tplc="04130001" w:tentative="1">
      <w:start w:val="1"/>
      <w:numFmt w:val="bullet"/>
      <w:lvlText w:val=""/>
      <w:lvlJc w:val="left"/>
      <w:pPr>
        <w:ind w:left="5048" w:hanging="360"/>
      </w:pPr>
      <w:rPr>
        <w:rFonts w:ascii="Symbol" w:hAnsi="Symbol" w:hint="default"/>
      </w:rPr>
    </w:lvl>
    <w:lvl w:ilvl="7" w:tplc="04130003" w:tentative="1">
      <w:start w:val="1"/>
      <w:numFmt w:val="bullet"/>
      <w:lvlText w:val="o"/>
      <w:lvlJc w:val="left"/>
      <w:pPr>
        <w:ind w:left="5768" w:hanging="360"/>
      </w:pPr>
      <w:rPr>
        <w:rFonts w:ascii="Courier New" w:hAnsi="Courier New" w:hint="default"/>
      </w:rPr>
    </w:lvl>
    <w:lvl w:ilvl="8" w:tplc="04130005" w:tentative="1">
      <w:start w:val="1"/>
      <w:numFmt w:val="bullet"/>
      <w:lvlText w:val=""/>
      <w:lvlJc w:val="left"/>
      <w:pPr>
        <w:ind w:left="64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8C"/>
    <w:rsid w:val="00012607"/>
    <w:rsid w:val="00255D8C"/>
    <w:rsid w:val="00A27ACD"/>
    <w:rsid w:val="00C34B64"/>
    <w:rsid w:val="00E61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D8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D8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CA5D78FA</Template>
  <TotalTime>2</TotalTime>
  <Pages>1</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Titia</dc:creator>
  <cp:lastModifiedBy>Beek, Titia</cp:lastModifiedBy>
  <cp:revision>1</cp:revision>
  <dcterms:created xsi:type="dcterms:W3CDTF">2016-09-15T12:10:00Z</dcterms:created>
  <dcterms:modified xsi:type="dcterms:W3CDTF">2016-09-15T12:12:00Z</dcterms:modified>
</cp:coreProperties>
</file>