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DF7BB" w14:textId="0929DC68" w:rsidR="000A50CB" w:rsidRPr="004C342B" w:rsidRDefault="00380663" w:rsidP="000A50CB">
      <w:pPr>
        <w:jc w:val="left"/>
        <w:rPr>
          <w:rFonts w:ascii="Helvetica" w:hAnsi="Helvetica"/>
          <w:b/>
          <w:szCs w:val="22"/>
        </w:rPr>
      </w:pPr>
      <w:r>
        <w:rPr>
          <w:rFonts w:ascii="Helvetica" w:hAnsi="Helvetica"/>
          <w:b/>
          <w:szCs w:val="22"/>
        </w:rPr>
        <w:t>S4</w:t>
      </w:r>
      <w:r w:rsidR="000A50CB" w:rsidRPr="004C342B">
        <w:rPr>
          <w:rFonts w:ascii="Helvetica" w:hAnsi="Helvetica"/>
          <w:b/>
          <w:szCs w:val="22"/>
        </w:rPr>
        <w:t xml:space="preserve"> </w:t>
      </w:r>
      <w:bookmarkStart w:id="0" w:name="_GoBack"/>
      <w:bookmarkEnd w:id="0"/>
      <w:r w:rsidR="000A50CB" w:rsidRPr="004C342B">
        <w:rPr>
          <w:rFonts w:ascii="Helvetica" w:hAnsi="Helvetica"/>
          <w:b/>
          <w:szCs w:val="22"/>
        </w:rPr>
        <w:t xml:space="preserve">Table </w:t>
      </w:r>
      <w:r w:rsidR="000A50CB" w:rsidRPr="00DC08B4">
        <w:rPr>
          <w:rFonts w:ascii="Helvetica" w:hAnsi="Helvetica"/>
          <w:b/>
          <w:szCs w:val="22"/>
        </w:rPr>
        <w:t>- Inclusion/Exclusion Criteria</w:t>
      </w:r>
    </w:p>
    <w:tbl>
      <w:tblPr>
        <w:tblStyle w:val="LightShading"/>
        <w:tblpPr w:leftFromText="180" w:rightFromText="180" w:vertAnchor="page" w:horzAnchor="margin" w:tblpY="1971"/>
        <w:tblW w:w="5238" w:type="pct"/>
        <w:tblLayout w:type="fixed"/>
        <w:tblLook w:val="04A0" w:firstRow="1" w:lastRow="0" w:firstColumn="1" w:lastColumn="0" w:noHBand="0" w:noVBand="1"/>
      </w:tblPr>
      <w:tblGrid>
        <w:gridCol w:w="1103"/>
        <w:gridCol w:w="1844"/>
        <w:gridCol w:w="992"/>
        <w:gridCol w:w="1134"/>
        <w:gridCol w:w="1277"/>
        <w:gridCol w:w="2126"/>
        <w:gridCol w:w="2976"/>
        <w:gridCol w:w="3397"/>
      </w:tblGrid>
      <w:tr w:rsidR="000A50CB" w:rsidRPr="00AD3926" w14:paraId="0270ABA2" w14:textId="77777777" w:rsidTr="000F70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0175CEC7" w14:textId="77777777" w:rsidR="000A50CB" w:rsidRPr="004C342B" w:rsidRDefault="000A50CB" w:rsidP="00DC08B4">
            <w:pPr>
              <w:spacing w:line="240" w:lineRule="auto"/>
              <w:jc w:val="center"/>
              <w:rPr>
                <w:rFonts w:eastAsia="Times New Roman" w:cs="Calibri"/>
                <w:bCs w:val="0"/>
                <w:color w:val="auto"/>
                <w:sz w:val="18"/>
                <w:szCs w:val="18"/>
              </w:rPr>
            </w:pPr>
          </w:p>
        </w:tc>
        <w:tc>
          <w:tcPr>
            <w:tcW w:w="621" w:type="pct"/>
            <w:vAlign w:val="center"/>
            <w:hideMark/>
          </w:tcPr>
          <w:p w14:paraId="1F8A6177" w14:textId="77777777" w:rsidR="000A50CB" w:rsidRPr="004C342B" w:rsidRDefault="000A50CB" w:rsidP="00DC08B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18"/>
              </w:rPr>
            </w:pPr>
            <w:r w:rsidRPr="00AD3926">
              <w:rPr>
                <w:rFonts w:eastAsia="Times New Roman" w:cs="Calibri"/>
                <w:sz w:val="20"/>
                <w:szCs w:val="18"/>
              </w:rPr>
              <w:t>Type of paper</w:t>
            </w:r>
          </w:p>
        </w:tc>
        <w:tc>
          <w:tcPr>
            <w:tcW w:w="334" w:type="pct"/>
            <w:vAlign w:val="center"/>
            <w:hideMark/>
          </w:tcPr>
          <w:p w14:paraId="1AC9DC6A" w14:textId="77777777" w:rsidR="000A50CB" w:rsidRPr="004C342B" w:rsidRDefault="000A50CB" w:rsidP="00DC08B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18"/>
              </w:rPr>
            </w:pPr>
            <w:r w:rsidRPr="00AD3926">
              <w:rPr>
                <w:rFonts w:eastAsia="Times New Roman" w:cs="Calibri"/>
                <w:sz w:val="20"/>
                <w:szCs w:val="18"/>
              </w:rPr>
              <w:t>Country</w:t>
            </w:r>
          </w:p>
        </w:tc>
        <w:tc>
          <w:tcPr>
            <w:tcW w:w="382" w:type="pct"/>
            <w:vAlign w:val="center"/>
            <w:hideMark/>
          </w:tcPr>
          <w:p w14:paraId="4D1986BE" w14:textId="77777777" w:rsidR="000A50CB" w:rsidRPr="004C342B" w:rsidRDefault="000A50CB" w:rsidP="00DC08B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18"/>
              </w:rPr>
            </w:pPr>
            <w:r w:rsidRPr="00AD3926">
              <w:rPr>
                <w:rFonts w:eastAsia="Times New Roman" w:cs="Calibri"/>
                <w:sz w:val="20"/>
                <w:szCs w:val="18"/>
              </w:rPr>
              <w:t>Language</w:t>
            </w:r>
          </w:p>
        </w:tc>
        <w:tc>
          <w:tcPr>
            <w:tcW w:w="430" w:type="pct"/>
            <w:vAlign w:val="center"/>
            <w:hideMark/>
          </w:tcPr>
          <w:p w14:paraId="6752FA01" w14:textId="77777777" w:rsidR="000A50CB" w:rsidRPr="004C342B" w:rsidRDefault="000A50CB" w:rsidP="00DC08B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18"/>
              </w:rPr>
            </w:pPr>
            <w:r w:rsidRPr="00AD3926">
              <w:rPr>
                <w:rFonts w:eastAsia="Times New Roman" w:cs="Calibri"/>
                <w:sz w:val="20"/>
                <w:szCs w:val="18"/>
              </w:rPr>
              <w:t>Study design</w:t>
            </w:r>
          </w:p>
        </w:tc>
        <w:tc>
          <w:tcPr>
            <w:tcW w:w="716" w:type="pct"/>
            <w:vAlign w:val="center"/>
            <w:hideMark/>
          </w:tcPr>
          <w:p w14:paraId="754DEBC0" w14:textId="77777777" w:rsidR="000A50CB" w:rsidRPr="004C342B" w:rsidRDefault="000A50CB" w:rsidP="00DC08B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18"/>
              </w:rPr>
            </w:pPr>
            <w:r w:rsidRPr="00AD3926">
              <w:rPr>
                <w:rFonts w:eastAsia="Times New Roman" w:cs="Calibri"/>
                <w:sz w:val="20"/>
                <w:szCs w:val="18"/>
              </w:rPr>
              <w:t>Setting</w:t>
            </w:r>
          </w:p>
        </w:tc>
        <w:tc>
          <w:tcPr>
            <w:tcW w:w="1002" w:type="pct"/>
            <w:vAlign w:val="center"/>
          </w:tcPr>
          <w:p w14:paraId="495A1A76" w14:textId="77777777" w:rsidR="000A50CB" w:rsidRPr="004C342B" w:rsidRDefault="000A50CB" w:rsidP="00DC08B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18"/>
              </w:rPr>
            </w:pPr>
            <w:r w:rsidRPr="00AD3926">
              <w:rPr>
                <w:rFonts w:eastAsia="Times New Roman" w:cs="Calibri"/>
                <w:sz w:val="20"/>
                <w:szCs w:val="18"/>
              </w:rPr>
              <w:t>Population</w:t>
            </w:r>
          </w:p>
        </w:tc>
        <w:tc>
          <w:tcPr>
            <w:tcW w:w="1144" w:type="pct"/>
            <w:vAlign w:val="center"/>
          </w:tcPr>
          <w:p w14:paraId="20B6087F" w14:textId="77777777" w:rsidR="000A50CB" w:rsidRPr="004C342B" w:rsidRDefault="000A50CB" w:rsidP="00DC08B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18"/>
              </w:rPr>
            </w:pPr>
            <w:r w:rsidRPr="00AD3926">
              <w:rPr>
                <w:rFonts w:eastAsia="Times New Roman" w:cs="Calibri"/>
                <w:sz w:val="20"/>
                <w:szCs w:val="18"/>
              </w:rPr>
              <w:t>Outcome</w:t>
            </w:r>
          </w:p>
        </w:tc>
      </w:tr>
      <w:tr w:rsidR="000A50CB" w:rsidRPr="00AD3926" w14:paraId="0434C825" w14:textId="77777777" w:rsidTr="000F706D">
        <w:trPr>
          <w:cnfStyle w:val="000000100000" w:firstRow="0" w:lastRow="0" w:firstColumn="0" w:lastColumn="0" w:oddVBand="0" w:evenVBand="0" w:oddHBand="1" w:evenHBand="0" w:firstRowFirstColumn="0" w:firstRowLastColumn="0" w:lastRowFirstColumn="0" w:lastRowLastColumn="0"/>
          <w:trHeight w:val="4767"/>
        </w:trPr>
        <w:tc>
          <w:tcPr>
            <w:cnfStyle w:val="001000000000" w:firstRow="0" w:lastRow="0" w:firstColumn="1" w:lastColumn="0" w:oddVBand="0" w:evenVBand="0" w:oddHBand="0" w:evenHBand="0" w:firstRowFirstColumn="0" w:firstRowLastColumn="0" w:lastRowFirstColumn="0" w:lastRowLastColumn="0"/>
            <w:tcW w:w="371" w:type="pct"/>
            <w:tcBorders>
              <w:top w:val="single" w:sz="8" w:space="0" w:color="000000" w:themeColor="text1"/>
              <w:bottom w:val="nil"/>
            </w:tcBorders>
            <w:shd w:val="clear" w:color="auto" w:fill="auto"/>
            <w:vAlign w:val="center"/>
            <w:hideMark/>
          </w:tcPr>
          <w:p w14:paraId="377521DF" w14:textId="77777777" w:rsidR="000A50CB" w:rsidRPr="000F706D" w:rsidRDefault="000A50CB" w:rsidP="00DC08B4">
            <w:pPr>
              <w:spacing w:line="240" w:lineRule="auto"/>
              <w:jc w:val="left"/>
              <w:rPr>
                <w:rFonts w:eastAsia="Times New Roman" w:cs="Calibri"/>
                <w:bCs w:val="0"/>
                <w:color w:val="auto"/>
                <w:sz w:val="18"/>
                <w:szCs w:val="18"/>
              </w:rPr>
            </w:pPr>
            <w:r w:rsidRPr="000F706D">
              <w:rPr>
                <w:rFonts w:eastAsia="Times New Roman" w:cs="Calibri"/>
                <w:sz w:val="18"/>
                <w:szCs w:val="18"/>
              </w:rPr>
              <w:t>Inclusion</w:t>
            </w:r>
          </w:p>
          <w:p w14:paraId="23A12E73" w14:textId="77777777" w:rsidR="000A50CB" w:rsidRPr="004C342B" w:rsidRDefault="000A50CB" w:rsidP="00DC08B4">
            <w:pPr>
              <w:spacing w:line="240" w:lineRule="auto"/>
              <w:jc w:val="left"/>
              <w:rPr>
                <w:rFonts w:eastAsia="Times New Roman" w:cs="Calibri"/>
                <w:bCs w:val="0"/>
                <w:color w:val="auto"/>
                <w:sz w:val="20"/>
                <w:szCs w:val="18"/>
              </w:rPr>
            </w:pPr>
            <w:r w:rsidRPr="000F706D">
              <w:rPr>
                <w:rFonts w:eastAsia="Times New Roman" w:cs="Calibri"/>
                <w:sz w:val="18"/>
                <w:szCs w:val="18"/>
              </w:rPr>
              <w:t>criteria</w:t>
            </w:r>
          </w:p>
        </w:tc>
        <w:tc>
          <w:tcPr>
            <w:tcW w:w="621" w:type="pct"/>
            <w:tcBorders>
              <w:top w:val="single" w:sz="8" w:space="0" w:color="000000" w:themeColor="text1"/>
              <w:bottom w:val="nil"/>
            </w:tcBorders>
            <w:shd w:val="clear" w:color="auto" w:fill="auto"/>
            <w:vAlign w:val="center"/>
            <w:hideMark/>
          </w:tcPr>
          <w:p w14:paraId="797FB25D"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 xml:space="preserve">-Empirical data </w:t>
            </w:r>
          </w:p>
          <w:p w14:paraId="32EA89A7"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 xml:space="preserve">-Case studies </w:t>
            </w:r>
          </w:p>
        </w:tc>
        <w:tc>
          <w:tcPr>
            <w:tcW w:w="334" w:type="pct"/>
            <w:tcBorders>
              <w:top w:val="single" w:sz="8" w:space="0" w:color="000000" w:themeColor="text1"/>
              <w:bottom w:val="nil"/>
            </w:tcBorders>
            <w:shd w:val="clear" w:color="auto" w:fill="auto"/>
            <w:vAlign w:val="center"/>
            <w:hideMark/>
          </w:tcPr>
          <w:p w14:paraId="6AAFACD9"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Any</w:t>
            </w:r>
          </w:p>
        </w:tc>
        <w:tc>
          <w:tcPr>
            <w:tcW w:w="382" w:type="pct"/>
            <w:tcBorders>
              <w:top w:val="single" w:sz="8" w:space="0" w:color="000000" w:themeColor="text1"/>
              <w:bottom w:val="nil"/>
            </w:tcBorders>
            <w:shd w:val="clear" w:color="auto" w:fill="auto"/>
            <w:vAlign w:val="center"/>
            <w:hideMark/>
          </w:tcPr>
          <w:p w14:paraId="7086F139"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Any</w:t>
            </w:r>
          </w:p>
        </w:tc>
        <w:tc>
          <w:tcPr>
            <w:tcW w:w="430" w:type="pct"/>
            <w:tcBorders>
              <w:top w:val="single" w:sz="8" w:space="0" w:color="000000" w:themeColor="text1"/>
              <w:bottom w:val="nil"/>
            </w:tcBorders>
            <w:shd w:val="clear" w:color="auto" w:fill="auto"/>
            <w:vAlign w:val="center"/>
            <w:hideMark/>
          </w:tcPr>
          <w:p w14:paraId="03E1033C"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 xml:space="preserve">Any </w:t>
            </w:r>
          </w:p>
          <w:p w14:paraId="6A45BB15"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(e.g. qualitative, quantitative or mixed methods)</w:t>
            </w:r>
          </w:p>
        </w:tc>
        <w:tc>
          <w:tcPr>
            <w:tcW w:w="716" w:type="pct"/>
            <w:tcBorders>
              <w:top w:val="single" w:sz="8" w:space="0" w:color="000000" w:themeColor="text1"/>
              <w:bottom w:val="nil"/>
            </w:tcBorders>
            <w:shd w:val="clear" w:color="auto" w:fill="auto"/>
            <w:vAlign w:val="center"/>
            <w:hideMark/>
          </w:tcPr>
          <w:p w14:paraId="10270DDE"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 xml:space="preserve">Individuals’ homes or residences that house people but that do not have 24 hour provision of care </w:t>
            </w:r>
          </w:p>
          <w:p w14:paraId="454BAD14"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 xml:space="preserve">(e.g. a patient’s house, sheltered housing) </w:t>
            </w:r>
          </w:p>
        </w:tc>
        <w:tc>
          <w:tcPr>
            <w:tcW w:w="1002" w:type="pct"/>
            <w:tcBorders>
              <w:top w:val="single" w:sz="8" w:space="0" w:color="000000" w:themeColor="text1"/>
              <w:bottom w:val="nil"/>
            </w:tcBorders>
            <w:shd w:val="clear" w:color="auto" w:fill="auto"/>
            <w:vAlign w:val="center"/>
          </w:tcPr>
          <w:p w14:paraId="033BB149"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 xml:space="preserve">-Carers. Defined as ‘any person that provides care for and assists with the living of patients within the patient’s home’. </w:t>
            </w:r>
          </w:p>
          <w:p w14:paraId="240CE8E8"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-Includes formal and informal carers (e.g. district nurses, community matrons, and family members of the patient)</w:t>
            </w:r>
          </w:p>
        </w:tc>
        <w:tc>
          <w:tcPr>
            <w:tcW w:w="1144" w:type="pct"/>
            <w:tcBorders>
              <w:top w:val="single" w:sz="8" w:space="0" w:color="000000" w:themeColor="text1"/>
              <w:bottom w:val="nil"/>
            </w:tcBorders>
            <w:shd w:val="clear" w:color="auto" w:fill="auto"/>
            <w:vAlign w:val="center"/>
          </w:tcPr>
          <w:p w14:paraId="1E4FC648"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-Medication administration errors (MAEs) caused or prevented by carers</w:t>
            </w:r>
          </w:p>
          <w:p w14:paraId="757672E6"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-Where MAEs are present, we include the causative or preventative factors of MAEs by carers</w:t>
            </w:r>
          </w:p>
          <w:p w14:paraId="5C22CAFA"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 xml:space="preserve">-A MAE is defined as ‘any deviation between the medication as prescribed </w:t>
            </w:r>
            <w:r w:rsidRPr="00AD3926">
              <w:rPr>
                <w:rFonts w:eastAsia="Times New Roman" w:cs="Calibri"/>
                <w:i/>
                <w:sz w:val="18"/>
                <w:szCs w:val="18"/>
              </w:rPr>
              <w:t>or instructed</w:t>
            </w:r>
            <w:r w:rsidRPr="00AD3926">
              <w:rPr>
                <w:rFonts w:eastAsia="Times New Roman" w:cs="Calibri"/>
                <w:sz w:val="18"/>
                <w:szCs w:val="18"/>
              </w:rPr>
              <w:t xml:space="preserve"> and that administered’ (Barber et al, 2009)’ We have added the words “or instructed” into this definition to include administration deviating from bottle labels, doctor verbal instructions, accompanying patient held information </w:t>
            </w:r>
            <w:proofErr w:type="spellStart"/>
            <w:r w:rsidRPr="00AD3926">
              <w:rPr>
                <w:rFonts w:eastAsia="Times New Roman" w:cs="Calibri"/>
                <w:sz w:val="18"/>
                <w:szCs w:val="18"/>
              </w:rPr>
              <w:t>etc</w:t>
            </w:r>
            <w:proofErr w:type="spellEnd"/>
          </w:p>
          <w:p w14:paraId="3DD1C88A"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-This includes MAEs that result due to dispensing errors</w:t>
            </w:r>
          </w:p>
          <w:p w14:paraId="3407294E"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-We include MAEs that result due to over the counter (OTC) errors</w:t>
            </w:r>
          </w:p>
          <w:p w14:paraId="11C860A4" w14:textId="77777777" w:rsidR="000A50CB" w:rsidRPr="004C342B"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r w:rsidRPr="004C342B">
              <w:rPr>
                <w:rFonts w:eastAsia="Times New Roman" w:cs="Calibri"/>
                <w:color w:val="auto"/>
                <w:sz w:val="18"/>
                <w:szCs w:val="18"/>
              </w:rPr>
              <w:t xml:space="preserve">-Reported MAE is included as long as it refers to actual (not hypothetical) MAE. </w:t>
            </w:r>
          </w:p>
          <w:p w14:paraId="4F303C1C"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olor w:val="auto"/>
                <w:sz w:val="18"/>
                <w:szCs w:val="18"/>
              </w:rPr>
            </w:pPr>
            <w:r w:rsidRPr="004C342B">
              <w:rPr>
                <w:rFonts w:eastAsia="Times New Roman" w:cs="Calibri"/>
                <w:color w:val="auto"/>
                <w:sz w:val="18"/>
                <w:szCs w:val="18"/>
              </w:rPr>
              <w:t>-We include studies i</w:t>
            </w:r>
            <w:r w:rsidRPr="00AD3926">
              <w:rPr>
                <w:rFonts w:ascii="Calibri" w:hAnsi="Calibri"/>
                <w:sz w:val="18"/>
                <w:szCs w:val="18"/>
              </w:rPr>
              <w:t>f over 80% of the data presented were carer MAEs.</w:t>
            </w:r>
          </w:p>
          <w:p w14:paraId="087ED16C" w14:textId="77777777" w:rsidR="000A50CB" w:rsidRPr="00AD3926" w:rsidRDefault="000A50CB" w:rsidP="00DC08B4">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z w:val="18"/>
                <w:szCs w:val="18"/>
              </w:rPr>
            </w:pPr>
          </w:p>
        </w:tc>
      </w:tr>
      <w:tr w:rsidR="000A50CB" w:rsidRPr="00AD3926" w14:paraId="59BAF674" w14:textId="77777777" w:rsidTr="000F706D">
        <w:trPr>
          <w:trHeight w:val="2398"/>
        </w:trPr>
        <w:tc>
          <w:tcPr>
            <w:cnfStyle w:val="001000000000" w:firstRow="0" w:lastRow="0" w:firstColumn="1" w:lastColumn="0" w:oddVBand="0" w:evenVBand="0" w:oddHBand="0" w:evenHBand="0" w:firstRowFirstColumn="0" w:firstRowLastColumn="0" w:lastRowFirstColumn="0" w:lastRowLastColumn="0"/>
            <w:tcW w:w="371" w:type="pct"/>
            <w:tcBorders>
              <w:top w:val="nil"/>
            </w:tcBorders>
            <w:vAlign w:val="center"/>
            <w:hideMark/>
          </w:tcPr>
          <w:p w14:paraId="77EEF7D9" w14:textId="77777777" w:rsidR="000A50CB" w:rsidRPr="000F706D" w:rsidRDefault="000A50CB" w:rsidP="00DC08B4">
            <w:pPr>
              <w:spacing w:line="240" w:lineRule="auto"/>
              <w:jc w:val="left"/>
              <w:rPr>
                <w:rFonts w:eastAsia="Times New Roman" w:cs="Calibri"/>
                <w:bCs w:val="0"/>
                <w:color w:val="auto"/>
                <w:sz w:val="18"/>
                <w:szCs w:val="18"/>
              </w:rPr>
            </w:pPr>
            <w:r w:rsidRPr="000F706D">
              <w:rPr>
                <w:rFonts w:eastAsia="Times New Roman" w:cs="Calibri"/>
                <w:sz w:val="18"/>
                <w:szCs w:val="18"/>
              </w:rPr>
              <w:t>Exclusion</w:t>
            </w:r>
          </w:p>
          <w:p w14:paraId="25A739D1" w14:textId="77777777" w:rsidR="000A50CB" w:rsidRPr="004C342B" w:rsidRDefault="000A50CB" w:rsidP="00DC08B4">
            <w:pPr>
              <w:spacing w:line="240" w:lineRule="auto"/>
              <w:jc w:val="left"/>
              <w:rPr>
                <w:rFonts w:eastAsia="Times New Roman" w:cs="Calibri"/>
                <w:bCs w:val="0"/>
                <w:color w:val="auto"/>
                <w:sz w:val="20"/>
                <w:szCs w:val="18"/>
              </w:rPr>
            </w:pPr>
            <w:r w:rsidRPr="000F706D">
              <w:rPr>
                <w:rFonts w:eastAsia="Times New Roman" w:cs="Calibri"/>
                <w:sz w:val="18"/>
                <w:szCs w:val="18"/>
              </w:rPr>
              <w:t>criteria</w:t>
            </w:r>
          </w:p>
        </w:tc>
        <w:tc>
          <w:tcPr>
            <w:tcW w:w="621" w:type="pct"/>
            <w:tcBorders>
              <w:top w:val="nil"/>
            </w:tcBorders>
            <w:vAlign w:val="center"/>
            <w:hideMark/>
          </w:tcPr>
          <w:p w14:paraId="1B61D5AE"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-Commentary papers</w:t>
            </w:r>
          </w:p>
          <w:p w14:paraId="134F2405"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-Editorials</w:t>
            </w:r>
          </w:p>
          <w:p w14:paraId="5E2582F2"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-Books</w:t>
            </w:r>
          </w:p>
          <w:p w14:paraId="601D616B"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AD3926">
              <w:rPr>
                <w:rFonts w:cs="Calibri"/>
                <w:sz w:val="18"/>
                <w:szCs w:val="18"/>
              </w:rPr>
              <w:t>-Leaflets</w:t>
            </w:r>
          </w:p>
          <w:p w14:paraId="622F281A"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AD3926">
              <w:rPr>
                <w:rFonts w:cs="Calibri"/>
                <w:sz w:val="18"/>
                <w:szCs w:val="18"/>
              </w:rPr>
              <w:t>-Meeting notes</w:t>
            </w:r>
          </w:p>
          <w:p w14:paraId="46224C4E"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AD3926">
              <w:rPr>
                <w:rFonts w:cs="Calibri"/>
                <w:sz w:val="18"/>
                <w:szCs w:val="18"/>
              </w:rPr>
              <w:t>-Literature reviews</w:t>
            </w:r>
          </w:p>
          <w:p w14:paraId="2CD62487"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sidRPr="00AD3926">
              <w:rPr>
                <w:rFonts w:cs="Calibri"/>
                <w:sz w:val="18"/>
                <w:szCs w:val="18"/>
              </w:rPr>
              <w:t>-Single person case studies (i.e. articles on 1 or 2 single cases, rather than a study with multiple subjects)</w:t>
            </w:r>
          </w:p>
          <w:p w14:paraId="2E4420DE"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-Conference abstracts</w:t>
            </w:r>
          </w:p>
          <w:p w14:paraId="06ADA59D"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i/>
                <w:color w:val="auto"/>
                <w:sz w:val="18"/>
                <w:szCs w:val="18"/>
              </w:rPr>
            </w:pPr>
            <w:r w:rsidRPr="00AD3926">
              <w:rPr>
                <w:rFonts w:eastAsia="Times New Roman" w:cs="Calibri"/>
                <w:sz w:val="18"/>
                <w:szCs w:val="18"/>
              </w:rPr>
              <w:t>-Dissertations</w:t>
            </w:r>
          </w:p>
        </w:tc>
        <w:tc>
          <w:tcPr>
            <w:tcW w:w="334" w:type="pct"/>
            <w:tcBorders>
              <w:top w:val="nil"/>
            </w:tcBorders>
            <w:vAlign w:val="center"/>
            <w:hideMark/>
          </w:tcPr>
          <w:p w14:paraId="4EB73E05"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None</w:t>
            </w:r>
          </w:p>
        </w:tc>
        <w:tc>
          <w:tcPr>
            <w:tcW w:w="382" w:type="pct"/>
            <w:tcBorders>
              <w:top w:val="nil"/>
            </w:tcBorders>
            <w:vAlign w:val="center"/>
            <w:hideMark/>
          </w:tcPr>
          <w:p w14:paraId="66D31251"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None</w:t>
            </w:r>
          </w:p>
        </w:tc>
        <w:tc>
          <w:tcPr>
            <w:tcW w:w="430" w:type="pct"/>
            <w:tcBorders>
              <w:top w:val="nil"/>
            </w:tcBorders>
            <w:vAlign w:val="center"/>
            <w:hideMark/>
          </w:tcPr>
          <w:p w14:paraId="4A7298B9"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None</w:t>
            </w:r>
          </w:p>
        </w:tc>
        <w:tc>
          <w:tcPr>
            <w:tcW w:w="716" w:type="pct"/>
            <w:tcBorders>
              <w:top w:val="nil"/>
            </w:tcBorders>
            <w:vAlign w:val="center"/>
            <w:hideMark/>
          </w:tcPr>
          <w:p w14:paraId="2959CF3E"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 xml:space="preserve">Any homes that has 24 hour provision of care </w:t>
            </w:r>
          </w:p>
          <w:p w14:paraId="757055C9"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(e.g. care/nursing homes)</w:t>
            </w:r>
          </w:p>
        </w:tc>
        <w:tc>
          <w:tcPr>
            <w:tcW w:w="1002" w:type="pct"/>
            <w:tcBorders>
              <w:top w:val="nil"/>
            </w:tcBorders>
            <w:vAlign w:val="center"/>
          </w:tcPr>
          <w:p w14:paraId="7197FF2C"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 xml:space="preserve">-Healthcare professionals that do not assist with living in the home or who visit the patient’s home only to administer medication. </w:t>
            </w:r>
          </w:p>
          <w:p w14:paraId="6F251E43"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 xml:space="preserve">(e.g. GPs or community pharmacists). -Carers that do not assist with medication </w:t>
            </w:r>
          </w:p>
          <w:p w14:paraId="7E06E41A"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(e.g. social workers)</w:t>
            </w:r>
          </w:p>
        </w:tc>
        <w:tc>
          <w:tcPr>
            <w:tcW w:w="1144" w:type="pct"/>
            <w:tcBorders>
              <w:top w:val="nil"/>
            </w:tcBorders>
            <w:vAlign w:val="center"/>
          </w:tcPr>
          <w:p w14:paraId="6969ABB5"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 xml:space="preserve">-Other types of medication errors (e.g. prescribing or dispensing errors) </w:t>
            </w:r>
          </w:p>
          <w:p w14:paraId="15ED3F1C"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-MAEs that are not caused or prevented by carers</w:t>
            </w:r>
          </w:p>
          <w:p w14:paraId="499ACE6B"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-Nutrition/dietary enteral feeds</w:t>
            </w:r>
          </w:p>
          <w:p w14:paraId="52EDB005"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eastAsia="Times New Roman" w:cs="Calibri"/>
                <w:sz w:val="18"/>
                <w:szCs w:val="18"/>
              </w:rPr>
              <w:t>-Hypothetical/knowledge MAEs</w:t>
            </w:r>
          </w:p>
          <w:p w14:paraId="03867ECB" w14:textId="77777777" w:rsidR="000A50CB" w:rsidRPr="00AD3926" w:rsidRDefault="000A50CB" w:rsidP="00DC08B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Calibri"/>
                <w:color w:val="auto"/>
                <w:sz w:val="18"/>
                <w:szCs w:val="18"/>
              </w:rPr>
            </w:pPr>
            <w:r w:rsidRPr="00AD3926">
              <w:rPr>
                <w:rFonts w:ascii="Calibri" w:hAnsi="Calibri"/>
                <w:sz w:val="18"/>
                <w:szCs w:val="18"/>
              </w:rPr>
              <w:t>-Data for carer-caused MAEs are not separate from other data, e.g. from non-carer caused data or from other medication errors</w:t>
            </w:r>
          </w:p>
        </w:tc>
      </w:tr>
    </w:tbl>
    <w:p w14:paraId="748DAFA2" w14:textId="77777777" w:rsidR="003612A8" w:rsidRDefault="003612A8" w:rsidP="000F706D">
      <w:pPr>
        <w:jc w:val="left"/>
      </w:pPr>
    </w:p>
    <w:sectPr w:rsidR="003612A8" w:rsidSect="00F226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CB"/>
    <w:rsid w:val="000A50CB"/>
    <w:rsid w:val="000F706D"/>
    <w:rsid w:val="00175D91"/>
    <w:rsid w:val="003612A8"/>
    <w:rsid w:val="00380663"/>
    <w:rsid w:val="00F2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34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B"/>
    <w:pPr>
      <w:autoSpaceDE w:val="0"/>
      <w:autoSpaceDN w:val="0"/>
      <w:adjustRightInd w:val="0"/>
      <w:spacing w:line="360" w:lineRule="auto"/>
      <w:jc w:val="both"/>
    </w:pPr>
    <w:rPr>
      <w:rFonts w:eastAsia="Calibri" w:cs="Arial"/>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0C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A50CB"/>
    <w:rPr>
      <w:rFonts w:eastAsiaTheme="minorHAns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B"/>
    <w:pPr>
      <w:autoSpaceDE w:val="0"/>
      <w:autoSpaceDN w:val="0"/>
      <w:adjustRightInd w:val="0"/>
      <w:spacing w:line="360" w:lineRule="auto"/>
      <w:jc w:val="both"/>
    </w:pPr>
    <w:rPr>
      <w:rFonts w:eastAsia="Calibri" w:cs="Arial"/>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0C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A50CB"/>
    <w:rPr>
      <w:rFonts w:eastAsiaTheme="minorHAns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5634DD40</Template>
  <TotalTime>4</TotalTime>
  <Pages>2</Pages>
  <Words>336</Words>
  <Characters>1920</Characters>
  <Application>Microsoft Office Word</Application>
  <DocSecurity>0</DocSecurity>
  <Lines>16</Lines>
  <Paragraphs>4</Paragraphs>
  <ScaleCrop>false</ScaleCrop>
  <Company>London School of Economics &amp; Political Science</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London School of Economics and Political Science</cp:lastModifiedBy>
  <cp:revision>4</cp:revision>
  <dcterms:created xsi:type="dcterms:W3CDTF">2016-05-08T16:27:00Z</dcterms:created>
  <dcterms:modified xsi:type="dcterms:W3CDTF">2016-11-17T15:40:00Z</dcterms:modified>
</cp:coreProperties>
</file>