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8386C" w14:textId="77777777" w:rsidR="00F9289B" w:rsidRPr="00E204E2" w:rsidRDefault="00705926" w:rsidP="0006180F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E204E2">
        <w:rPr>
          <w:rFonts w:ascii="Times New Roman" w:hAnsi="Times New Roman" w:cs="Times New Roman"/>
          <w:b/>
          <w:sz w:val="32"/>
        </w:rPr>
        <w:t>Study protocol</w:t>
      </w:r>
    </w:p>
    <w:p w14:paraId="59E95E13" w14:textId="77777777" w:rsidR="00705926" w:rsidRPr="0006180F" w:rsidRDefault="00705926">
      <w:pPr>
        <w:rPr>
          <w:rFonts w:ascii="Times New Roman" w:hAnsi="Times New Roman" w:cs="Times New Roman"/>
        </w:rPr>
      </w:pPr>
    </w:p>
    <w:p w14:paraId="68CAECBF" w14:textId="77777777" w:rsidR="00705926" w:rsidRPr="0006180F" w:rsidRDefault="00705926">
      <w:pPr>
        <w:rPr>
          <w:rFonts w:ascii="Times New Roman" w:hAnsi="Times New Roman" w:cs="Times New Roman"/>
          <w:sz w:val="24"/>
        </w:rPr>
      </w:pPr>
      <w:r w:rsidRPr="0006180F">
        <w:rPr>
          <w:rFonts w:ascii="Times New Roman" w:hAnsi="Times New Roman" w:cs="Times New Roman"/>
          <w:b/>
          <w:i/>
          <w:sz w:val="24"/>
        </w:rPr>
        <w:t>Study title:</w:t>
      </w:r>
      <w:r w:rsidRPr="0006180F">
        <w:rPr>
          <w:rFonts w:ascii="Times New Roman" w:hAnsi="Times New Roman" w:cs="Times New Roman"/>
          <w:sz w:val="24"/>
        </w:rPr>
        <w:t xml:space="preserve"> Investigation of fixation behavior during standard automated </w:t>
      </w:r>
      <w:proofErr w:type="spellStart"/>
      <w:r w:rsidRPr="0006180F">
        <w:rPr>
          <w:rFonts w:ascii="Times New Roman" w:hAnsi="Times New Roman" w:cs="Times New Roman"/>
          <w:sz w:val="24"/>
        </w:rPr>
        <w:t>perimetry</w:t>
      </w:r>
      <w:proofErr w:type="spellEnd"/>
    </w:p>
    <w:p w14:paraId="4BE9402A" w14:textId="77777777" w:rsidR="00705926" w:rsidRPr="0006180F" w:rsidRDefault="00705926">
      <w:pPr>
        <w:rPr>
          <w:rFonts w:ascii="Times New Roman" w:hAnsi="Times New Roman" w:cs="Times New Roman"/>
          <w:sz w:val="24"/>
        </w:rPr>
      </w:pPr>
      <w:r w:rsidRPr="0006180F">
        <w:rPr>
          <w:rFonts w:ascii="Times New Roman" w:hAnsi="Times New Roman" w:cs="Times New Roman"/>
          <w:b/>
          <w:i/>
          <w:sz w:val="24"/>
        </w:rPr>
        <w:t>Applicant:</w:t>
      </w:r>
      <w:r w:rsidRPr="0006180F">
        <w:rPr>
          <w:rFonts w:ascii="Times New Roman" w:hAnsi="Times New Roman" w:cs="Times New Roman"/>
          <w:sz w:val="24"/>
        </w:rPr>
        <w:t xml:space="preserve"> Nobuyuki Shoji</w:t>
      </w:r>
    </w:p>
    <w:p w14:paraId="4E4F70DC" w14:textId="77777777" w:rsidR="00705926" w:rsidRPr="0006180F" w:rsidRDefault="00705926">
      <w:pPr>
        <w:rPr>
          <w:rFonts w:ascii="Times New Roman" w:hAnsi="Times New Roman" w:cs="Times New Roman"/>
          <w:sz w:val="24"/>
        </w:rPr>
      </w:pPr>
      <w:r w:rsidRPr="0006180F">
        <w:rPr>
          <w:rFonts w:ascii="Times New Roman" w:hAnsi="Times New Roman" w:cs="Times New Roman"/>
          <w:sz w:val="24"/>
        </w:rPr>
        <w:t xml:space="preserve">          Professor of Allied Health Sciences, </w:t>
      </w:r>
      <w:proofErr w:type="spellStart"/>
      <w:r w:rsidRPr="0006180F">
        <w:rPr>
          <w:rFonts w:ascii="Times New Roman" w:hAnsi="Times New Roman" w:cs="Times New Roman"/>
          <w:sz w:val="24"/>
        </w:rPr>
        <w:t>Kitasato</w:t>
      </w:r>
      <w:proofErr w:type="spellEnd"/>
      <w:r w:rsidRPr="0006180F">
        <w:rPr>
          <w:rFonts w:ascii="Times New Roman" w:hAnsi="Times New Roman" w:cs="Times New Roman"/>
          <w:sz w:val="24"/>
        </w:rPr>
        <w:t xml:space="preserve"> University</w:t>
      </w:r>
    </w:p>
    <w:p w14:paraId="58A98D73" w14:textId="77777777" w:rsidR="00705926" w:rsidRPr="0006180F" w:rsidRDefault="00705926" w:rsidP="00E948B0">
      <w:pPr>
        <w:ind w:left="2409" w:hangingChars="1000" w:hanging="2409"/>
        <w:rPr>
          <w:rFonts w:ascii="Times New Roman" w:hAnsi="Times New Roman" w:cs="Times New Roman"/>
          <w:sz w:val="24"/>
        </w:rPr>
      </w:pPr>
      <w:r w:rsidRPr="0006180F">
        <w:rPr>
          <w:rFonts w:ascii="Times New Roman" w:hAnsi="Times New Roman" w:cs="Times New Roman"/>
          <w:b/>
          <w:i/>
          <w:sz w:val="24"/>
        </w:rPr>
        <w:t>Research collaborator:</w:t>
      </w:r>
      <w:r w:rsidRPr="0006180F">
        <w:rPr>
          <w:rFonts w:ascii="Times New Roman" w:hAnsi="Times New Roman" w:cs="Times New Roman"/>
          <w:sz w:val="24"/>
        </w:rPr>
        <w:t xml:space="preserve"> Kazunori Hirasawa</w:t>
      </w:r>
      <w:r w:rsidR="0006180F">
        <w:rPr>
          <w:rFonts w:ascii="Times New Roman" w:hAnsi="Times New Roman" w:cs="Times New Roman"/>
          <w:sz w:val="24"/>
        </w:rPr>
        <w:t>,</w:t>
      </w:r>
      <w:r w:rsidR="0006180F">
        <w:rPr>
          <w:rFonts w:ascii="Times New Roman" w:hAnsi="Times New Roman" w:cs="Times New Roman" w:hint="eastAsia"/>
          <w:sz w:val="24"/>
        </w:rPr>
        <w:t xml:space="preserve"> </w:t>
      </w:r>
      <w:r w:rsidRPr="0006180F">
        <w:rPr>
          <w:rFonts w:ascii="Times New Roman" w:hAnsi="Times New Roman" w:cs="Times New Roman"/>
          <w:sz w:val="24"/>
        </w:rPr>
        <w:t>Kana Okano,</w:t>
      </w:r>
      <w:r w:rsidR="0006180F">
        <w:rPr>
          <w:rFonts w:ascii="Times New Roman" w:hAnsi="Times New Roman" w:cs="Times New Roman" w:hint="eastAsia"/>
          <w:sz w:val="24"/>
        </w:rPr>
        <w:t xml:space="preserve"> </w:t>
      </w:r>
      <w:proofErr w:type="spellStart"/>
      <w:r w:rsidR="00E948B0">
        <w:rPr>
          <w:rFonts w:ascii="Times New Roman" w:hAnsi="Times New Roman" w:cs="Times New Roman"/>
          <w:sz w:val="24"/>
        </w:rPr>
        <w:t>Risako</w:t>
      </w:r>
      <w:proofErr w:type="spellEnd"/>
      <w:r w:rsidR="00E948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48B0">
        <w:rPr>
          <w:rFonts w:ascii="Times New Roman" w:hAnsi="Times New Roman" w:cs="Times New Roman"/>
          <w:sz w:val="24"/>
        </w:rPr>
        <w:t>Koshiji</w:t>
      </w:r>
      <w:proofErr w:type="spellEnd"/>
      <w:r w:rsidR="00E948B0">
        <w:rPr>
          <w:rFonts w:ascii="Times New Roman" w:hAnsi="Times New Roman" w:cs="Times New Roman"/>
          <w:sz w:val="24"/>
        </w:rPr>
        <w:t>,</w:t>
      </w:r>
      <w:r w:rsidR="00E948B0">
        <w:rPr>
          <w:rFonts w:ascii="Times New Roman" w:hAnsi="Times New Roman" w:cs="Times New Roman" w:hint="eastAsia"/>
          <w:sz w:val="24"/>
        </w:rPr>
        <w:t xml:space="preserve"> and </w:t>
      </w:r>
      <w:proofErr w:type="spellStart"/>
      <w:r w:rsidRPr="0006180F">
        <w:rPr>
          <w:rFonts w:ascii="Times New Roman" w:hAnsi="Times New Roman" w:cs="Times New Roman"/>
          <w:sz w:val="24"/>
        </w:rPr>
        <w:t>Wakana</w:t>
      </w:r>
      <w:proofErr w:type="spellEnd"/>
      <w:r w:rsidRPr="0006180F">
        <w:rPr>
          <w:rFonts w:ascii="Times New Roman" w:hAnsi="Times New Roman" w:cs="Times New Roman"/>
          <w:sz w:val="24"/>
        </w:rPr>
        <w:t xml:space="preserve"> Funaki</w:t>
      </w:r>
    </w:p>
    <w:p w14:paraId="7BA45355" w14:textId="77777777" w:rsidR="00705926" w:rsidRPr="0006180F" w:rsidRDefault="00705926" w:rsidP="00705926">
      <w:pPr>
        <w:rPr>
          <w:rFonts w:ascii="Times New Roman" w:hAnsi="Times New Roman" w:cs="Times New Roman"/>
          <w:sz w:val="24"/>
        </w:rPr>
      </w:pPr>
      <w:r w:rsidRPr="0006180F">
        <w:rPr>
          <w:rFonts w:ascii="Times New Roman" w:hAnsi="Times New Roman" w:cs="Times New Roman"/>
          <w:b/>
          <w:i/>
          <w:sz w:val="24"/>
        </w:rPr>
        <w:t>Term of Study:</w:t>
      </w:r>
      <w:r w:rsidRPr="0006180F">
        <w:rPr>
          <w:rFonts w:ascii="Times New Roman" w:hAnsi="Times New Roman" w:cs="Times New Roman"/>
          <w:sz w:val="24"/>
        </w:rPr>
        <w:t xml:space="preserve"> Date of approval to March 31st 2019</w:t>
      </w:r>
    </w:p>
    <w:p w14:paraId="6A1DECEC" w14:textId="77777777" w:rsidR="001876E5" w:rsidRPr="0006180F" w:rsidRDefault="001876E5" w:rsidP="00705926">
      <w:pPr>
        <w:rPr>
          <w:rFonts w:ascii="Times New Roman" w:hAnsi="Times New Roman" w:cs="Times New Roman"/>
          <w:sz w:val="24"/>
        </w:rPr>
      </w:pPr>
      <w:r w:rsidRPr="0006180F">
        <w:rPr>
          <w:rFonts w:ascii="Times New Roman" w:hAnsi="Times New Roman" w:cs="Times New Roman"/>
          <w:b/>
          <w:i/>
          <w:sz w:val="24"/>
        </w:rPr>
        <w:t>Type of Study:</w:t>
      </w:r>
      <w:r w:rsidRPr="0006180F">
        <w:rPr>
          <w:rFonts w:ascii="Times New Roman" w:hAnsi="Times New Roman" w:cs="Times New Roman"/>
          <w:sz w:val="24"/>
        </w:rPr>
        <w:t xml:space="preserve"> non-intervention and non-invasion study</w:t>
      </w:r>
    </w:p>
    <w:p w14:paraId="1916FC1E" w14:textId="77777777" w:rsidR="001876E5" w:rsidRPr="0006180F" w:rsidRDefault="001876E5" w:rsidP="00705926">
      <w:pPr>
        <w:rPr>
          <w:rFonts w:ascii="Times New Roman" w:hAnsi="Times New Roman" w:cs="Times New Roman"/>
          <w:sz w:val="24"/>
        </w:rPr>
      </w:pPr>
      <w:r w:rsidRPr="0006180F">
        <w:rPr>
          <w:rFonts w:ascii="Times New Roman" w:hAnsi="Times New Roman" w:cs="Times New Roman"/>
          <w:b/>
          <w:i/>
          <w:sz w:val="24"/>
        </w:rPr>
        <w:t>Study location:</w:t>
      </w:r>
      <w:r w:rsidRPr="0006180F">
        <w:rPr>
          <w:rFonts w:ascii="Times New Roman" w:hAnsi="Times New Roman" w:cs="Times New Roman"/>
          <w:sz w:val="24"/>
        </w:rPr>
        <w:t xml:space="preserve"> A3 building at Allied Health Sciences</w:t>
      </w:r>
    </w:p>
    <w:p w14:paraId="21D2D155" w14:textId="77777777" w:rsidR="001876E5" w:rsidRPr="0006180F" w:rsidRDefault="001876E5" w:rsidP="00705926">
      <w:pPr>
        <w:rPr>
          <w:rFonts w:ascii="Times New Roman" w:hAnsi="Times New Roman" w:cs="Times New Roman"/>
          <w:sz w:val="24"/>
        </w:rPr>
      </w:pPr>
      <w:r w:rsidRPr="0006180F">
        <w:rPr>
          <w:rFonts w:ascii="Times New Roman" w:hAnsi="Times New Roman" w:cs="Times New Roman"/>
          <w:b/>
          <w:i/>
          <w:sz w:val="24"/>
        </w:rPr>
        <w:t>Protection of personal data:</w:t>
      </w:r>
      <w:r w:rsidRPr="0006180F">
        <w:rPr>
          <w:rFonts w:ascii="Times New Roman" w:hAnsi="Times New Roman" w:cs="Times New Roman"/>
          <w:sz w:val="24"/>
        </w:rPr>
        <w:t xml:space="preserve"> Anonymization</w:t>
      </w:r>
    </w:p>
    <w:p w14:paraId="2FB579D4" w14:textId="77777777" w:rsidR="001876E5" w:rsidRPr="0006180F" w:rsidRDefault="001876E5" w:rsidP="00705926">
      <w:pPr>
        <w:rPr>
          <w:rFonts w:ascii="Times New Roman" w:hAnsi="Times New Roman" w:cs="Times New Roman"/>
          <w:sz w:val="24"/>
        </w:rPr>
      </w:pPr>
      <w:r w:rsidRPr="0006180F">
        <w:rPr>
          <w:rFonts w:ascii="Times New Roman" w:hAnsi="Times New Roman" w:cs="Times New Roman"/>
          <w:b/>
          <w:i/>
          <w:sz w:val="24"/>
        </w:rPr>
        <w:t>Responsible person of personal data:</w:t>
      </w:r>
      <w:r w:rsidRPr="0006180F">
        <w:rPr>
          <w:rFonts w:ascii="Times New Roman" w:hAnsi="Times New Roman" w:cs="Times New Roman"/>
          <w:sz w:val="24"/>
        </w:rPr>
        <w:t xml:space="preserve"> Prof. Nobuyuki Shoji</w:t>
      </w:r>
    </w:p>
    <w:p w14:paraId="600F8C96" w14:textId="77777777" w:rsidR="001876E5" w:rsidRPr="0006180F" w:rsidRDefault="001876E5" w:rsidP="00705926">
      <w:pPr>
        <w:rPr>
          <w:rFonts w:ascii="Times New Roman" w:hAnsi="Times New Roman" w:cs="Times New Roman"/>
          <w:sz w:val="24"/>
        </w:rPr>
      </w:pPr>
      <w:r w:rsidRPr="0006180F">
        <w:rPr>
          <w:rFonts w:ascii="Times New Roman" w:hAnsi="Times New Roman" w:cs="Times New Roman"/>
          <w:b/>
          <w:i/>
          <w:sz w:val="24"/>
        </w:rPr>
        <w:t>Reward for study cooperation:</w:t>
      </w:r>
      <w:r w:rsidRPr="0006180F">
        <w:rPr>
          <w:rFonts w:ascii="Times New Roman" w:hAnsi="Times New Roman" w:cs="Times New Roman"/>
          <w:sz w:val="24"/>
        </w:rPr>
        <w:t xml:space="preserve"> </w:t>
      </w:r>
      <w:r w:rsidR="0006180F" w:rsidRPr="0006180F">
        <w:rPr>
          <w:rFonts w:ascii="Times New Roman" w:hAnsi="Times New Roman" w:cs="Times New Roman"/>
          <w:sz w:val="24"/>
        </w:rPr>
        <w:t>None</w:t>
      </w:r>
    </w:p>
    <w:p w14:paraId="4F9136C6" w14:textId="77777777" w:rsidR="001876E5" w:rsidRPr="0006180F" w:rsidRDefault="0006180F" w:rsidP="00705926">
      <w:pPr>
        <w:rPr>
          <w:rFonts w:ascii="Times New Roman" w:hAnsi="Times New Roman" w:cs="Times New Roman"/>
          <w:sz w:val="24"/>
        </w:rPr>
      </w:pPr>
      <w:r w:rsidRPr="0006180F">
        <w:rPr>
          <w:rFonts w:ascii="Times New Roman" w:hAnsi="Times New Roman" w:cs="Times New Roman"/>
          <w:b/>
          <w:i/>
          <w:sz w:val="24"/>
        </w:rPr>
        <w:t>Disclosure of analyzed data:</w:t>
      </w:r>
      <w:r w:rsidRPr="0006180F">
        <w:rPr>
          <w:rFonts w:ascii="Times New Roman" w:hAnsi="Times New Roman" w:cs="Times New Roman"/>
          <w:sz w:val="24"/>
        </w:rPr>
        <w:t xml:space="preserve"> Not to disclose all data due to a</w:t>
      </w:r>
      <w:r w:rsidRPr="0006180F">
        <w:rPr>
          <w:rFonts w:ascii="Times New Roman" w:hAnsi="Times New Roman" w:cs="Times New Roman"/>
          <w:sz w:val="24"/>
        </w:rPr>
        <w:t>nonymization</w:t>
      </w:r>
    </w:p>
    <w:p w14:paraId="10EF336F" w14:textId="77777777" w:rsidR="001876E5" w:rsidRPr="0006180F" w:rsidRDefault="0006180F" w:rsidP="00705926">
      <w:pPr>
        <w:rPr>
          <w:rFonts w:ascii="Times New Roman" w:hAnsi="Times New Roman" w:cs="Times New Roman"/>
          <w:sz w:val="24"/>
        </w:rPr>
      </w:pPr>
      <w:r w:rsidRPr="0006180F">
        <w:rPr>
          <w:rFonts w:ascii="Times New Roman" w:hAnsi="Times New Roman" w:cs="Times New Roman"/>
          <w:b/>
          <w:i/>
          <w:sz w:val="24"/>
        </w:rPr>
        <w:t>Estimated sample size:</w:t>
      </w:r>
      <w:r w:rsidRPr="0006180F">
        <w:rPr>
          <w:rFonts w:ascii="Times New Roman" w:hAnsi="Times New Roman" w:cs="Times New Roman"/>
          <w:sz w:val="24"/>
        </w:rPr>
        <w:t xml:space="preserve"> Fifty eyes of 50 healthy participants</w:t>
      </w:r>
    </w:p>
    <w:p w14:paraId="4394D336" w14:textId="77777777" w:rsidR="0006180F" w:rsidRPr="00E948B0" w:rsidRDefault="0006180F" w:rsidP="00705926">
      <w:pPr>
        <w:rPr>
          <w:rFonts w:ascii="Times New Roman" w:hAnsi="Times New Roman" w:cs="Times New Roman"/>
          <w:sz w:val="24"/>
        </w:rPr>
      </w:pPr>
    </w:p>
    <w:p w14:paraId="3F7786B3" w14:textId="77777777" w:rsidR="00705926" w:rsidRPr="00E948B0" w:rsidRDefault="00E948B0" w:rsidP="00705926">
      <w:pPr>
        <w:rPr>
          <w:rFonts w:ascii="Times New Roman" w:hAnsi="Times New Roman" w:cs="Times New Roman"/>
          <w:b/>
          <w:i/>
          <w:sz w:val="24"/>
        </w:rPr>
      </w:pPr>
      <w:r w:rsidRPr="00E948B0">
        <w:rPr>
          <w:rFonts w:ascii="Times New Roman" w:hAnsi="Times New Roman" w:cs="Times New Roman"/>
          <w:b/>
          <w:i/>
          <w:sz w:val="24"/>
        </w:rPr>
        <w:t>Purpose</w:t>
      </w:r>
      <w:r>
        <w:rPr>
          <w:rFonts w:ascii="Times New Roman" w:hAnsi="Times New Roman" w:cs="Times New Roman"/>
          <w:b/>
          <w:i/>
          <w:sz w:val="24"/>
        </w:rPr>
        <w:t xml:space="preserve"> of study: </w:t>
      </w:r>
      <w:r w:rsidRPr="00E948B0">
        <w:rPr>
          <w:rFonts w:ascii="Times New Roman" w:hAnsi="Times New Roman" w:cs="Times New Roman"/>
          <w:sz w:val="24"/>
        </w:rPr>
        <w:t>Fixation monitoring during the visual field measurement is very important</w:t>
      </w:r>
      <w:r>
        <w:rPr>
          <w:rFonts w:ascii="Times New Roman" w:hAnsi="Times New Roman" w:cs="Times New Roman"/>
          <w:sz w:val="24"/>
        </w:rPr>
        <w:t xml:space="preserve">. </w:t>
      </w:r>
      <w:r w:rsidRPr="00E948B0">
        <w:rPr>
          <w:rFonts w:ascii="Times New Roman" w:hAnsi="Times New Roman" w:cs="Times New Roman"/>
          <w:sz w:val="24"/>
        </w:rPr>
        <w:t xml:space="preserve">The Humphrey field analyzer (HFA) employs the gaze tracking system and the </w:t>
      </w:r>
      <w:proofErr w:type="spellStart"/>
      <w:r w:rsidRPr="00E948B0">
        <w:rPr>
          <w:rFonts w:ascii="Times New Roman" w:hAnsi="Times New Roman" w:cs="Times New Roman"/>
          <w:sz w:val="24"/>
        </w:rPr>
        <w:t>Heijl</w:t>
      </w:r>
      <w:proofErr w:type="spellEnd"/>
      <w:r w:rsidRPr="00E948B0">
        <w:rPr>
          <w:rFonts w:ascii="Times New Roman" w:hAnsi="Times New Roman" w:cs="Times New Roman"/>
          <w:sz w:val="24"/>
        </w:rPr>
        <w:t>–</w:t>
      </w:r>
      <w:proofErr w:type="spellStart"/>
      <w:r w:rsidRPr="00E948B0">
        <w:rPr>
          <w:rFonts w:ascii="Times New Roman" w:hAnsi="Times New Roman" w:cs="Times New Roman"/>
          <w:sz w:val="24"/>
        </w:rPr>
        <w:t>Krakau</w:t>
      </w:r>
      <w:proofErr w:type="spellEnd"/>
      <w:r w:rsidRPr="00E948B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blind spot monitoring method</w:t>
      </w:r>
      <w:r w:rsidRPr="00E948B0">
        <w:rPr>
          <w:rFonts w:ascii="Times New Roman" w:hAnsi="Times New Roman" w:cs="Times New Roman"/>
          <w:sz w:val="24"/>
        </w:rPr>
        <w:t>, and the Octopus perimeter employs a video monitor with a display and an automatic eye-tracking system. Although a gaze tracking system with the HFA records the fixation behavior as a waveform</w:t>
      </w:r>
      <w:r>
        <w:rPr>
          <w:rFonts w:ascii="Times New Roman" w:hAnsi="Times New Roman" w:cs="Times New Roman"/>
          <w:sz w:val="24"/>
        </w:rPr>
        <w:t xml:space="preserve"> by using corneal reflection</w:t>
      </w:r>
      <w:r w:rsidRPr="00E948B0">
        <w:rPr>
          <w:rFonts w:ascii="Times New Roman" w:hAnsi="Times New Roman" w:cs="Times New Roman"/>
          <w:sz w:val="24"/>
        </w:rPr>
        <w:t>, the amount and direction are not quantified. In addition, the gaze tracking system with the HFA records fixation only when stimuli are presented.</w:t>
      </w:r>
      <w:r w:rsidRPr="00E948B0">
        <w:t xml:space="preserve"> </w:t>
      </w:r>
      <w:r w:rsidRPr="00E948B0">
        <w:rPr>
          <w:rFonts w:ascii="Times New Roman" w:hAnsi="Times New Roman" w:cs="Times New Roman"/>
          <w:sz w:val="24"/>
        </w:rPr>
        <w:t>Hence, fixation behavior should be quantitatively evaluated in a visual field of 30°, commonly used in clinical practice, such as implemented in the 30-2 or 24-2 program of the HFA and the 32 or G program of the Octopus perimeter.</w:t>
      </w:r>
    </w:p>
    <w:p w14:paraId="677750D3" w14:textId="77777777" w:rsidR="00E948B0" w:rsidRDefault="00E948B0" w:rsidP="007059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Pr="00E948B0">
        <w:rPr>
          <w:rFonts w:ascii="Times New Roman" w:hAnsi="Times New Roman" w:cs="Times New Roman"/>
          <w:sz w:val="24"/>
        </w:rPr>
        <w:t xml:space="preserve">he aims of this study were to quantify the amount and frequency of fixation behavior during standard automated </w:t>
      </w:r>
      <w:proofErr w:type="spellStart"/>
      <w:r w:rsidRPr="00E948B0">
        <w:rPr>
          <w:rFonts w:ascii="Times New Roman" w:hAnsi="Times New Roman" w:cs="Times New Roman"/>
          <w:sz w:val="24"/>
        </w:rPr>
        <w:t>perimetry</w:t>
      </w:r>
      <w:proofErr w:type="spellEnd"/>
      <w:r w:rsidRPr="00E948B0">
        <w:rPr>
          <w:rFonts w:ascii="Times New Roman" w:hAnsi="Times New Roman" w:cs="Times New Roman"/>
          <w:sz w:val="24"/>
        </w:rPr>
        <w:t xml:space="preserve"> (SAP) within 30° among different fixation targets and to evaluate the relationship between fixation behavior and threshold variability at each test point by using wearable eye-tracking glasses in healthy young participants with prior experience undergoing </w:t>
      </w:r>
      <w:proofErr w:type="spellStart"/>
      <w:r w:rsidRPr="00E948B0">
        <w:rPr>
          <w:rFonts w:ascii="Times New Roman" w:hAnsi="Times New Roman" w:cs="Times New Roman"/>
          <w:sz w:val="24"/>
        </w:rPr>
        <w:t>perimetry</w:t>
      </w:r>
      <w:proofErr w:type="spellEnd"/>
      <w:r w:rsidRPr="00E948B0">
        <w:rPr>
          <w:rFonts w:ascii="Times New Roman" w:hAnsi="Times New Roman" w:cs="Times New Roman"/>
          <w:sz w:val="24"/>
        </w:rPr>
        <w:t>.</w:t>
      </w:r>
    </w:p>
    <w:p w14:paraId="676499A6" w14:textId="77777777" w:rsidR="00E948B0" w:rsidRDefault="00E948B0" w:rsidP="00705926">
      <w:pPr>
        <w:rPr>
          <w:rFonts w:ascii="Times New Roman" w:hAnsi="Times New Roman" w:cs="Times New Roman"/>
          <w:sz w:val="24"/>
        </w:rPr>
      </w:pPr>
    </w:p>
    <w:p w14:paraId="19675DD5" w14:textId="77777777" w:rsidR="00E948B0" w:rsidRDefault="00E948B0" w:rsidP="00705926">
      <w:pPr>
        <w:rPr>
          <w:rFonts w:ascii="Times New Roman" w:hAnsi="Times New Roman" w:cs="Times New Roman"/>
          <w:sz w:val="24"/>
        </w:rPr>
      </w:pPr>
      <w:r w:rsidRPr="006F14FC">
        <w:rPr>
          <w:rFonts w:ascii="Times New Roman" w:hAnsi="Times New Roman" w:cs="Times New Roman"/>
          <w:b/>
          <w:i/>
          <w:sz w:val="24"/>
        </w:rPr>
        <w:t>Methods:</w:t>
      </w:r>
      <w:r w:rsidRPr="00E948B0">
        <w:t xml:space="preserve"> </w:t>
      </w:r>
      <w:r>
        <w:rPr>
          <w:rFonts w:ascii="Times New Roman" w:hAnsi="Times New Roman" w:cs="Times New Roman"/>
          <w:sz w:val="24"/>
        </w:rPr>
        <w:t>W</w:t>
      </w:r>
      <w:r w:rsidRPr="00E948B0">
        <w:rPr>
          <w:rFonts w:ascii="Times New Roman" w:hAnsi="Times New Roman" w:cs="Times New Roman"/>
          <w:sz w:val="24"/>
        </w:rPr>
        <w:t>e</w:t>
      </w:r>
      <w:r w:rsidR="006F14FC">
        <w:rPr>
          <w:rFonts w:ascii="Times New Roman" w:hAnsi="Times New Roman" w:cs="Times New Roman"/>
          <w:sz w:val="24"/>
        </w:rPr>
        <w:t xml:space="preserve"> evaluate</w:t>
      </w:r>
      <w:r>
        <w:rPr>
          <w:rFonts w:ascii="Times New Roman" w:hAnsi="Times New Roman" w:cs="Times New Roman"/>
          <w:sz w:val="24"/>
        </w:rPr>
        <w:t xml:space="preserve"> the </w:t>
      </w:r>
      <w:r w:rsidRPr="00E948B0">
        <w:rPr>
          <w:rFonts w:ascii="Times New Roman" w:hAnsi="Times New Roman" w:cs="Times New Roman"/>
          <w:sz w:val="24"/>
        </w:rPr>
        <w:t xml:space="preserve">student volunteers taking the </w:t>
      </w:r>
      <w:proofErr w:type="spellStart"/>
      <w:r w:rsidRPr="00E948B0">
        <w:rPr>
          <w:rFonts w:ascii="Times New Roman" w:hAnsi="Times New Roman" w:cs="Times New Roman"/>
          <w:sz w:val="24"/>
        </w:rPr>
        <w:t>Orthoptic</w:t>
      </w:r>
      <w:proofErr w:type="spellEnd"/>
      <w:r w:rsidRPr="00E948B0">
        <w:rPr>
          <w:rFonts w:ascii="Times New Roman" w:hAnsi="Times New Roman" w:cs="Times New Roman"/>
          <w:sz w:val="24"/>
        </w:rPr>
        <w:t xml:space="preserve"> and Visual Science course at </w:t>
      </w:r>
      <w:proofErr w:type="spellStart"/>
      <w:r w:rsidRPr="00E948B0">
        <w:rPr>
          <w:rFonts w:ascii="Times New Roman" w:hAnsi="Times New Roman" w:cs="Times New Roman"/>
          <w:sz w:val="24"/>
        </w:rPr>
        <w:t>Kitasato</w:t>
      </w:r>
      <w:proofErr w:type="spellEnd"/>
      <w:r w:rsidRPr="00E948B0">
        <w:rPr>
          <w:rFonts w:ascii="Times New Roman" w:hAnsi="Times New Roman" w:cs="Times New Roman"/>
          <w:sz w:val="24"/>
        </w:rPr>
        <w:t xml:space="preserve"> University who had undergone SAP at least three times within the last 3 months after providing informed consent</w:t>
      </w:r>
      <w:r w:rsidR="006F14FC">
        <w:rPr>
          <w:rFonts w:ascii="Times New Roman" w:hAnsi="Times New Roman" w:cs="Times New Roman"/>
          <w:sz w:val="24"/>
        </w:rPr>
        <w:t>. All the participants undergo</w:t>
      </w:r>
      <w:r w:rsidRPr="00E948B0">
        <w:rPr>
          <w:rFonts w:ascii="Times New Roman" w:hAnsi="Times New Roman" w:cs="Times New Roman"/>
          <w:sz w:val="24"/>
        </w:rPr>
        <w:t xml:space="preserve"> comprehensive </w:t>
      </w:r>
      <w:r w:rsidRPr="00E948B0">
        <w:rPr>
          <w:rFonts w:ascii="Times New Roman" w:hAnsi="Times New Roman" w:cs="Times New Roman"/>
          <w:sz w:val="24"/>
        </w:rPr>
        <w:lastRenderedPageBreak/>
        <w:t xml:space="preserve">ophthalmic examinations, including </w:t>
      </w:r>
      <w:proofErr w:type="spellStart"/>
      <w:r w:rsidRPr="00E948B0">
        <w:rPr>
          <w:rFonts w:ascii="Times New Roman" w:hAnsi="Times New Roman" w:cs="Times New Roman"/>
          <w:sz w:val="24"/>
        </w:rPr>
        <w:t>noncycloplegic</w:t>
      </w:r>
      <w:proofErr w:type="spellEnd"/>
      <w:r w:rsidRPr="00E948B0">
        <w:rPr>
          <w:rFonts w:ascii="Times New Roman" w:hAnsi="Times New Roman" w:cs="Times New Roman"/>
          <w:sz w:val="24"/>
        </w:rPr>
        <w:t xml:space="preserve"> refraction testing, visual acuity testing at 5 meters using a </w:t>
      </w:r>
      <w:proofErr w:type="spellStart"/>
      <w:r w:rsidRPr="00E948B0">
        <w:rPr>
          <w:rFonts w:ascii="Times New Roman" w:hAnsi="Times New Roman" w:cs="Times New Roman"/>
          <w:sz w:val="24"/>
        </w:rPr>
        <w:t>Landolt</w:t>
      </w:r>
      <w:proofErr w:type="spellEnd"/>
      <w:r w:rsidRPr="00E948B0">
        <w:rPr>
          <w:rFonts w:ascii="Times New Roman" w:hAnsi="Times New Roman" w:cs="Times New Roman"/>
          <w:sz w:val="24"/>
        </w:rPr>
        <w:t xml:space="preserve"> ring chart, intraocular pressure measurement, ocular axial length measurement, and slit-lamp and fundus examination by a glaucoma sp</w:t>
      </w:r>
      <w:r w:rsidR="006F14FC">
        <w:rPr>
          <w:rFonts w:ascii="Times New Roman" w:hAnsi="Times New Roman" w:cs="Times New Roman"/>
          <w:sz w:val="24"/>
        </w:rPr>
        <w:t>ecialist (NS). Participants are</w:t>
      </w:r>
      <w:r w:rsidRPr="00E948B0">
        <w:rPr>
          <w:rFonts w:ascii="Times New Roman" w:hAnsi="Times New Roman" w:cs="Times New Roman"/>
          <w:sz w:val="24"/>
        </w:rPr>
        <w:t xml:space="preserve"> included in the study if they had a corrected visual acuity of 20/20 or better, intraocular pressure of 21 mmHg or less, cylindrical power of -1.50 diopter or less, a normal optic disc appearance, and no ophthalmic diseases that affected the results of the visual field test.</w:t>
      </w:r>
    </w:p>
    <w:p w14:paraId="2D8776C4" w14:textId="77777777" w:rsidR="00E948B0" w:rsidRDefault="006F14FC" w:rsidP="007059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SAP is</w:t>
      </w:r>
      <w:r w:rsidRPr="006F14FC">
        <w:rPr>
          <w:rFonts w:ascii="Times New Roman" w:hAnsi="Times New Roman" w:cs="Times New Roman"/>
          <w:sz w:val="24"/>
        </w:rPr>
        <w:t xml:space="preserve"> performed using the Octopus 900 perimeter (Haag-</w:t>
      </w:r>
      <w:proofErr w:type="spellStart"/>
      <w:r w:rsidRPr="006F14FC">
        <w:rPr>
          <w:rFonts w:ascii="Times New Roman" w:hAnsi="Times New Roman" w:cs="Times New Roman"/>
          <w:sz w:val="24"/>
        </w:rPr>
        <w:t>Streit</w:t>
      </w:r>
      <w:proofErr w:type="spellEnd"/>
      <w:r w:rsidRPr="006F14F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F14FC">
        <w:rPr>
          <w:rFonts w:ascii="Times New Roman" w:hAnsi="Times New Roman" w:cs="Times New Roman"/>
          <w:sz w:val="24"/>
        </w:rPr>
        <w:t>Koeniz</w:t>
      </w:r>
      <w:proofErr w:type="spellEnd"/>
      <w:r w:rsidRPr="006F14FC">
        <w:rPr>
          <w:rFonts w:ascii="Times New Roman" w:hAnsi="Times New Roman" w:cs="Times New Roman"/>
          <w:sz w:val="24"/>
        </w:rPr>
        <w:t>, Switzerland). A dynamic strategy and the 32 test program were used for SAP measurement.</w:t>
      </w:r>
      <w:r w:rsidRPr="006F14FC">
        <w:t xml:space="preserve"> </w:t>
      </w:r>
      <w:r>
        <w:rPr>
          <w:rFonts w:ascii="Times New Roman" w:hAnsi="Times New Roman" w:cs="Times New Roman"/>
          <w:sz w:val="24"/>
        </w:rPr>
        <w:t>Fixation behavior is</w:t>
      </w:r>
      <w:r w:rsidRPr="006F14FC">
        <w:rPr>
          <w:rFonts w:ascii="Times New Roman" w:hAnsi="Times New Roman" w:cs="Times New Roman"/>
          <w:sz w:val="24"/>
        </w:rPr>
        <w:t xml:space="preserve"> recorded using wearable eye-tracking glasses (</w:t>
      </w:r>
      <w:proofErr w:type="spellStart"/>
      <w:r w:rsidRPr="006F14FC">
        <w:rPr>
          <w:rFonts w:ascii="Times New Roman" w:hAnsi="Times New Roman" w:cs="Times New Roman"/>
          <w:sz w:val="24"/>
        </w:rPr>
        <w:t>Tobii</w:t>
      </w:r>
      <w:proofErr w:type="spellEnd"/>
      <w:r w:rsidRPr="006F14FC">
        <w:rPr>
          <w:rFonts w:ascii="Times New Roman" w:hAnsi="Times New Roman" w:cs="Times New Roman"/>
          <w:sz w:val="24"/>
        </w:rPr>
        <w:t xml:space="preserve"> glass I; </w:t>
      </w:r>
      <w:proofErr w:type="spellStart"/>
      <w:r w:rsidRPr="006F14FC">
        <w:rPr>
          <w:rFonts w:ascii="Times New Roman" w:hAnsi="Times New Roman" w:cs="Times New Roman"/>
          <w:sz w:val="24"/>
        </w:rPr>
        <w:t>Tobii</w:t>
      </w:r>
      <w:proofErr w:type="spellEnd"/>
      <w:r w:rsidRPr="006F14FC">
        <w:rPr>
          <w:rFonts w:ascii="Times New Roman" w:hAnsi="Times New Roman" w:cs="Times New Roman"/>
          <w:sz w:val="24"/>
        </w:rPr>
        <w:t xml:space="preserve"> Technology).</w:t>
      </w:r>
    </w:p>
    <w:p w14:paraId="40E4147F" w14:textId="77777777" w:rsidR="006F14FC" w:rsidRDefault="006F14FC" w:rsidP="00705926">
      <w:pPr>
        <w:rPr>
          <w:rFonts w:ascii="Times New Roman" w:hAnsi="Times New Roman" w:cs="Times New Roman"/>
          <w:sz w:val="24"/>
        </w:rPr>
      </w:pPr>
    </w:p>
    <w:p w14:paraId="08F31712" w14:textId="77777777" w:rsidR="00603682" w:rsidRDefault="00603682" w:rsidP="00705926">
      <w:pPr>
        <w:rPr>
          <w:rFonts w:ascii="Times New Roman" w:hAnsi="Times New Roman" w:cs="Times New Roman"/>
          <w:sz w:val="24"/>
        </w:rPr>
      </w:pPr>
      <w:r w:rsidRPr="00E204E2">
        <w:rPr>
          <w:rFonts w:ascii="Times New Roman" w:hAnsi="Times New Roman" w:cs="Times New Roman" w:hint="eastAsia"/>
          <w:b/>
          <w:i/>
          <w:sz w:val="24"/>
        </w:rPr>
        <w:t>S</w:t>
      </w:r>
      <w:r w:rsidRPr="00E204E2">
        <w:rPr>
          <w:rFonts w:ascii="Times New Roman" w:hAnsi="Times New Roman" w:cs="Times New Roman"/>
          <w:b/>
          <w:i/>
          <w:sz w:val="24"/>
        </w:rPr>
        <w:t>u</w:t>
      </w:r>
      <w:r w:rsidRPr="00E204E2">
        <w:rPr>
          <w:rFonts w:ascii="Times New Roman" w:hAnsi="Times New Roman" w:cs="Times New Roman" w:hint="eastAsia"/>
          <w:b/>
          <w:i/>
          <w:sz w:val="24"/>
        </w:rPr>
        <w:t xml:space="preserve">bmission </w:t>
      </w:r>
      <w:r w:rsidRPr="00E204E2">
        <w:rPr>
          <w:rFonts w:ascii="Times New Roman" w:hAnsi="Times New Roman" w:cs="Times New Roman"/>
          <w:b/>
          <w:i/>
          <w:sz w:val="24"/>
        </w:rPr>
        <w:t>date:</w:t>
      </w:r>
      <w:r>
        <w:rPr>
          <w:rFonts w:ascii="Times New Roman" w:hAnsi="Times New Roman" w:cs="Times New Roman"/>
          <w:sz w:val="24"/>
        </w:rPr>
        <w:t xml:space="preserve"> May 11th, 2015</w:t>
      </w:r>
    </w:p>
    <w:p w14:paraId="70C8B33A" w14:textId="77777777" w:rsidR="006F14FC" w:rsidRDefault="00603682" w:rsidP="00705926">
      <w:pPr>
        <w:rPr>
          <w:rFonts w:ascii="Times New Roman" w:hAnsi="Times New Roman" w:cs="Times New Roman"/>
          <w:sz w:val="24"/>
        </w:rPr>
      </w:pPr>
      <w:r w:rsidRPr="00E204E2">
        <w:rPr>
          <w:rFonts w:ascii="Times New Roman" w:hAnsi="Times New Roman" w:cs="Times New Roman"/>
          <w:b/>
          <w:i/>
          <w:sz w:val="24"/>
        </w:rPr>
        <w:t>Acceptance date</w:t>
      </w:r>
      <w:r w:rsidR="006F14FC" w:rsidRPr="00E204E2">
        <w:rPr>
          <w:rFonts w:ascii="Times New Roman" w:hAnsi="Times New Roman" w:cs="Times New Roman"/>
          <w:b/>
          <w:i/>
          <w:sz w:val="24"/>
        </w:rPr>
        <w:t>:</w:t>
      </w:r>
      <w:r w:rsidR="006F14F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July 1st, 2015</w:t>
      </w:r>
    </w:p>
    <w:p w14:paraId="5E909FEB" w14:textId="77777777" w:rsidR="00603682" w:rsidRDefault="00603682" w:rsidP="00705926">
      <w:pPr>
        <w:rPr>
          <w:rFonts w:ascii="Times New Roman" w:hAnsi="Times New Roman" w:cs="Times New Roman"/>
          <w:sz w:val="24"/>
        </w:rPr>
      </w:pPr>
    </w:p>
    <w:p w14:paraId="6D53F148" w14:textId="77777777" w:rsidR="00603682" w:rsidRPr="00E948B0" w:rsidRDefault="00603682" w:rsidP="00705926">
      <w:pPr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/>
          <w:sz w:val="24"/>
        </w:rPr>
        <w:t xml:space="preserve">This study was </w:t>
      </w:r>
      <w:r w:rsidR="00E204E2">
        <w:rPr>
          <w:rFonts w:ascii="Times New Roman" w:hAnsi="Times New Roman" w:cs="Times New Roman"/>
          <w:sz w:val="24"/>
        </w:rPr>
        <w:t>approved</w:t>
      </w:r>
      <w:r>
        <w:rPr>
          <w:rFonts w:ascii="Times New Roman" w:hAnsi="Times New Roman" w:cs="Times New Roman"/>
          <w:sz w:val="24"/>
        </w:rPr>
        <w:t xml:space="preserve"> </w:t>
      </w:r>
      <w:r w:rsidR="00E204E2">
        <w:rPr>
          <w:rFonts w:ascii="Times New Roman" w:hAnsi="Times New Roman" w:cs="Times New Roman"/>
          <w:sz w:val="24"/>
        </w:rPr>
        <w:t xml:space="preserve">by </w:t>
      </w:r>
      <w:proofErr w:type="spellStart"/>
      <w:r w:rsidR="00E204E2" w:rsidRPr="00E204E2">
        <w:rPr>
          <w:rFonts w:ascii="Times New Roman" w:hAnsi="Times New Roman" w:cs="Times New Roman"/>
          <w:sz w:val="24"/>
        </w:rPr>
        <w:t>Kitasato</w:t>
      </w:r>
      <w:proofErr w:type="spellEnd"/>
      <w:r w:rsidR="00E204E2" w:rsidRPr="00E204E2">
        <w:rPr>
          <w:rFonts w:ascii="Times New Roman" w:hAnsi="Times New Roman" w:cs="Times New Roman"/>
          <w:sz w:val="24"/>
        </w:rPr>
        <w:t xml:space="preserve"> University School of Allied Health Science approved the study (No. 2015-09)</w:t>
      </w:r>
    </w:p>
    <w:sectPr w:rsidR="00603682" w:rsidRPr="00E948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26"/>
    <w:rsid w:val="0006180F"/>
    <w:rsid w:val="001876E5"/>
    <w:rsid w:val="00603682"/>
    <w:rsid w:val="006F14FC"/>
    <w:rsid w:val="00705926"/>
    <w:rsid w:val="00E204E2"/>
    <w:rsid w:val="00E948B0"/>
    <w:rsid w:val="00F9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857D5E"/>
  <w15:chartTrackingRefBased/>
  <w15:docId w15:val="{10F7D541-CE8A-4314-A74A-BCBE3D12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Kazunori Hirasawa</dc:creator>
  <cp:keywords/>
  <dc:description/>
  <cp:lastModifiedBy>Kazunori Hirasawa</cp:lastModifiedBy>
  <cp:revision>1</cp:revision>
  <dcterms:created xsi:type="dcterms:W3CDTF">2016-10-26T00:13:00Z</dcterms:created>
  <dcterms:modified xsi:type="dcterms:W3CDTF">2016-10-26T01:19:00Z</dcterms:modified>
</cp:coreProperties>
</file>