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BA" w:rsidRDefault="007745B2" w:rsidP="007745B2">
      <w:pPr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>
            <wp:extent cx="4537710" cy="24088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4_Fig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710" cy="240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7745B2" w:rsidRPr="00311C79" w:rsidRDefault="007745B2" w:rsidP="00950F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33E3">
        <w:rPr>
          <w:rFonts w:ascii="Times New Roman" w:hAnsi="Times New Roman" w:cs="Times New Roman"/>
          <w:b/>
          <w:sz w:val="24"/>
          <w:szCs w:val="24"/>
        </w:rPr>
        <w:t xml:space="preserve">S4 Fig. Proteomic analyses of </w:t>
      </w:r>
      <w:proofErr w:type="spellStart"/>
      <w:r w:rsidRPr="00E033E3">
        <w:rPr>
          <w:rFonts w:ascii="Times New Roman" w:hAnsi="Times New Roman" w:cs="Times New Roman"/>
          <w:b/>
          <w:sz w:val="24"/>
          <w:szCs w:val="24"/>
        </w:rPr>
        <w:t>isopycnic</w:t>
      </w:r>
      <w:proofErr w:type="spellEnd"/>
      <w:r w:rsidRPr="00E033E3">
        <w:rPr>
          <w:rFonts w:ascii="Times New Roman" w:hAnsi="Times New Roman" w:cs="Times New Roman"/>
          <w:b/>
          <w:sz w:val="24"/>
          <w:szCs w:val="24"/>
        </w:rPr>
        <w:t xml:space="preserve"> sucrose density g</w:t>
      </w:r>
      <w:r w:rsidRPr="00397CEE">
        <w:rPr>
          <w:rFonts w:ascii="Times New Roman" w:hAnsi="Times New Roman" w:cs="Times New Roman"/>
          <w:b/>
          <w:sz w:val="24"/>
          <w:szCs w:val="24"/>
        </w:rPr>
        <w:t xml:space="preserve">radient fractionation of the </w:t>
      </w:r>
      <w:r w:rsidRPr="00E033E3">
        <w:rPr>
          <w:rFonts w:ascii="Times New Roman" w:hAnsi="Times New Roman" w:cs="Times New Roman"/>
          <w:b/>
          <w:i/>
          <w:sz w:val="24"/>
          <w:szCs w:val="24"/>
        </w:rPr>
        <w:t>P. gingivalis</w:t>
      </w:r>
      <w:r w:rsidRPr="00E033E3">
        <w:rPr>
          <w:rFonts w:ascii="Times New Roman" w:hAnsi="Times New Roman" w:cs="Times New Roman"/>
          <w:b/>
          <w:sz w:val="24"/>
          <w:szCs w:val="24"/>
        </w:rPr>
        <w:t xml:space="preserve"> total membrane.</w:t>
      </w:r>
      <w:r w:rsidRPr="00E16B66">
        <w:rPr>
          <w:rFonts w:ascii="Times New Roman" w:hAnsi="Times New Roman" w:cs="Times New Roman"/>
          <w:sz w:val="24"/>
          <w:szCs w:val="24"/>
        </w:rPr>
        <w:t xml:space="preserve"> The combined Mascot score of confirmed non-CTD OM proteins (black bars) and IM proteins (white bars) within each fraction was compared to the total Mascot score for all proteins identified in that fraction as a percentage. </w:t>
      </w:r>
      <w:r w:rsidRPr="00E033E3">
        <w:rPr>
          <w:rFonts w:ascii="Times New Roman" w:hAnsi="Times New Roman" w:cs="Times New Roman"/>
          <w:i/>
          <w:sz w:val="24"/>
          <w:szCs w:val="24"/>
        </w:rPr>
        <w:t>N</w:t>
      </w:r>
      <w:r w:rsidRPr="00E16B66">
        <w:rPr>
          <w:rFonts w:ascii="Times New Roman" w:hAnsi="Times New Roman" w:cs="Times New Roman"/>
          <w:sz w:val="24"/>
          <w:szCs w:val="24"/>
        </w:rPr>
        <w:t>=1.</w:t>
      </w:r>
    </w:p>
    <w:p w:rsidR="007745B2" w:rsidRPr="007745B2" w:rsidRDefault="007745B2">
      <w:pPr>
        <w:rPr>
          <w:rFonts w:ascii="Times New Roman" w:hAnsi="Times New Roman" w:cs="Times New Roman"/>
          <w:sz w:val="24"/>
        </w:rPr>
      </w:pPr>
    </w:p>
    <w:sectPr w:rsidR="007745B2" w:rsidRPr="00774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BD"/>
    <w:rsid w:val="007745B2"/>
    <w:rsid w:val="00892797"/>
    <w:rsid w:val="00950F7D"/>
    <w:rsid w:val="009B17BD"/>
    <w:rsid w:val="00A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41AF3-5AC9-4901-9323-660E510D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Heath</dc:creator>
  <cp:keywords/>
  <dc:description/>
  <cp:lastModifiedBy>Kate Fletcher</cp:lastModifiedBy>
  <cp:revision>3</cp:revision>
  <dcterms:created xsi:type="dcterms:W3CDTF">2016-09-06T05:23:00Z</dcterms:created>
  <dcterms:modified xsi:type="dcterms:W3CDTF">2016-09-07T01:03:00Z</dcterms:modified>
</cp:coreProperties>
</file>