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BE9" w:rsidRPr="00DE6BE9" w:rsidRDefault="00DE6BE9" w:rsidP="00A91AD2">
      <w:pPr>
        <w:rPr>
          <w:b/>
        </w:rPr>
      </w:pPr>
      <w:r>
        <w:rPr>
          <w:b/>
        </w:rPr>
        <w:t>S4 Appendix. Mixed Methods Appraisal Tool Scoring of Included Studies</w:t>
      </w:r>
      <w:r w:rsidR="00D20AB9">
        <w:rPr>
          <w:b/>
        </w:rPr>
        <w:t xml:space="preserve"> (n=26)</w:t>
      </w:r>
      <w:r w:rsidR="00415510">
        <w:rPr>
          <w:rStyle w:val="FootnoteReference"/>
          <w:b/>
        </w:rPr>
        <w:footnoteReference w:id="1"/>
      </w:r>
    </w:p>
    <w:p w:rsidR="00DE6BE9" w:rsidRDefault="00DE6BE9" w:rsidP="00A91AD2"/>
    <w:tbl>
      <w:tblPr>
        <w:tblStyle w:val="TableGrid"/>
        <w:tblW w:w="0" w:type="auto"/>
        <w:tblLook w:val="04A0" w:firstRow="1" w:lastRow="0" w:firstColumn="1" w:lastColumn="0" w:noHBand="0" w:noVBand="1"/>
      </w:tblPr>
      <w:tblGrid>
        <w:gridCol w:w="1818"/>
        <w:gridCol w:w="1830"/>
        <w:gridCol w:w="2197"/>
        <w:gridCol w:w="2198"/>
        <w:gridCol w:w="2197"/>
        <w:gridCol w:w="2198"/>
        <w:gridCol w:w="1350"/>
      </w:tblGrid>
      <w:tr w:rsidR="00D20AB9" w:rsidRPr="00DE6BE9" w:rsidTr="00A91AD2">
        <w:trPr>
          <w:tblHeader/>
        </w:trPr>
        <w:tc>
          <w:tcPr>
            <w:tcW w:w="1818" w:type="dxa"/>
          </w:tcPr>
          <w:p w:rsidR="00D20AB9" w:rsidRPr="00DE6BE9" w:rsidRDefault="00D20AB9" w:rsidP="00A91AD2">
            <w:pPr>
              <w:rPr>
                <w:b/>
                <w:sz w:val="20"/>
                <w:szCs w:val="20"/>
              </w:rPr>
            </w:pPr>
            <w:r w:rsidRPr="00DE6BE9">
              <w:rPr>
                <w:b/>
                <w:sz w:val="20"/>
                <w:szCs w:val="20"/>
              </w:rPr>
              <w:t>Study</w:t>
            </w:r>
          </w:p>
        </w:tc>
        <w:tc>
          <w:tcPr>
            <w:tcW w:w="1830" w:type="dxa"/>
          </w:tcPr>
          <w:p w:rsidR="00D20AB9" w:rsidRPr="00DE6BE9" w:rsidRDefault="00D20AB9" w:rsidP="00A91AD2">
            <w:pPr>
              <w:jc w:val="center"/>
              <w:rPr>
                <w:b/>
                <w:sz w:val="20"/>
                <w:szCs w:val="20"/>
              </w:rPr>
            </w:pPr>
            <w:r w:rsidRPr="00DE6BE9">
              <w:rPr>
                <w:b/>
                <w:sz w:val="20"/>
                <w:szCs w:val="20"/>
              </w:rPr>
              <w:t>Primary Study Design</w:t>
            </w:r>
          </w:p>
        </w:tc>
        <w:tc>
          <w:tcPr>
            <w:tcW w:w="8790" w:type="dxa"/>
            <w:gridSpan w:val="4"/>
          </w:tcPr>
          <w:p w:rsidR="00D20AB9" w:rsidRPr="00DE6BE9" w:rsidRDefault="00D20AB9" w:rsidP="00A91AD2">
            <w:pPr>
              <w:jc w:val="center"/>
              <w:rPr>
                <w:b/>
                <w:sz w:val="20"/>
                <w:szCs w:val="20"/>
              </w:rPr>
            </w:pPr>
            <w:r w:rsidRPr="00DE6BE9">
              <w:rPr>
                <w:b/>
                <w:sz w:val="20"/>
                <w:szCs w:val="20"/>
              </w:rPr>
              <w:t>Methodological quality criteria</w:t>
            </w:r>
            <w:r>
              <w:rPr>
                <w:b/>
                <w:sz w:val="20"/>
                <w:szCs w:val="20"/>
              </w:rPr>
              <w:t>*</w:t>
            </w:r>
          </w:p>
        </w:tc>
        <w:tc>
          <w:tcPr>
            <w:tcW w:w="1350" w:type="dxa"/>
          </w:tcPr>
          <w:p w:rsidR="00D20AB9" w:rsidRPr="00DE6BE9" w:rsidRDefault="00D20AB9" w:rsidP="00A91AD2">
            <w:pPr>
              <w:jc w:val="center"/>
              <w:rPr>
                <w:b/>
                <w:sz w:val="20"/>
                <w:szCs w:val="20"/>
              </w:rPr>
            </w:pPr>
            <w:r>
              <w:rPr>
                <w:b/>
                <w:sz w:val="20"/>
                <w:szCs w:val="20"/>
              </w:rPr>
              <w:t>Overall Score</w:t>
            </w:r>
          </w:p>
        </w:tc>
      </w:tr>
      <w:tr w:rsidR="00D20AB9" w:rsidRPr="00DE6BE9" w:rsidTr="00A91AD2">
        <w:tc>
          <w:tcPr>
            <w:tcW w:w="1818" w:type="dxa"/>
            <w:shd w:val="clear" w:color="auto" w:fill="F2F2F2" w:themeFill="background1" w:themeFillShade="F2"/>
          </w:tcPr>
          <w:p w:rsidR="00D20AB9" w:rsidRPr="00DE6BE9" w:rsidRDefault="00D20AB9" w:rsidP="00A91AD2">
            <w:pPr>
              <w:rPr>
                <w:sz w:val="20"/>
                <w:szCs w:val="20"/>
              </w:rPr>
            </w:pPr>
          </w:p>
        </w:tc>
        <w:tc>
          <w:tcPr>
            <w:tcW w:w="1830" w:type="dxa"/>
            <w:shd w:val="clear" w:color="auto" w:fill="F2F2F2" w:themeFill="background1" w:themeFillShade="F2"/>
          </w:tcPr>
          <w:p w:rsidR="00D20AB9" w:rsidRPr="00DE6BE9" w:rsidRDefault="00D20AB9" w:rsidP="00A91AD2">
            <w:pPr>
              <w:jc w:val="center"/>
              <w:rPr>
                <w:i/>
                <w:sz w:val="20"/>
                <w:szCs w:val="20"/>
              </w:rPr>
            </w:pPr>
            <w:r w:rsidRPr="00DE6BE9">
              <w:rPr>
                <w:i/>
                <w:sz w:val="20"/>
                <w:szCs w:val="20"/>
              </w:rPr>
              <w:t>Qualitative</w:t>
            </w:r>
          </w:p>
        </w:tc>
        <w:tc>
          <w:tcPr>
            <w:tcW w:w="2197" w:type="dxa"/>
            <w:shd w:val="clear" w:color="auto" w:fill="F2F2F2" w:themeFill="background1" w:themeFillShade="F2"/>
          </w:tcPr>
          <w:p w:rsidR="00D20AB9" w:rsidRPr="00DE6BE9" w:rsidRDefault="00D20AB9" w:rsidP="00A91AD2">
            <w:pPr>
              <w:jc w:val="center"/>
              <w:rPr>
                <w:sz w:val="20"/>
                <w:szCs w:val="20"/>
              </w:rPr>
            </w:pPr>
            <w:r w:rsidRPr="00DE6BE9">
              <w:rPr>
                <w:sz w:val="20"/>
                <w:szCs w:val="20"/>
              </w:rPr>
              <w:t>1.1 Relevant data sources</w:t>
            </w:r>
          </w:p>
        </w:tc>
        <w:tc>
          <w:tcPr>
            <w:tcW w:w="2198" w:type="dxa"/>
            <w:shd w:val="clear" w:color="auto" w:fill="F2F2F2" w:themeFill="background1" w:themeFillShade="F2"/>
          </w:tcPr>
          <w:p w:rsidR="00D20AB9" w:rsidRPr="00DE6BE9" w:rsidRDefault="00D20AB9" w:rsidP="00A91AD2">
            <w:pPr>
              <w:jc w:val="center"/>
              <w:rPr>
                <w:sz w:val="20"/>
                <w:szCs w:val="20"/>
              </w:rPr>
            </w:pPr>
            <w:r w:rsidRPr="00DE6BE9">
              <w:rPr>
                <w:sz w:val="20"/>
                <w:szCs w:val="20"/>
              </w:rPr>
              <w:t>1.2 Relevant data analysis</w:t>
            </w:r>
          </w:p>
        </w:tc>
        <w:tc>
          <w:tcPr>
            <w:tcW w:w="2197" w:type="dxa"/>
            <w:shd w:val="clear" w:color="auto" w:fill="F2F2F2" w:themeFill="background1" w:themeFillShade="F2"/>
          </w:tcPr>
          <w:p w:rsidR="00D20AB9" w:rsidRPr="00DE6BE9" w:rsidRDefault="00D20AB9" w:rsidP="00A91AD2">
            <w:pPr>
              <w:jc w:val="center"/>
              <w:rPr>
                <w:sz w:val="20"/>
                <w:szCs w:val="20"/>
              </w:rPr>
            </w:pPr>
            <w:r w:rsidRPr="00DE6BE9">
              <w:rPr>
                <w:sz w:val="20"/>
                <w:szCs w:val="20"/>
              </w:rPr>
              <w:t>1.3 Appropriate consideration of how findings relate to context</w:t>
            </w:r>
          </w:p>
        </w:tc>
        <w:tc>
          <w:tcPr>
            <w:tcW w:w="2198" w:type="dxa"/>
            <w:shd w:val="clear" w:color="auto" w:fill="F2F2F2" w:themeFill="background1" w:themeFillShade="F2"/>
          </w:tcPr>
          <w:p w:rsidR="00D20AB9" w:rsidRPr="00DE6BE9" w:rsidRDefault="00D20AB9" w:rsidP="00A91AD2">
            <w:pPr>
              <w:jc w:val="center"/>
              <w:rPr>
                <w:sz w:val="20"/>
                <w:szCs w:val="20"/>
              </w:rPr>
            </w:pPr>
            <w:r w:rsidRPr="00DE6BE9">
              <w:rPr>
                <w:sz w:val="20"/>
                <w:szCs w:val="20"/>
              </w:rPr>
              <w:t>1.4 Appropriate consideration of how findings relate to researchers’ influence</w:t>
            </w:r>
          </w:p>
        </w:tc>
        <w:tc>
          <w:tcPr>
            <w:tcW w:w="1350" w:type="dxa"/>
            <w:shd w:val="clear" w:color="auto" w:fill="F2F2F2" w:themeFill="background1" w:themeFillShade="F2"/>
          </w:tcPr>
          <w:p w:rsidR="00D20AB9" w:rsidRPr="00DE6BE9" w:rsidRDefault="00D20AB9" w:rsidP="00A91AD2">
            <w:pPr>
              <w:jc w:val="center"/>
              <w:rPr>
                <w:sz w:val="20"/>
                <w:szCs w:val="20"/>
              </w:rPr>
            </w:pPr>
          </w:p>
        </w:tc>
      </w:tr>
      <w:tr w:rsidR="006C3E79" w:rsidRPr="00DE6BE9" w:rsidTr="00A91AD2">
        <w:tc>
          <w:tcPr>
            <w:tcW w:w="1818" w:type="dxa"/>
          </w:tcPr>
          <w:p w:rsidR="006C3E79" w:rsidRPr="00DB00C0" w:rsidRDefault="006C3E79" w:rsidP="00A91AD2">
            <w:pPr>
              <w:rPr>
                <w:sz w:val="20"/>
                <w:szCs w:val="20"/>
                <w:vertAlign w:val="superscript"/>
              </w:rPr>
            </w:pPr>
            <w:r w:rsidRPr="00DB00C0">
              <w:rPr>
                <w:sz w:val="20"/>
                <w:szCs w:val="20"/>
              </w:rPr>
              <w:t>Cash, 2013</w:t>
            </w:r>
            <w:r w:rsidRPr="00DB00C0">
              <w:rPr>
                <w:sz w:val="20"/>
                <w:szCs w:val="20"/>
                <w:vertAlign w:val="superscript"/>
              </w:rPr>
              <w:t>19</w:t>
            </w:r>
          </w:p>
        </w:tc>
        <w:tc>
          <w:tcPr>
            <w:tcW w:w="1830" w:type="dxa"/>
          </w:tcPr>
          <w:p w:rsidR="006C3E79" w:rsidRPr="00DE6BE9" w:rsidRDefault="006C3E79" w:rsidP="00A91AD2">
            <w:pPr>
              <w:jc w:val="center"/>
              <w:rPr>
                <w:sz w:val="20"/>
                <w:szCs w:val="20"/>
              </w:rPr>
            </w:pPr>
          </w:p>
        </w:tc>
        <w:tc>
          <w:tcPr>
            <w:tcW w:w="2197" w:type="dxa"/>
          </w:tcPr>
          <w:p w:rsidR="006C3E79" w:rsidRPr="00DE6BE9" w:rsidRDefault="00DB00C0" w:rsidP="00A91AD2">
            <w:pPr>
              <w:jc w:val="center"/>
              <w:rPr>
                <w:sz w:val="20"/>
                <w:szCs w:val="20"/>
              </w:rPr>
            </w:pPr>
            <w:r>
              <w:rPr>
                <w:sz w:val="20"/>
                <w:szCs w:val="20"/>
              </w:rPr>
              <w:t>Yes</w:t>
            </w:r>
          </w:p>
        </w:tc>
        <w:tc>
          <w:tcPr>
            <w:tcW w:w="2198" w:type="dxa"/>
          </w:tcPr>
          <w:p w:rsidR="006C3E79" w:rsidRPr="00DE6BE9" w:rsidRDefault="00DB00C0" w:rsidP="00A91AD2">
            <w:pPr>
              <w:jc w:val="center"/>
              <w:rPr>
                <w:sz w:val="20"/>
                <w:szCs w:val="20"/>
              </w:rPr>
            </w:pPr>
            <w:r>
              <w:rPr>
                <w:sz w:val="20"/>
                <w:szCs w:val="20"/>
              </w:rPr>
              <w:t>Yes</w:t>
            </w:r>
          </w:p>
        </w:tc>
        <w:tc>
          <w:tcPr>
            <w:tcW w:w="2197" w:type="dxa"/>
          </w:tcPr>
          <w:p w:rsidR="006C3E79" w:rsidRPr="00DE6BE9" w:rsidRDefault="00DB00C0" w:rsidP="00A91AD2">
            <w:pPr>
              <w:jc w:val="center"/>
              <w:rPr>
                <w:sz w:val="20"/>
                <w:szCs w:val="20"/>
              </w:rPr>
            </w:pPr>
            <w:r>
              <w:rPr>
                <w:sz w:val="20"/>
                <w:szCs w:val="20"/>
              </w:rPr>
              <w:t>Yes</w:t>
            </w:r>
          </w:p>
        </w:tc>
        <w:tc>
          <w:tcPr>
            <w:tcW w:w="2198" w:type="dxa"/>
          </w:tcPr>
          <w:p w:rsidR="006C3E79" w:rsidRPr="00DE6BE9" w:rsidRDefault="00DB00C0" w:rsidP="00A91AD2">
            <w:pPr>
              <w:jc w:val="center"/>
              <w:rPr>
                <w:sz w:val="20"/>
                <w:szCs w:val="20"/>
              </w:rPr>
            </w:pPr>
            <w:r>
              <w:rPr>
                <w:sz w:val="20"/>
                <w:szCs w:val="20"/>
              </w:rPr>
              <w:t>Yes</w:t>
            </w:r>
          </w:p>
        </w:tc>
        <w:tc>
          <w:tcPr>
            <w:tcW w:w="1350" w:type="dxa"/>
          </w:tcPr>
          <w:p w:rsidR="006C3E79" w:rsidRPr="00DE6BE9" w:rsidRDefault="00DB00C0" w:rsidP="00A91AD2">
            <w:pPr>
              <w:jc w:val="center"/>
              <w:rPr>
                <w:sz w:val="20"/>
                <w:szCs w:val="20"/>
              </w:rPr>
            </w:pPr>
            <w:r>
              <w:rPr>
                <w:sz w:val="20"/>
                <w:szCs w:val="20"/>
              </w:rPr>
              <w:t>100%</w:t>
            </w:r>
          </w:p>
        </w:tc>
      </w:tr>
      <w:tr w:rsidR="00DB00C0" w:rsidRPr="00DE6BE9" w:rsidTr="00A91AD2">
        <w:tc>
          <w:tcPr>
            <w:tcW w:w="1818" w:type="dxa"/>
          </w:tcPr>
          <w:p w:rsidR="00DB00C0" w:rsidRPr="00DB00C0" w:rsidRDefault="00DB00C0" w:rsidP="00A91AD2">
            <w:pPr>
              <w:rPr>
                <w:sz w:val="20"/>
                <w:szCs w:val="20"/>
                <w:vertAlign w:val="superscript"/>
              </w:rPr>
            </w:pPr>
            <w:r w:rsidRPr="00DB00C0">
              <w:rPr>
                <w:sz w:val="20"/>
                <w:szCs w:val="20"/>
              </w:rPr>
              <w:t>Rodham, 2007</w:t>
            </w:r>
            <w:r w:rsidRPr="00DB00C0">
              <w:rPr>
                <w:sz w:val="20"/>
                <w:szCs w:val="20"/>
                <w:vertAlign w:val="superscript"/>
              </w:rPr>
              <w:t>20</w:t>
            </w:r>
          </w:p>
        </w:tc>
        <w:tc>
          <w:tcPr>
            <w:tcW w:w="1830" w:type="dxa"/>
          </w:tcPr>
          <w:p w:rsidR="00DB00C0" w:rsidRPr="00DE6BE9" w:rsidRDefault="00DB00C0" w:rsidP="00A91AD2">
            <w:pPr>
              <w:jc w:val="center"/>
              <w:rPr>
                <w:sz w:val="20"/>
                <w:szCs w:val="20"/>
              </w:rPr>
            </w:pPr>
          </w:p>
        </w:tc>
        <w:tc>
          <w:tcPr>
            <w:tcW w:w="2197" w:type="dxa"/>
          </w:tcPr>
          <w:p w:rsidR="00DB00C0" w:rsidRPr="00DE6BE9" w:rsidRDefault="00DB00C0" w:rsidP="00DD49B2">
            <w:pPr>
              <w:jc w:val="center"/>
              <w:rPr>
                <w:sz w:val="20"/>
                <w:szCs w:val="20"/>
              </w:rPr>
            </w:pPr>
            <w:r>
              <w:rPr>
                <w:sz w:val="20"/>
                <w:szCs w:val="20"/>
              </w:rPr>
              <w:t>Yes</w:t>
            </w:r>
          </w:p>
        </w:tc>
        <w:tc>
          <w:tcPr>
            <w:tcW w:w="2198" w:type="dxa"/>
          </w:tcPr>
          <w:p w:rsidR="00DB00C0" w:rsidRPr="00DE6BE9" w:rsidRDefault="00DB00C0" w:rsidP="00DD49B2">
            <w:pPr>
              <w:jc w:val="center"/>
              <w:rPr>
                <w:sz w:val="20"/>
                <w:szCs w:val="20"/>
              </w:rPr>
            </w:pPr>
            <w:r>
              <w:rPr>
                <w:sz w:val="20"/>
                <w:szCs w:val="20"/>
              </w:rPr>
              <w:t>Yes</w:t>
            </w:r>
          </w:p>
        </w:tc>
        <w:tc>
          <w:tcPr>
            <w:tcW w:w="2197" w:type="dxa"/>
          </w:tcPr>
          <w:p w:rsidR="00DB00C0" w:rsidRPr="00DE6BE9" w:rsidRDefault="00DB00C0" w:rsidP="00DD49B2">
            <w:pPr>
              <w:jc w:val="center"/>
              <w:rPr>
                <w:sz w:val="20"/>
                <w:szCs w:val="20"/>
              </w:rPr>
            </w:pPr>
            <w:r>
              <w:rPr>
                <w:sz w:val="20"/>
                <w:szCs w:val="20"/>
              </w:rPr>
              <w:t>Yes</w:t>
            </w:r>
          </w:p>
        </w:tc>
        <w:tc>
          <w:tcPr>
            <w:tcW w:w="2198" w:type="dxa"/>
          </w:tcPr>
          <w:p w:rsidR="00DB00C0" w:rsidRPr="00DE6BE9" w:rsidRDefault="00DB00C0" w:rsidP="00DD49B2">
            <w:pPr>
              <w:jc w:val="center"/>
              <w:rPr>
                <w:sz w:val="20"/>
                <w:szCs w:val="20"/>
              </w:rPr>
            </w:pPr>
            <w:r>
              <w:rPr>
                <w:sz w:val="20"/>
                <w:szCs w:val="20"/>
              </w:rPr>
              <w:t>Yes</w:t>
            </w:r>
          </w:p>
        </w:tc>
        <w:tc>
          <w:tcPr>
            <w:tcW w:w="1350" w:type="dxa"/>
          </w:tcPr>
          <w:p w:rsidR="00DB00C0" w:rsidRPr="00DE6BE9" w:rsidRDefault="00DB00C0" w:rsidP="00DD49B2">
            <w:pPr>
              <w:jc w:val="center"/>
              <w:rPr>
                <w:sz w:val="20"/>
                <w:szCs w:val="20"/>
              </w:rPr>
            </w:pPr>
            <w:r>
              <w:rPr>
                <w:sz w:val="20"/>
                <w:szCs w:val="20"/>
              </w:rPr>
              <w:t>100%</w:t>
            </w:r>
          </w:p>
        </w:tc>
      </w:tr>
      <w:tr w:rsidR="00DB00C0" w:rsidRPr="00DE6BE9" w:rsidTr="00A91AD2">
        <w:tc>
          <w:tcPr>
            <w:tcW w:w="1818" w:type="dxa"/>
          </w:tcPr>
          <w:p w:rsidR="00DB00C0" w:rsidRPr="00DB00C0" w:rsidRDefault="00DB00C0" w:rsidP="00A91AD2">
            <w:pPr>
              <w:rPr>
                <w:sz w:val="20"/>
                <w:szCs w:val="20"/>
                <w:vertAlign w:val="superscript"/>
              </w:rPr>
            </w:pPr>
            <w:r w:rsidRPr="00DB00C0">
              <w:rPr>
                <w:sz w:val="20"/>
                <w:szCs w:val="20"/>
              </w:rPr>
              <w:t>Lewis, 2012</w:t>
            </w:r>
            <w:r w:rsidRPr="00DB00C0">
              <w:rPr>
                <w:sz w:val="20"/>
                <w:szCs w:val="20"/>
                <w:vertAlign w:val="superscript"/>
              </w:rPr>
              <w:t>21</w:t>
            </w:r>
          </w:p>
        </w:tc>
        <w:tc>
          <w:tcPr>
            <w:tcW w:w="1830" w:type="dxa"/>
          </w:tcPr>
          <w:p w:rsidR="00DB00C0" w:rsidRPr="00DE6BE9" w:rsidRDefault="00DB00C0" w:rsidP="00A91AD2">
            <w:pPr>
              <w:jc w:val="center"/>
              <w:rPr>
                <w:sz w:val="20"/>
                <w:szCs w:val="20"/>
              </w:rPr>
            </w:pPr>
          </w:p>
        </w:tc>
        <w:tc>
          <w:tcPr>
            <w:tcW w:w="2197" w:type="dxa"/>
          </w:tcPr>
          <w:p w:rsidR="00DB00C0" w:rsidRPr="00DE6BE9" w:rsidRDefault="00DB00C0" w:rsidP="00DD49B2">
            <w:pPr>
              <w:jc w:val="center"/>
              <w:rPr>
                <w:sz w:val="20"/>
                <w:szCs w:val="20"/>
              </w:rPr>
            </w:pPr>
            <w:r>
              <w:rPr>
                <w:sz w:val="20"/>
                <w:szCs w:val="20"/>
              </w:rPr>
              <w:t>Yes</w:t>
            </w:r>
          </w:p>
        </w:tc>
        <w:tc>
          <w:tcPr>
            <w:tcW w:w="2198" w:type="dxa"/>
          </w:tcPr>
          <w:p w:rsidR="00DB00C0" w:rsidRPr="00DE6BE9" w:rsidRDefault="00DB00C0" w:rsidP="00DD49B2">
            <w:pPr>
              <w:jc w:val="center"/>
              <w:rPr>
                <w:sz w:val="20"/>
                <w:szCs w:val="20"/>
              </w:rPr>
            </w:pPr>
            <w:r>
              <w:rPr>
                <w:sz w:val="20"/>
                <w:szCs w:val="20"/>
              </w:rPr>
              <w:t>Yes</w:t>
            </w:r>
          </w:p>
        </w:tc>
        <w:tc>
          <w:tcPr>
            <w:tcW w:w="2197" w:type="dxa"/>
          </w:tcPr>
          <w:p w:rsidR="00DB00C0" w:rsidRPr="00DE6BE9" w:rsidRDefault="00DB00C0" w:rsidP="00DD49B2">
            <w:pPr>
              <w:jc w:val="center"/>
              <w:rPr>
                <w:sz w:val="20"/>
                <w:szCs w:val="20"/>
              </w:rPr>
            </w:pPr>
            <w:r>
              <w:rPr>
                <w:sz w:val="20"/>
                <w:szCs w:val="20"/>
              </w:rPr>
              <w:t>Yes</w:t>
            </w:r>
          </w:p>
        </w:tc>
        <w:tc>
          <w:tcPr>
            <w:tcW w:w="2198" w:type="dxa"/>
          </w:tcPr>
          <w:p w:rsidR="00DB00C0" w:rsidRPr="00DE6BE9" w:rsidRDefault="00DB00C0" w:rsidP="00DD49B2">
            <w:pPr>
              <w:jc w:val="center"/>
              <w:rPr>
                <w:sz w:val="20"/>
                <w:szCs w:val="20"/>
              </w:rPr>
            </w:pPr>
            <w:r>
              <w:rPr>
                <w:sz w:val="20"/>
                <w:szCs w:val="20"/>
              </w:rPr>
              <w:t>Yes</w:t>
            </w:r>
          </w:p>
        </w:tc>
        <w:tc>
          <w:tcPr>
            <w:tcW w:w="1350" w:type="dxa"/>
          </w:tcPr>
          <w:p w:rsidR="00DB00C0" w:rsidRPr="00DE6BE9" w:rsidRDefault="00DB00C0" w:rsidP="00DD49B2">
            <w:pPr>
              <w:jc w:val="center"/>
              <w:rPr>
                <w:sz w:val="20"/>
                <w:szCs w:val="20"/>
              </w:rPr>
            </w:pPr>
            <w:r>
              <w:rPr>
                <w:sz w:val="20"/>
                <w:szCs w:val="20"/>
              </w:rPr>
              <w:t>100%</w:t>
            </w:r>
          </w:p>
        </w:tc>
      </w:tr>
      <w:tr w:rsidR="00DB00C0" w:rsidRPr="00DE6BE9" w:rsidTr="00A91AD2">
        <w:tc>
          <w:tcPr>
            <w:tcW w:w="1818" w:type="dxa"/>
          </w:tcPr>
          <w:p w:rsidR="00DB00C0" w:rsidRPr="00DB00C0" w:rsidRDefault="00DB00C0" w:rsidP="00A91AD2">
            <w:pPr>
              <w:rPr>
                <w:sz w:val="20"/>
                <w:szCs w:val="20"/>
                <w:vertAlign w:val="superscript"/>
              </w:rPr>
            </w:pPr>
            <w:r w:rsidRPr="00DB00C0">
              <w:rPr>
                <w:sz w:val="20"/>
                <w:szCs w:val="20"/>
              </w:rPr>
              <w:t>Niwa, 2012</w:t>
            </w:r>
            <w:r w:rsidRPr="00DB00C0">
              <w:rPr>
                <w:sz w:val="20"/>
                <w:szCs w:val="20"/>
                <w:vertAlign w:val="superscript"/>
              </w:rPr>
              <w:t>33</w:t>
            </w:r>
          </w:p>
        </w:tc>
        <w:tc>
          <w:tcPr>
            <w:tcW w:w="1830" w:type="dxa"/>
          </w:tcPr>
          <w:p w:rsidR="00DB00C0" w:rsidRPr="00DE6BE9" w:rsidRDefault="00DB00C0" w:rsidP="00A91AD2">
            <w:pPr>
              <w:jc w:val="center"/>
              <w:rPr>
                <w:sz w:val="20"/>
                <w:szCs w:val="20"/>
              </w:rPr>
            </w:pPr>
          </w:p>
        </w:tc>
        <w:tc>
          <w:tcPr>
            <w:tcW w:w="2197" w:type="dxa"/>
          </w:tcPr>
          <w:p w:rsidR="00DB00C0" w:rsidRPr="00DE6BE9" w:rsidRDefault="00DB00C0" w:rsidP="00DD49B2">
            <w:pPr>
              <w:jc w:val="center"/>
              <w:rPr>
                <w:sz w:val="20"/>
                <w:szCs w:val="20"/>
              </w:rPr>
            </w:pPr>
            <w:r>
              <w:rPr>
                <w:sz w:val="20"/>
                <w:szCs w:val="20"/>
              </w:rPr>
              <w:t>Yes</w:t>
            </w:r>
          </w:p>
        </w:tc>
        <w:tc>
          <w:tcPr>
            <w:tcW w:w="2198" w:type="dxa"/>
          </w:tcPr>
          <w:p w:rsidR="00DB00C0" w:rsidRPr="00DE6BE9" w:rsidRDefault="00DB00C0" w:rsidP="00DD49B2">
            <w:pPr>
              <w:jc w:val="center"/>
              <w:rPr>
                <w:sz w:val="20"/>
                <w:szCs w:val="20"/>
              </w:rPr>
            </w:pPr>
            <w:r>
              <w:rPr>
                <w:sz w:val="20"/>
                <w:szCs w:val="20"/>
              </w:rPr>
              <w:t>Yes</w:t>
            </w:r>
          </w:p>
        </w:tc>
        <w:tc>
          <w:tcPr>
            <w:tcW w:w="2197" w:type="dxa"/>
          </w:tcPr>
          <w:p w:rsidR="00DB00C0" w:rsidRPr="00DE6BE9" w:rsidRDefault="00DB00C0" w:rsidP="00DD49B2">
            <w:pPr>
              <w:jc w:val="center"/>
              <w:rPr>
                <w:sz w:val="20"/>
                <w:szCs w:val="20"/>
              </w:rPr>
            </w:pPr>
            <w:r>
              <w:rPr>
                <w:sz w:val="20"/>
                <w:szCs w:val="20"/>
              </w:rPr>
              <w:t>Yes</w:t>
            </w:r>
          </w:p>
        </w:tc>
        <w:tc>
          <w:tcPr>
            <w:tcW w:w="2198" w:type="dxa"/>
          </w:tcPr>
          <w:p w:rsidR="00DB00C0" w:rsidRPr="00DE6BE9" w:rsidRDefault="00DB00C0" w:rsidP="00DD49B2">
            <w:pPr>
              <w:jc w:val="center"/>
              <w:rPr>
                <w:sz w:val="20"/>
                <w:szCs w:val="20"/>
              </w:rPr>
            </w:pPr>
            <w:r>
              <w:rPr>
                <w:sz w:val="20"/>
                <w:szCs w:val="20"/>
              </w:rPr>
              <w:t>Yes</w:t>
            </w:r>
          </w:p>
        </w:tc>
        <w:tc>
          <w:tcPr>
            <w:tcW w:w="1350" w:type="dxa"/>
          </w:tcPr>
          <w:p w:rsidR="00DB00C0" w:rsidRPr="00DE6BE9" w:rsidRDefault="00DB00C0" w:rsidP="00DD49B2">
            <w:pPr>
              <w:jc w:val="center"/>
              <w:rPr>
                <w:sz w:val="20"/>
                <w:szCs w:val="20"/>
              </w:rPr>
            </w:pPr>
            <w:r>
              <w:rPr>
                <w:sz w:val="20"/>
                <w:szCs w:val="20"/>
              </w:rPr>
              <w:t>100%</w:t>
            </w:r>
          </w:p>
        </w:tc>
      </w:tr>
      <w:tr w:rsidR="00DB00C0" w:rsidRPr="00DE6BE9" w:rsidTr="00A91AD2">
        <w:tc>
          <w:tcPr>
            <w:tcW w:w="1818" w:type="dxa"/>
          </w:tcPr>
          <w:p w:rsidR="00DB00C0" w:rsidRPr="00DB00C0" w:rsidRDefault="00DB00C0" w:rsidP="00A91AD2">
            <w:pPr>
              <w:rPr>
                <w:sz w:val="20"/>
                <w:szCs w:val="20"/>
                <w:vertAlign w:val="superscript"/>
              </w:rPr>
            </w:pPr>
            <w:r w:rsidRPr="00DB00C0">
              <w:rPr>
                <w:sz w:val="20"/>
                <w:szCs w:val="20"/>
              </w:rPr>
              <w:t>Baker, 2008</w:t>
            </w:r>
            <w:r w:rsidRPr="00DB00C0">
              <w:rPr>
                <w:sz w:val="20"/>
                <w:szCs w:val="20"/>
                <w:vertAlign w:val="superscript"/>
              </w:rPr>
              <w:t>34</w:t>
            </w:r>
          </w:p>
        </w:tc>
        <w:tc>
          <w:tcPr>
            <w:tcW w:w="1830" w:type="dxa"/>
          </w:tcPr>
          <w:p w:rsidR="00DB00C0" w:rsidRPr="00DE6BE9" w:rsidRDefault="00DB00C0" w:rsidP="00A91AD2">
            <w:pPr>
              <w:jc w:val="center"/>
              <w:rPr>
                <w:sz w:val="20"/>
                <w:szCs w:val="20"/>
              </w:rPr>
            </w:pPr>
          </w:p>
        </w:tc>
        <w:tc>
          <w:tcPr>
            <w:tcW w:w="2197" w:type="dxa"/>
          </w:tcPr>
          <w:p w:rsidR="00DB00C0" w:rsidRPr="00DE6BE9" w:rsidRDefault="00DB00C0" w:rsidP="00DD49B2">
            <w:pPr>
              <w:jc w:val="center"/>
              <w:rPr>
                <w:sz w:val="20"/>
                <w:szCs w:val="20"/>
              </w:rPr>
            </w:pPr>
            <w:r>
              <w:rPr>
                <w:sz w:val="20"/>
                <w:szCs w:val="20"/>
              </w:rPr>
              <w:t>Yes</w:t>
            </w:r>
          </w:p>
        </w:tc>
        <w:tc>
          <w:tcPr>
            <w:tcW w:w="2198" w:type="dxa"/>
          </w:tcPr>
          <w:p w:rsidR="00DB00C0" w:rsidRPr="00DE6BE9" w:rsidRDefault="00DB00C0" w:rsidP="00DD49B2">
            <w:pPr>
              <w:jc w:val="center"/>
              <w:rPr>
                <w:sz w:val="20"/>
                <w:szCs w:val="20"/>
              </w:rPr>
            </w:pPr>
            <w:r>
              <w:rPr>
                <w:sz w:val="20"/>
                <w:szCs w:val="20"/>
              </w:rPr>
              <w:t>Yes</w:t>
            </w:r>
          </w:p>
        </w:tc>
        <w:tc>
          <w:tcPr>
            <w:tcW w:w="2197" w:type="dxa"/>
          </w:tcPr>
          <w:p w:rsidR="00DB00C0" w:rsidRPr="00DE6BE9" w:rsidRDefault="00DB00C0" w:rsidP="00DD49B2">
            <w:pPr>
              <w:jc w:val="center"/>
              <w:rPr>
                <w:sz w:val="20"/>
                <w:szCs w:val="20"/>
              </w:rPr>
            </w:pPr>
            <w:r>
              <w:rPr>
                <w:sz w:val="20"/>
                <w:szCs w:val="20"/>
              </w:rPr>
              <w:t>Yes</w:t>
            </w:r>
          </w:p>
        </w:tc>
        <w:tc>
          <w:tcPr>
            <w:tcW w:w="2198" w:type="dxa"/>
          </w:tcPr>
          <w:p w:rsidR="00DB00C0" w:rsidRPr="00DE6BE9" w:rsidRDefault="00DB00C0" w:rsidP="00DD49B2">
            <w:pPr>
              <w:jc w:val="center"/>
              <w:rPr>
                <w:sz w:val="20"/>
                <w:szCs w:val="20"/>
              </w:rPr>
            </w:pPr>
            <w:r>
              <w:rPr>
                <w:sz w:val="20"/>
                <w:szCs w:val="20"/>
              </w:rPr>
              <w:t>Yes</w:t>
            </w:r>
          </w:p>
        </w:tc>
        <w:tc>
          <w:tcPr>
            <w:tcW w:w="1350" w:type="dxa"/>
          </w:tcPr>
          <w:p w:rsidR="00DB00C0" w:rsidRPr="00DE6BE9" w:rsidRDefault="00DB00C0" w:rsidP="00DD49B2">
            <w:pPr>
              <w:jc w:val="center"/>
              <w:rPr>
                <w:sz w:val="20"/>
                <w:szCs w:val="20"/>
              </w:rPr>
            </w:pPr>
            <w:r>
              <w:rPr>
                <w:sz w:val="20"/>
                <w:szCs w:val="20"/>
              </w:rPr>
              <w:t>100%</w:t>
            </w:r>
          </w:p>
        </w:tc>
      </w:tr>
      <w:tr w:rsidR="00DB00C0" w:rsidRPr="00DE6BE9" w:rsidTr="00A91AD2">
        <w:tc>
          <w:tcPr>
            <w:tcW w:w="1818" w:type="dxa"/>
          </w:tcPr>
          <w:p w:rsidR="00DB00C0" w:rsidRPr="00DB00C0" w:rsidRDefault="00DB00C0" w:rsidP="00A91AD2">
            <w:pPr>
              <w:rPr>
                <w:sz w:val="20"/>
                <w:szCs w:val="20"/>
                <w:vertAlign w:val="superscript"/>
              </w:rPr>
            </w:pPr>
            <w:r w:rsidRPr="00DB00C0">
              <w:rPr>
                <w:sz w:val="20"/>
                <w:szCs w:val="20"/>
              </w:rPr>
              <w:t>Miller, 1998</w:t>
            </w:r>
            <w:r w:rsidRPr="00DB00C0">
              <w:rPr>
                <w:sz w:val="20"/>
                <w:szCs w:val="20"/>
                <w:vertAlign w:val="superscript"/>
              </w:rPr>
              <w:t>35</w:t>
            </w:r>
          </w:p>
        </w:tc>
        <w:tc>
          <w:tcPr>
            <w:tcW w:w="1830" w:type="dxa"/>
          </w:tcPr>
          <w:p w:rsidR="00DB00C0" w:rsidRPr="00DE6BE9" w:rsidRDefault="00DB00C0" w:rsidP="00A91AD2">
            <w:pPr>
              <w:jc w:val="center"/>
              <w:rPr>
                <w:sz w:val="20"/>
                <w:szCs w:val="20"/>
              </w:rPr>
            </w:pPr>
          </w:p>
        </w:tc>
        <w:tc>
          <w:tcPr>
            <w:tcW w:w="2197" w:type="dxa"/>
          </w:tcPr>
          <w:p w:rsidR="00DB00C0" w:rsidRPr="00DE6BE9" w:rsidRDefault="00DB00C0" w:rsidP="00DD49B2">
            <w:pPr>
              <w:jc w:val="center"/>
              <w:rPr>
                <w:sz w:val="20"/>
                <w:szCs w:val="20"/>
              </w:rPr>
            </w:pPr>
            <w:r>
              <w:rPr>
                <w:sz w:val="20"/>
                <w:szCs w:val="20"/>
              </w:rPr>
              <w:t>Yes</w:t>
            </w:r>
          </w:p>
        </w:tc>
        <w:tc>
          <w:tcPr>
            <w:tcW w:w="2198" w:type="dxa"/>
          </w:tcPr>
          <w:p w:rsidR="00DB00C0" w:rsidRPr="00DE6BE9" w:rsidRDefault="00DB00C0" w:rsidP="00DD49B2">
            <w:pPr>
              <w:jc w:val="center"/>
              <w:rPr>
                <w:sz w:val="20"/>
                <w:szCs w:val="20"/>
              </w:rPr>
            </w:pPr>
            <w:r>
              <w:rPr>
                <w:sz w:val="20"/>
                <w:szCs w:val="20"/>
              </w:rPr>
              <w:t>Yes</w:t>
            </w:r>
          </w:p>
        </w:tc>
        <w:tc>
          <w:tcPr>
            <w:tcW w:w="2197" w:type="dxa"/>
          </w:tcPr>
          <w:p w:rsidR="00DB00C0" w:rsidRPr="00DE6BE9" w:rsidRDefault="00DB00C0" w:rsidP="00DD49B2">
            <w:pPr>
              <w:jc w:val="center"/>
              <w:rPr>
                <w:sz w:val="20"/>
                <w:szCs w:val="20"/>
              </w:rPr>
            </w:pPr>
            <w:r>
              <w:rPr>
                <w:sz w:val="20"/>
                <w:szCs w:val="20"/>
              </w:rPr>
              <w:t>Yes</w:t>
            </w:r>
          </w:p>
        </w:tc>
        <w:tc>
          <w:tcPr>
            <w:tcW w:w="2198" w:type="dxa"/>
          </w:tcPr>
          <w:p w:rsidR="00DB00C0" w:rsidRPr="00DE6BE9" w:rsidRDefault="00DB00C0" w:rsidP="00DD49B2">
            <w:pPr>
              <w:jc w:val="center"/>
              <w:rPr>
                <w:sz w:val="20"/>
                <w:szCs w:val="20"/>
              </w:rPr>
            </w:pPr>
            <w:r>
              <w:rPr>
                <w:sz w:val="20"/>
                <w:szCs w:val="20"/>
              </w:rPr>
              <w:t>Yes</w:t>
            </w:r>
          </w:p>
        </w:tc>
        <w:tc>
          <w:tcPr>
            <w:tcW w:w="1350" w:type="dxa"/>
          </w:tcPr>
          <w:p w:rsidR="00DB00C0" w:rsidRPr="00DE6BE9" w:rsidRDefault="00DB00C0" w:rsidP="00DD49B2">
            <w:pPr>
              <w:jc w:val="center"/>
              <w:rPr>
                <w:sz w:val="20"/>
                <w:szCs w:val="20"/>
              </w:rPr>
            </w:pPr>
            <w:r>
              <w:rPr>
                <w:sz w:val="20"/>
                <w:szCs w:val="20"/>
              </w:rPr>
              <w:t>100%</w:t>
            </w:r>
          </w:p>
        </w:tc>
      </w:tr>
      <w:tr w:rsidR="0059027E" w:rsidRPr="00DE6BE9" w:rsidTr="00A91AD2">
        <w:tc>
          <w:tcPr>
            <w:tcW w:w="1818" w:type="dxa"/>
          </w:tcPr>
          <w:p w:rsidR="0059027E" w:rsidRPr="00DB00C0" w:rsidRDefault="0059027E" w:rsidP="00A91AD2">
            <w:pPr>
              <w:rPr>
                <w:sz w:val="20"/>
                <w:szCs w:val="20"/>
                <w:vertAlign w:val="superscript"/>
              </w:rPr>
            </w:pPr>
            <w:r w:rsidRPr="00DB00C0">
              <w:rPr>
                <w:sz w:val="20"/>
                <w:szCs w:val="20"/>
              </w:rPr>
              <w:t>Smithson, 2011</w:t>
            </w:r>
            <w:r w:rsidRPr="00DB00C0">
              <w:rPr>
                <w:sz w:val="20"/>
                <w:szCs w:val="20"/>
                <w:vertAlign w:val="superscript"/>
              </w:rPr>
              <w:t>36</w:t>
            </w:r>
          </w:p>
        </w:tc>
        <w:tc>
          <w:tcPr>
            <w:tcW w:w="1830" w:type="dxa"/>
          </w:tcPr>
          <w:p w:rsidR="0059027E" w:rsidRPr="00DE6BE9" w:rsidRDefault="0059027E" w:rsidP="00A91AD2">
            <w:pPr>
              <w:jc w:val="center"/>
              <w:rPr>
                <w:sz w:val="20"/>
                <w:szCs w:val="20"/>
              </w:rPr>
            </w:pPr>
          </w:p>
        </w:tc>
        <w:tc>
          <w:tcPr>
            <w:tcW w:w="2197" w:type="dxa"/>
          </w:tcPr>
          <w:p w:rsidR="0059027E" w:rsidRPr="00DE6BE9" w:rsidRDefault="0059027E" w:rsidP="00DD49B2">
            <w:pPr>
              <w:jc w:val="center"/>
              <w:rPr>
                <w:sz w:val="20"/>
                <w:szCs w:val="20"/>
              </w:rPr>
            </w:pPr>
            <w:r>
              <w:rPr>
                <w:sz w:val="20"/>
                <w:szCs w:val="20"/>
              </w:rPr>
              <w:t>Yes</w:t>
            </w:r>
          </w:p>
        </w:tc>
        <w:tc>
          <w:tcPr>
            <w:tcW w:w="2198" w:type="dxa"/>
          </w:tcPr>
          <w:p w:rsidR="0059027E" w:rsidRPr="00DE6BE9" w:rsidRDefault="0059027E" w:rsidP="00DD49B2">
            <w:pPr>
              <w:jc w:val="center"/>
              <w:rPr>
                <w:sz w:val="20"/>
                <w:szCs w:val="20"/>
              </w:rPr>
            </w:pPr>
            <w:r>
              <w:rPr>
                <w:sz w:val="20"/>
                <w:szCs w:val="20"/>
              </w:rPr>
              <w:t>Yes</w:t>
            </w:r>
          </w:p>
        </w:tc>
        <w:tc>
          <w:tcPr>
            <w:tcW w:w="2197" w:type="dxa"/>
          </w:tcPr>
          <w:p w:rsidR="0059027E" w:rsidRPr="00DE6BE9" w:rsidRDefault="0059027E" w:rsidP="00DD49B2">
            <w:pPr>
              <w:jc w:val="center"/>
              <w:rPr>
                <w:sz w:val="20"/>
                <w:szCs w:val="20"/>
              </w:rPr>
            </w:pPr>
            <w:r>
              <w:rPr>
                <w:sz w:val="20"/>
                <w:szCs w:val="20"/>
              </w:rPr>
              <w:t>Yes</w:t>
            </w:r>
          </w:p>
        </w:tc>
        <w:tc>
          <w:tcPr>
            <w:tcW w:w="2198" w:type="dxa"/>
          </w:tcPr>
          <w:p w:rsidR="0059027E" w:rsidRPr="00DE6BE9" w:rsidRDefault="0059027E" w:rsidP="00DD49B2">
            <w:pPr>
              <w:jc w:val="center"/>
              <w:rPr>
                <w:sz w:val="20"/>
                <w:szCs w:val="20"/>
              </w:rPr>
            </w:pPr>
            <w:r>
              <w:rPr>
                <w:sz w:val="20"/>
                <w:szCs w:val="20"/>
              </w:rPr>
              <w:t>Yes</w:t>
            </w:r>
          </w:p>
        </w:tc>
        <w:tc>
          <w:tcPr>
            <w:tcW w:w="1350" w:type="dxa"/>
          </w:tcPr>
          <w:p w:rsidR="0059027E" w:rsidRPr="00DE6BE9" w:rsidRDefault="0059027E" w:rsidP="00DD49B2">
            <w:pPr>
              <w:jc w:val="center"/>
              <w:rPr>
                <w:sz w:val="20"/>
                <w:szCs w:val="20"/>
              </w:rPr>
            </w:pPr>
            <w:r>
              <w:rPr>
                <w:sz w:val="20"/>
                <w:szCs w:val="20"/>
              </w:rPr>
              <w:t>100%</w:t>
            </w:r>
          </w:p>
        </w:tc>
      </w:tr>
      <w:tr w:rsidR="009E37EB" w:rsidRPr="00DE6BE9" w:rsidTr="00A91AD2">
        <w:tc>
          <w:tcPr>
            <w:tcW w:w="1818" w:type="dxa"/>
          </w:tcPr>
          <w:p w:rsidR="009E37EB" w:rsidRPr="00DB00C0" w:rsidRDefault="00706C7C" w:rsidP="00A91AD2">
            <w:pPr>
              <w:rPr>
                <w:sz w:val="20"/>
                <w:szCs w:val="20"/>
                <w:vertAlign w:val="superscript"/>
              </w:rPr>
            </w:pPr>
            <w:r w:rsidRPr="00DB00C0">
              <w:rPr>
                <w:sz w:val="20"/>
                <w:szCs w:val="20"/>
              </w:rPr>
              <w:t>Horne, 2009</w:t>
            </w:r>
            <w:r w:rsidRPr="00DB00C0">
              <w:rPr>
                <w:sz w:val="20"/>
                <w:szCs w:val="20"/>
                <w:vertAlign w:val="superscript"/>
              </w:rPr>
              <w:t>37</w:t>
            </w:r>
          </w:p>
        </w:tc>
        <w:tc>
          <w:tcPr>
            <w:tcW w:w="1830" w:type="dxa"/>
          </w:tcPr>
          <w:p w:rsidR="009E37EB" w:rsidRPr="00DE6BE9" w:rsidRDefault="009E37EB" w:rsidP="00A91AD2">
            <w:pPr>
              <w:jc w:val="center"/>
              <w:rPr>
                <w:sz w:val="20"/>
                <w:szCs w:val="20"/>
              </w:rPr>
            </w:pPr>
          </w:p>
        </w:tc>
        <w:tc>
          <w:tcPr>
            <w:tcW w:w="2197" w:type="dxa"/>
          </w:tcPr>
          <w:p w:rsidR="009E37EB" w:rsidRPr="00DE6BE9" w:rsidRDefault="0059027E" w:rsidP="00A91AD2">
            <w:pPr>
              <w:jc w:val="center"/>
              <w:rPr>
                <w:sz w:val="20"/>
                <w:szCs w:val="20"/>
              </w:rPr>
            </w:pPr>
            <w:r>
              <w:rPr>
                <w:sz w:val="20"/>
                <w:szCs w:val="20"/>
              </w:rPr>
              <w:t>Yes</w:t>
            </w:r>
          </w:p>
        </w:tc>
        <w:tc>
          <w:tcPr>
            <w:tcW w:w="2198" w:type="dxa"/>
          </w:tcPr>
          <w:p w:rsidR="009E37EB" w:rsidRPr="00DE6BE9" w:rsidRDefault="0059027E" w:rsidP="00A91AD2">
            <w:pPr>
              <w:jc w:val="center"/>
              <w:rPr>
                <w:sz w:val="20"/>
                <w:szCs w:val="20"/>
              </w:rPr>
            </w:pPr>
            <w:r>
              <w:rPr>
                <w:sz w:val="20"/>
                <w:szCs w:val="20"/>
              </w:rPr>
              <w:t>Yes</w:t>
            </w:r>
          </w:p>
        </w:tc>
        <w:tc>
          <w:tcPr>
            <w:tcW w:w="2197" w:type="dxa"/>
          </w:tcPr>
          <w:p w:rsidR="009E37EB" w:rsidRPr="00DE6BE9" w:rsidRDefault="0059027E" w:rsidP="00A91AD2">
            <w:pPr>
              <w:jc w:val="center"/>
              <w:rPr>
                <w:sz w:val="20"/>
                <w:szCs w:val="20"/>
              </w:rPr>
            </w:pPr>
            <w:r>
              <w:rPr>
                <w:sz w:val="20"/>
                <w:szCs w:val="20"/>
              </w:rPr>
              <w:t>Yes</w:t>
            </w:r>
          </w:p>
        </w:tc>
        <w:tc>
          <w:tcPr>
            <w:tcW w:w="2198" w:type="dxa"/>
          </w:tcPr>
          <w:p w:rsidR="009E37EB" w:rsidRPr="00DE6BE9" w:rsidRDefault="0059027E" w:rsidP="00A91AD2">
            <w:pPr>
              <w:jc w:val="center"/>
              <w:rPr>
                <w:sz w:val="20"/>
                <w:szCs w:val="20"/>
              </w:rPr>
            </w:pPr>
            <w:r>
              <w:rPr>
                <w:sz w:val="20"/>
                <w:szCs w:val="20"/>
              </w:rPr>
              <w:t>No</w:t>
            </w:r>
          </w:p>
        </w:tc>
        <w:tc>
          <w:tcPr>
            <w:tcW w:w="1350" w:type="dxa"/>
          </w:tcPr>
          <w:p w:rsidR="009E37EB" w:rsidRPr="00DE6BE9" w:rsidRDefault="0059027E" w:rsidP="00A91AD2">
            <w:pPr>
              <w:jc w:val="center"/>
              <w:rPr>
                <w:sz w:val="20"/>
                <w:szCs w:val="20"/>
              </w:rPr>
            </w:pPr>
            <w:r>
              <w:rPr>
                <w:sz w:val="20"/>
                <w:szCs w:val="20"/>
              </w:rPr>
              <w:t>75%</w:t>
            </w:r>
          </w:p>
        </w:tc>
      </w:tr>
      <w:tr w:rsidR="0059027E" w:rsidRPr="00DE6BE9" w:rsidTr="00A91AD2">
        <w:tc>
          <w:tcPr>
            <w:tcW w:w="1818" w:type="dxa"/>
          </w:tcPr>
          <w:p w:rsidR="0059027E" w:rsidRPr="00DB00C0" w:rsidRDefault="0059027E" w:rsidP="00A91AD2">
            <w:pPr>
              <w:rPr>
                <w:sz w:val="20"/>
                <w:szCs w:val="20"/>
                <w:vertAlign w:val="superscript"/>
              </w:rPr>
            </w:pPr>
            <w:r w:rsidRPr="00DB00C0">
              <w:rPr>
                <w:sz w:val="20"/>
                <w:szCs w:val="20"/>
              </w:rPr>
              <w:t>Smithson, 2011</w:t>
            </w:r>
            <w:r w:rsidRPr="00DB00C0">
              <w:rPr>
                <w:sz w:val="20"/>
                <w:szCs w:val="20"/>
                <w:vertAlign w:val="superscript"/>
              </w:rPr>
              <w:t>38</w:t>
            </w:r>
          </w:p>
        </w:tc>
        <w:tc>
          <w:tcPr>
            <w:tcW w:w="1830" w:type="dxa"/>
          </w:tcPr>
          <w:p w:rsidR="0059027E" w:rsidRPr="00DE6BE9" w:rsidRDefault="0059027E" w:rsidP="00A91AD2">
            <w:pPr>
              <w:jc w:val="center"/>
              <w:rPr>
                <w:sz w:val="20"/>
                <w:szCs w:val="20"/>
              </w:rPr>
            </w:pPr>
          </w:p>
        </w:tc>
        <w:tc>
          <w:tcPr>
            <w:tcW w:w="2197" w:type="dxa"/>
          </w:tcPr>
          <w:p w:rsidR="0059027E" w:rsidRPr="00DE6BE9" w:rsidRDefault="0059027E" w:rsidP="00DD49B2">
            <w:pPr>
              <w:jc w:val="center"/>
              <w:rPr>
                <w:sz w:val="20"/>
                <w:szCs w:val="20"/>
              </w:rPr>
            </w:pPr>
            <w:r>
              <w:rPr>
                <w:sz w:val="20"/>
                <w:szCs w:val="20"/>
              </w:rPr>
              <w:t>Yes</w:t>
            </w:r>
          </w:p>
        </w:tc>
        <w:tc>
          <w:tcPr>
            <w:tcW w:w="2198" w:type="dxa"/>
          </w:tcPr>
          <w:p w:rsidR="0059027E" w:rsidRPr="00DE6BE9" w:rsidRDefault="0059027E" w:rsidP="00DD49B2">
            <w:pPr>
              <w:jc w:val="center"/>
              <w:rPr>
                <w:sz w:val="20"/>
                <w:szCs w:val="20"/>
              </w:rPr>
            </w:pPr>
            <w:r>
              <w:rPr>
                <w:sz w:val="20"/>
                <w:szCs w:val="20"/>
              </w:rPr>
              <w:t>Yes</w:t>
            </w:r>
          </w:p>
        </w:tc>
        <w:tc>
          <w:tcPr>
            <w:tcW w:w="2197" w:type="dxa"/>
          </w:tcPr>
          <w:p w:rsidR="0059027E" w:rsidRPr="00DE6BE9" w:rsidRDefault="0059027E" w:rsidP="00DD49B2">
            <w:pPr>
              <w:jc w:val="center"/>
              <w:rPr>
                <w:sz w:val="20"/>
                <w:szCs w:val="20"/>
              </w:rPr>
            </w:pPr>
            <w:r>
              <w:rPr>
                <w:sz w:val="20"/>
                <w:szCs w:val="20"/>
              </w:rPr>
              <w:t>Yes</w:t>
            </w:r>
          </w:p>
        </w:tc>
        <w:tc>
          <w:tcPr>
            <w:tcW w:w="2198" w:type="dxa"/>
          </w:tcPr>
          <w:p w:rsidR="0059027E" w:rsidRPr="00DE6BE9" w:rsidRDefault="0059027E" w:rsidP="00DD49B2">
            <w:pPr>
              <w:jc w:val="center"/>
              <w:rPr>
                <w:sz w:val="20"/>
                <w:szCs w:val="20"/>
              </w:rPr>
            </w:pPr>
            <w:r>
              <w:rPr>
                <w:sz w:val="20"/>
                <w:szCs w:val="20"/>
              </w:rPr>
              <w:t>Yes</w:t>
            </w:r>
          </w:p>
        </w:tc>
        <w:tc>
          <w:tcPr>
            <w:tcW w:w="1350" w:type="dxa"/>
          </w:tcPr>
          <w:p w:rsidR="0059027E" w:rsidRPr="00DE6BE9" w:rsidRDefault="0059027E" w:rsidP="00DD49B2">
            <w:pPr>
              <w:jc w:val="center"/>
              <w:rPr>
                <w:sz w:val="20"/>
                <w:szCs w:val="20"/>
              </w:rPr>
            </w:pPr>
            <w:r>
              <w:rPr>
                <w:sz w:val="20"/>
                <w:szCs w:val="20"/>
              </w:rPr>
              <w:t>100%</w:t>
            </w:r>
          </w:p>
        </w:tc>
      </w:tr>
      <w:tr w:rsidR="009E37EB" w:rsidRPr="00DE6BE9" w:rsidTr="00A91AD2">
        <w:tc>
          <w:tcPr>
            <w:tcW w:w="1818" w:type="dxa"/>
          </w:tcPr>
          <w:p w:rsidR="009E37EB" w:rsidRPr="00DB00C0" w:rsidRDefault="00706C7C" w:rsidP="00A91AD2">
            <w:pPr>
              <w:rPr>
                <w:sz w:val="20"/>
                <w:szCs w:val="20"/>
                <w:vertAlign w:val="superscript"/>
              </w:rPr>
            </w:pPr>
            <w:r w:rsidRPr="00DB00C0">
              <w:rPr>
                <w:sz w:val="20"/>
                <w:szCs w:val="20"/>
              </w:rPr>
              <w:t>Adler, 2008</w:t>
            </w:r>
            <w:r w:rsidRPr="00DB00C0">
              <w:rPr>
                <w:sz w:val="20"/>
                <w:szCs w:val="20"/>
                <w:vertAlign w:val="superscript"/>
              </w:rPr>
              <w:t>39</w:t>
            </w:r>
          </w:p>
        </w:tc>
        <w:tc>
          <w:tcPr>
            <w:tcW w:w="1830" w:type="dxa"/>
          </w:tcPr>
          <w:p w:rsidR="009E37EB" w:rsidRPr="00DE6BE9" w:rsidRDefault="009E37EB" w:rsidP="00A91AD2">
            <w:pPr>
              <w:jc w:val="center"/>
              <w:rPr>
                <w:sz w:val="20"/>
                <w:szCs w:val="20"/>
              </w:rPr>
            </w:pPr>
          </w:p>
        </w:tc>
        <w:tc>
          <w:tcPr>
            <w:tcW w:w="2197" w:type="dxa"/>
          </w:tcPr>
          <w:p w:rsidR="009E37EB" w:rsidRPr="00DE6BE9" w:rsidRDefault="0059027E" w:rsidP="00A91AD2">
            <w:pPr>
              <w:jc w:val="center"/>
              <w:rPr>
                <w:sz w:val="20"/>
                <w:szCs w:val="20"/>
              </w:rPr>
            </w:pPr>
            <w:r>
              <w:rPr>
                <w:sz w:val="20"/>
                <w:szCs w:val="20"/>
              </w:rPr>
              <w:t>Yes</w:t>
            </w:r>
          </w:p>
        </w:tc>
        <w:tc>
          <w:tcPr>
            <w:tcW w:w="2198" w:type="dxa"/>
          </w:tcPr>
          <w:p w:rsidR="009E37EB" w:rsidRPr="00DE6BE9" w:rsidRDefault="0059027E" w:rsidP="00A91AD2">
            <w:pPr>
              <w:jc w:val="center"/>
              <w:rPr>
                <w:sz w:val="20"/>
                <w:szCs w:val="20"/>
              </w:rPr>
            </w:pPr>
            <w:r>
              <w:rPr>
                <w:sz w:val="20"/>
                <w:szCs w:val="20"/>
              </w:rPr>
              <w:t>Yes</w:t>
            </w:r>
          </w:p>
        </w:tc>
        <w:tc>
          <w:tcPr>
            <w:tcW w:w="2197" w:type="dxa"/>
          </w:tcPr>
          <w:p w:rsidR="009E37EB" w:rsidRPr="00DE6BE9" w:rsidRDefault="0059027E" w:rsidP="00A91AD2">
            <w:pPr>
              <w:jc w:val="center"/>
              <w:rPr>
                <w:sz w:val="20"/>
                <w:szCs w:val="20"/>
              </w:rPr>
            </w:pPr>
            <w:r>
              <w:rPr>
                <w:sz w:val="20"/>
                <w:szCs w:val="20"/>
              </w:rPr>
              <w:t>Yes</w:t>
            </w:r>
          </w:p>
        </w:tc>
        <w:tc>
          <w:tcPr>
            <w:tcW w:w="2198" w:type="dxa"/>
          </w:tcPr>
          <w:p w:rsidR="009E37EB" w:rsidRPr="00DE6BE9" w:rsidRDefault="0059027E" w:rsidP="00A91AD2">
            <w:pPr>
              <w:jc w:val="center"/>
              <w:rPr>
                <w:sz w:val="20"/>
                <w:szCs w:val="20"/>
              </w:rPr>
            </w:pPr>
            <w:r>
              <w:rPr>
                <w:sz w:val="20"/>
                <w:szCs w:val="20"/>
              </w:rPr>
              <w:t>No</w:t>
            </w:r>
          </w:p>
        </w:tc>
        <w:tc>
          <w:tcPr>
            <w:tcW w:w="1350" w:type="dxa"/>
          </w:tcPr>
          <w:p w:rsidR="009E37EB" w:rsidRPr="00DE6BE9" w:rsidRDefault="0059027E" w:rsidP="00A91AD2">
            <w:pPr>
              <w:jc w:val="center"/>
              <w:rPr>
                <w:sz w:val="20"/>
                <w:szCs w:val="20"/>
              </w:rPr>
            </w:pPr>
            <w:r>
              <w:rPr>
                <w:sz w:val="20"/>
                <w:szCs w:val="20"/>
              </w:rPr>
              <w:t>75%</w:t>
            </w:r>
          </w:p>
        </w:tc>
      </w:tr>
      <w:tr w:rsidR="009E37EB" w:rsidRPr="00DE6BE9" w:rsidTr="00A91AD2">
        <w:tc>
          <w:tcPr>
            <w:tcW w:w="1818" w:type="dxa"/>
          </w:tcPr>
          <w:p w:rsidR="009E37EB" w:rsidRPr="00DB00C0" w:rsidRDefault="00706C7C" w:rsidP="000B3715">
            <w:pPr>
              <w:rPr>
                <w:sz w:val="20"/>
                <w:szCs w:val="20"/>
                <w:vertAlign w:val="superscript"/>
              </w:rPr>
            </w:pPr>
            <w:r w:rsidRPr="00DB00C0">
              <w:rPr>
                <w:sz w:val="20"/>
                <w:szCs w:val="20"/>
              </w:rPr>
              <w:t>Sharkey, 2012</w:t>
            </w:r>
            <w:r w:rsidRPr="00DB00C0">
              <w:rPr>
                <w:sz w:val="20"/>
                <w:szCs w:val="20"/>
                <w:vertAlign w:val="superscript"/>
              </w:rPr>
              <w:t>4</w:t>
            </w:r>
            <w:r w:rsidR="000B3715">
              <w:rPr>
                <w:sz w:val="20"/>
                <w:szCs w:val="20"/>
                <w:vertAlign w:val="superscript"/>
              </w:rPr>
              <w:t>0</w:t>
            </w:r>
          </w:p>
        </w:tc>
        <w:tc>
          <w:tcPr>
            <w:tcW w:w="1830" w:type="dxa"/>
          </w:tcPr>
          <w:p w:rsidR="009E37EB" w:rsidRPr="00DE6BE9" w:rsidRDefault="009E37EB" w:rsidP="00A91AD2">
            <w:pPr>
              <w:jc w:val="center"/>
              <w:rPr>
                <w:sz w:val="20"/>
                <w:szCs w:val="20"/>
              </w:rPr>
            </w:pPr>
          </w:p>
        </w:tc>
        <w:tc>
          <w:tcPr>
            <w:tcW w:w="2197" w:type="dxa"/>
          </w:tcPr>
          <w:p w:rsidR="009E37EB" w:rsidRPr="00DE6BE9" w:rsidRDefault="0059027E" w:rsidP="00A91AD2">
            <w:pPr>
              <w:jc w:val="center"/>
              <w:rPr>
                <w:sz w:val="20"/>
                <w:szCs w:val="20"/>
              </w:rPr>
            </w:pPr>
            <w:r>
              <w:rPr>
                <w:sz w:val="20"/>
                <w:szCs w:val="20"/>
              </w:rPr>
              <w:t>Can’t Tell</w:t>
            </w:r>
          </w:p>
        </w:tc>
        <w:tc>
          <w:tcPr>
            <w:tcW w:w="2198" w:type="dxa"/>
          </w:tcPr>
          <w:p w:rsidR="009E37EB" w:rsidRPr="00DE6BE9" w:rsidRDefault="0059027E" w:rsidP="00A91AD2">
            <w:pPr>
              <w:jc w:val="center"/>
              <w:rPr>
                <w:sz w:val="20"/>
                <w:szCs w:val="20"/>
              </w:rPr>
            </w:pPr>
            <w:r>
              <w:rPr>
                <w:sz w:val="20"/>
                <w:szCs w:val="20"/>
              </w:rPr>
              <w:t>Yes</w:t>
            </w:r>
          </w:p>
        </w:tc>
        <w:tc>
          <w:tcPr>
            <w:tcW w:w="2197" w:type="dxa"/>
          </w:tcPr>
          <w:p w:rsidR="009E37EB" w:rsidRPr="00DE6BE9" w:rsidRDefault="0059027E" w:rsidP="00A91AD2">
            <w:pPr>
              <w:jc w:val="center"/>
              <w:rPr>
                <w:sz w:val="20"/>
                <w:szCs w:val="20"/>
              </w:rPr>
            </w:pPr>
            <w:r>
              <w:rPr>
                <w:sz w:val="20"/>
                <w:szCs w:val="20"/>
              </w:rPr>
              <w:t>Yes</w:t>
            </w:r>
          </w:p>
        </w:tc>
        <w:tc>
          <w:tcPr>
            <w:tcW w:w="2198" w:type="dxa"/>
          </w:tcPr>
          <w:p w:rsidR="009E37EB" w:rsidRPr="00DE6BE9" w:rsidRDefault="0059027E" w:rsidP="00A91AD2">
            <w:pPr>
              <w:jc w:val="center"/>
              <w:rPr>
                <w:sz w:val="20"/>
                <w:szCs w:val="20"/>
              </w:rPr>
            </w:pPr>
            <w:r>
              <w:rPr>
                <w:sz w:val="20"/>
                <w:szCs w:val="20"/>
              </w:rPr>
              <w:t>Yes</w:t>
            </w:r>
          </w:p>
        </w:tc>
        <w:tc>
          <w:tcPr>
            <w:tcW w:w="1350" w:type="dxa"/>
          </w:tcPr>
          <w:p w:rsidR="009E37EB" w:rsidRPr="00DE6BE9" w:rsidRDefault="0059027E" w:rsidP="00A91AD2">
            <w:pPr>
              <w:jc w:val="center"/>
              <w:rPr>
                <w:sz w:val="20"/>
                <w:szCs w:val="20"/>
              </w:rPr>
            </w:pPr>
            <w:r>
              <w:rPr>
                <w:sz w:val="20"/>
                <w:szCs w:val="20"/>
              </w:rPr>
              <w:t>75%</w:t>
            </w:r>
          </w:p>
        </w:tc>
      </w:tr>
      <w:tr w:rsidR="001D69E3" w:rsidRPr="00DE6BE9" w:rsidTr="00A91AD2">
        <w:tc>
          <w:tcPr>
            <w:tcW w:w="1818" w:type="dxa"/>
          </w:tcPr>
          <w:p w:rsidR="001D69E3" w:rsidRPr="00DB00C0" w:rsidRDefault="001D69E3" w:rsidP="000B3715">
            <w:pPr>
              <w:rPr>
                <w:sz w:val="20"/>
                <w:szCs w:val="20"/>
                <w:vertAlign w:val="superscript"/>
              </w:rPr>
            </w:pPr>
            <w:r w:rsidRPr="00DB00C0">
              <w:rPr>
                <w:sz w:val="20"/>
                <w:szCs w:val="20"/>
              </w:rPr>
              <w:t>Greidanus, 2010</w:t>
            </w:r>
            <w:r w:rsidRPr="00DB00C0">
              <w:rPr>
                <w:sz w:val="20"/>
                <w:szCs w:val="20"/>
                <w:vertAlign w:val="superscript"/>
              </w:rPr>
              <w:t>4</w:t>
            </w:r>
            <w:r w:rsidR="000B3715">
              <w:rPr>
                <w:sz w:val="20"/>
                <w:szCs w:val="20"/>
                <w:vertAlign w:val="superscript"/>
              </w:rPr>
              <w:t>4</w:t>
            </w:r>
          </w:p>
        </w:tc>
        <w:tc>
          <w:tcPr>
            <w:tcW w:w="1830" w:type="dxa"/>
          </w:tcPr>
          <w:p w:rsidR="001D69E3" w:rsidRPr="00DE6BE9" w:rsidRDefault="001D69E3" w:rsidP="00DD49B2">
            <w:pPr>
              <w:jc w:val="center"/>
              <w:rPr>
                <w:sz w:val="20"/>
                <w:szCs w:val="20"/>
              </w:rPr>
            </w:pPr>
          </w:p>
        </w:tc>
        <w:tc>
          <w:tcPr>
            <w:tcW w:w="2197" w:type="dxa"/>
          </w:tcPr>
          <w:p w:rsidR="001D69E3" w:rsidRPr="00DE6BE9" w:rsidRDefault="001D69E3" w:rsidP="00DD49B2">
            <w:pPr>
              <w:jc w:val="center"/>
              <w:rPr>
                <w:sz w:val="20"/>
                <w:szCs w:val="20"/>
              </w:rPr>
            </w:pPr>
            <w:r>
              <w:rPr>
                <w:sz w:val="20"/>
                <w:szCs w:val="20"/>
              </w:rPr>
              <w:t>Yes</w:t>
            </w:r>
          </w:p>
        </w:tc>
        <w:tc>
          <w:tcPr>
            <w:tcW w:w="2198" w:type="dxa"/>
          </w:tcPr>
          <w:p w:rsidR="001D69E3" w:rsidRPr="00DE6BE9" w:rsidRDefault="001D69E3" w:rsidP="00DD49B2">
            <w:pPr>
              <w:jc w:val="center"/>
              <w:rPr>
                <w:sz w:val="20"/>
                <w:szCs w:val="20"/>
              </w:rPr>
            </w:pPr>
            <w:r>
              <w:rPr>
                <w:sz w:val="20"/>
                <w:szCs w:val="20"/>
              </w:rPr>
              <w:t>Yes</w:t>
            </w:r>
          </w:p>
        </w:tc>
        <w:tc>
          <w:tcPr>
            <w:tcW w:w="2197" w:type="dxa"/>
          </w:tcPr>
          <w:p w:rsidR="001D69E3" w:rsidRPr="00DE6BE9" w:rsidRDefault="001D69E3" w:rsidP="00DD49B2">
            <w:pPr>
              <w:jc w:val="center"/>
              <w:rPr>
                <w:sz w:val="20"/>
                <w:szCs w:val="20"/>
              </w:rPr>
            </w:pPr>
            <w:r>
              <w:rPr>
                <w:sz w:val="20"/>
                <w:szCs w:val="20"/>
              </w:rPr>
              <w:t>Yes</w:t>
            </w:r>
          </w:p>
        </w:tc>
        <w:tc>
          <w:tcPr>
            <w:tcW w:w="2198" w:type="dxa"/>
          </w:tcPr>
          <w:p w:rsidR="001D69E3" w:rsidRPr="00DE6BE9" w:rsidRDefault="001D69E3" w:rsidP="00DD49B2">
            <w:pPr>
              <w:jc w:val="center"/>
              <w:rPr>
                <w:sz w:val="20"/>
                <w:szCs w:val="20"/>
              </w:rPr>
            </w:pPr>
            <w:r>
              <w:rPr>
                <w:sz w:val="20"/>
                <w:szCs w:val="20"/>
              </w:rPr>
              <w:t>Can’t Tell</w:t>
            </w:r>
          </w:p>
        </w:tc>
        <w:tc>
          <w:tcPr>
            <w:tcW w:w="1350" w:type="dxa"/>
          </w:tcPr>
          <w:p w:rsidR="001D69E3" w:rsidRPr="00DE6BE9" w:rsidRDefault="001D69E3" w:rsidP="00DD49B2">
            <w:pPr>
              <w:jc w:val="center"/>
              <w:rPr>
                <w:sz w:val="20"/>
                <w:szCs w:val="20"/>
              </w:rPr>
            </w:pPr>
            <w:r>
              <w:rPr>
                <w:sz w:val="20"/>
                <w:szCs w:val="20"/>
              </w:rPr>
              <w:t>75%</w:t>
            </w:r>
          </w:p>
        </w:tc>
      </w:tr>
      <w:tr w:rsidR="001D69E3" w:rsidRPr="00DE6BE9" w:rsidTr="00A91AD2">
        <w:tc>
          <w:tcPr>
            <w:tcW w:w="1818" w:type="dxa"/>
          </w:tcPr>
          <w:p w:rsidR="001D69E3" w:rsidRPr="00DB00C0" w:rsidRDefault="001D69E3" w:rsidP="000B3715">
            <w:pPr>
              <w:rPr>
                <w:sz w:val="20"/>
                <w:szCs w:val="20"/>
                <w:vertAlign w:val="superscript"/>
              </w:rPr>
            </w:pPr>
            <w:r w:rsidRPr="00DB00C0">
              <w:rPr>
                <w:sz w:val="20"/>
                <w:szCs w:val="20"/>
              </w:rPr>
              <w:t>Fekete, 2002</w:t>
            </w:r>
            <w:r w:rsidRPr="00DB00C0">
              <w:rPr>
                <w:sz w:val="20"/>
                <w:szCs w:val="20"/>
                <w:vertAlign w:val="superscript"/>
              </w:rPr>
              <w:t>4</w:t>
            </w:r>
            <w:r w:rsidR="000B3715">
              <w:rPr>
                <w:sz w:val="20"/>
                <w:szCs w:val="20"/>
                <w:vertAlign w:val="superscript"/>
              </w:rPr>
              <w:t>6</w:t>
            </w:r>
          </w:p>
        </w:tc>
        <w:tc>
          <w:tcPr>
            <w:tcW w:w="1830" w:type="dxa"/>
          </w:tcPr>
          <w:p w:rsidR="001D69E3" w:rsidRPr="00DE6BE9" w:rsidRDefault="001D69E3" w:rsidP="00DD49B2">
            <w:pPr>
              <w:jc w:val="center"/>
              <w:rPr>
                <w:sz w:val="20"/>
                <w:szCs w:val="20"/>
              </w:rPr>
            </w:pPr>
          </w:p>
        </w:tc>
        <w:tc>
          <w:tcPr>
            <w:tcW w:w="2197" w:type="dxa"/>
          </w:tcPr>
          <w:p w:rsidR="001D69E3" w:rsidRPr="00DE6BE9" w:rsidRDefault="001D69E3" w:rsidP="00DD49B2">
            <w:pPr>
              <w:jc w:val="center"/>
              <w:rPr>
                <w:sz w:val="20"/>
                <w:szCs w:val="20"/>
              </w:rPr>
            </w:pPr>
            <w:r>
              <w:rPr>
                <w:sz w:val="20"/>
                <w:szCs w:val="20"/>
              </w:rPr>
              <w:t>Yes</w:t>
            </w:r>
          </w:p>
        </w:tc>
        <w:tc>
          <w:tcPr>
            <w:tcW w:w="2198" w:type="dxa"/>
          </w:tcPr>
          <w:p w:rsidR="001D69E3" w:rsidRPr="00DE6BE9" w:rsidRDefault="001D69E3" w:rsidP="00DD49B2">
            <w:pPr>
              <w:jc w:val="center"/>
              <w:rPr>
                <w:sz w:val="20"/>
                <w:szCs w:val="20"/>
              </w:rPr>
            </w:pPr>
            <w:r>
              <w:rPr>
                <w:sz w:val="20"/>
                <w:szCs w:val="20"/>
              </w:rPr>
              <w:t>Yes</w:t>
            </w:r>
          </w:p>
        </w:tc>
        <w:tc>
          <w:tcPr>
            <w:tcW w:w="2197" w:type="dxa"/>
          </w:tcPr>
          <w:p w:rsidR="001D69E3" w:rsidRPr="00DE6BE9" w:rsidRDefault="001D69E3" w:rsidP="00DD49B2">
            <w:pPr>
              <w:jc w:val="center"/>
              <w:rPr>
                <w:sz w:val="20"/>
                <w:szCs w:val="20"/>
              </w:rPr>
            </w:pPr>
            <w:r>
              <w:rPr>
                <w:sz w:val="20"/>
                <w:szCs w:val="20"/>
              </w:rPr>
              <w:t>Yes</w:t>
            </w:r>
          </w:p>
        </w:tc>
        <w:tc>
          <w:tcPr>
            <w:tcW w:w="2198" w:type="dxa"/>
          </w:tcPr>
          <w:p w:rsidR="001D69E3" w:rsidRPr="00DE6BE9" w:rsidRDefault="001D69E3" w:rsidP="00DD49B2">
            <w:pPr>
              <w:jc w:val="center"/>
              <w:rPr>
                <w:sz w:val="20"/>
                <w:szCs w:val="20"/>
              </w:rPr>
            </w:pPr>
            <w:r>
              <w:rPr>
                <w:sz w:val="20"/>
                <w:szCs w:val="20"/>
              </w:rPr>
              <w:t>Yes</w:t>
            </w:r>
          </w:p>
        </w:tc>
        <w:tc>
          <w:tcPr>
            <w:tcW w:w="1350" w:type="dxa"/>
          </w:tcPr>
          <w:p w:rsidR="001D69E3" w:rsidRPr="00DE6BE9" w:rsidRDefault="001D69E3" w:rsidP="00DD49B2">
            <w:pPr>
              <w:jc w:val="center"/>
              <w:rPr>
                <w:sz w:val="20"/>
                <w:szCs w:val="20"/>
              </w:rPr>
            </w:pPr>
            <w:r>
              <w:rPr>
                <w:sz w:val="20"/>
                <w:szCs w:val="20"/>
              </w:rPr>
              <w:t>100%</w:t>
            </w:r>
          </w:p>
        </w:tc>
      </w:tr>
      <w:tr w:rsidR="00933466" w:rsidRPr="00DE6BE9" w:rsidTr="00A91AD2">
        <w:tc>
          <w:tcPr>
            <w:tcW w:w="1818" w:type="dxa"/>
          </w:tcPr>
          <w:p w:rsidR="00933466" w:rsidRPr="00DB00C0" w:rsidRDefault="00933466" w:rsidP="000B3715">
            <w:pPr>
              <w:rPr>
                <w:sz w:val="20"/>
                <w:szCs w:val="20"/>
                <w:vertAlign w:val="superscript"/>
              </w:rPr>
            </w:pPr>
            <w:r w:rsidRPr="00DB00C0">
              <w:rPr>
                <w:sz w:val="20"/>
                <w:szCs w:val="20"/>
              </w:rPr>
              <w:t>Gradin, 2011</w:t>
            </w:r>
            <w:r w:rsidRPr="00DB00C0">
              <w:rPr>
                <w:sz w:val="20"/>
                <w:szCs w:val="20"/>
                <w:vertAlign w:val="superscript"/>
              </w:rPr>
              <w:t>4</w:t>
            </w:r>
            <w:r w:rsidR="000B3715">
              <w:rPr>
                <w:sz w:val="20"/>
                <w:szCs w:val="20"/>
                <w:vertAlign w:val="superscript"/>
              </w:rPr>
              <w:t>7</w:t>
            </w:r>
          </w:p>
        </w:tc>
        <w:tc>
          <w:tcPr>
            <w:tcW w:w="1830" w:type="dxa"/>
          </w:tcPr>
          <w:p w:rsidR="00933466" w:rsidRPr="00DE6BE9" w:rsidRDefault="00933466" w:rsidP="00A91AD2">
            <w:pPr>
              <w:jc w:val="center"/>
              <w:rPr>
                <w:sz w:val="20"/>
                <w:szCs w:val="20"/>
              </w:rPr>
            </w:pPr>
          </w:p>
        </w:tc>
        <w:tc>
          <w:tcPr>
            <w:tcW w:w="2197" w:type="dxa"/>
          </w:tcPr>
          <w:p w:rsidR="00933466" w:rsidRPr="00DE6BE9" w:rsidRDefault="0059027E" w:rsidP="00A91AD2">
            <w:pPr>
              <w:jc w:val="center"/>
              <w:rPr>
                <w:sz w:val="20"/>
                <w:szCs w:val="20"/>
              </w:rPr>
            </w:pPr>
            <w:r>
              <w:rPr>
                <w:sz w:val="20"/>
                <w:szCs w:val="20"/>
              </w:rPr>
              <w:t>Can’t Tell</w:t>
            </w:r>
          </w:p>
        </w:tc>
        <w:tc>
          <w:tcPr>
            <w:tcW w:w="2198" w:type="dxa"/>
          </w:tcPr>
          <w:p w:rsidR="00933466" w:rsidRPr="00DE6BE9" w:rsidRDefault="0059027E" w:rsidP="00A91AD2">
            <w:pPr>
              <w:jc w:val="center"/>
              <w:rPr>
                <w:sz w:val="20"/>
                <w:szCs w:val="20"/>
              </w:rPr>
            </w:pPr>
            <w:r>
              <w:rPr>
                <w:sz w:val="20"/>
                <w:szCs w:val="20"/>
              </w:rPr>
              <w:t>Yes</w:t>
            </w:r>
          </w:p>
        </w:tc>
        <w:tc>
          <w:tcPr>
            <w:tcW w:w="2197" w:type="dxa"/>
          </w:tcPr>
          <w:p w:rsidR="00933466" w:rsidRPr="00DE6BE9" w:rsidRDefault="0059027E" w:rsidP="00A91AD2">
            <w:pPr>
              <w:jc w:val="center"/>
              <w:rPr>
                <w:sz w:val="20"/>
                <w:szCs w:val="20"/>
              </w:rPr>
            </w:pPr>
            <w:r>
              <w:rPr>
                <w:sz w:val="20"/>
                <w:szCs w:val="20"/>
              </w:rPr>
              <w:t>Yes</w:t>
            </w:r>
          </w:p>
        </w:tc>
        <w:tc>
          <w:tcPr>
            <w:tcW w:w="2198" w:type="dxa"/>
          </w:tcPr>
          <w:p w:rsidR="00933466" w:rsidRPr="00DE6BE9" w:rsidRDefault="0059027E" w:rsidP="00A91AD2">
            <w:pPr>
              <w:jc w:val="center"/>
              <w:rPr>
                <w:sz w:val="20"/>
                <w:szCs w:val="20"/>
              </w:rPr>
            </w:pPr>
            <w:r>
              <w:rPr>
                <w:sz w:val="20"/>
                <w:szCs w:val="20"/>
              </w:rPr>
              <w:t>Can’t Tell</w:t>
            </w:r>
          </w:p>
        </w:tc>
        <w:tc>
          <w:tcPr>
            <w:tcW w:w="1350" w:type="dxa"/>
          </w:tcPr>
          <w:p w:rsidR="00933466" w:rsidRPr="00DE6BE9" w:rsidRDefault="0059027E" w:rsidP="00A91AD2">
            <w:pPr>
              <w:jc w:val="center"/>
              <w:rPr>
                <w:sz w:val="20"/>
                <w:szCs w:val="20"/>
              </w:rPr>
            </w:pPr>
            <w:r>
              <w:rPr>
                <w:sz w:val="20"/>
                <w:szCs w:val="20"/>
              </w:rPr>
              <w:t>50%</w:t>
            </w:r>
          </w:p>
        </w:tc>
      </w:tr>
      <w:tr w:rsidR="00222780" w:rsidRPr="00DE6BE9" w:rsidTr="00A91AD2">
        <w:tc>
          <w:tcPr>
            <w:tcW w:w="1818" w:type="dxa"/>
          </w:tcPr>
          <w:p w:rsidR="00222780" w:rsidRPr="00222780" w:rsidRDefault="00222780" w:rsidP="000B3715">
            <w:pPr>
              <w:rPr>
                <w:sz w:val="20"/>
                <w:szCs w:val="20"/>
              </w:rPr>
            </w:pPr>
            <w:r>
              <w:rPr>
                <w:sz w:val="20"/>
                <w:szCs w:val="20"/>
              </w:rPr>
              <w:t>Whitlock, 2006</w:t>
            </w:r>
            <w:r w:rsidR="000B3715">
              <w:rPr>
                <w:sz w:val="20"/>
                <w:szCs w:val="20"/>
                <w:vertAlign w:val="superscript"/>
              </w:rPr>
              <w:t>49</w:t>
            </w:r>
            <w:r>
              <w:rPr>
                <w:sz w:val="20"/>
                <w:szCs w:val="20"/>
              </w:rPr>
              <w:t>**</w:t>
            </w:r>
          </w:p>
        </w:tc>
        <w:tc>
          <w:tcPr>
            <w:tcW w:w="1830" w:type="dxa"/>
          </w:tcPr>
          <w:p w:rsidR="00222780" w:rsidRPr="00DE6BE9" w:rsidRDefault="00222780" w:rsidP="00A91AD2">
            <w:pPr>
              <w:jc w:val="center"/>
              <w:rPr>
                <w:sz w:val="20"/>
                <w:szCs w:val="20"/>
              </w:rPr>
            </w:pPr>
          </w:p>
        </w:tc>
        <w:tc>
          <w:tcPr>
            <w:tcW w:w="2197" w:type="dxa"/>
          </w:tcPr>
          <w:p w:rsidR="00222780" w:rsidRDefault="00222780" w:rsidP="00A91AD2">
            <w:pPr>
              <w:jc w:val="center"/>
              <w:rPr>
                <w:sz w:val="20"/>
                <w:szCs w:val="20"/>
              </w:rPr>
            </w:pPr>
            <w:r>
              <w:rPr>
                <w:sz w:val="20"/>
                <w:szCs w:val="20"/>
              </w:rPr>
              <w:t>Yes</w:t>
            </w:r>
          </w:p>
        </w:tc>
        <w:tc>
          <w:tcPr>
            <w:tcW w:w="2198" w:type="dxa"/>
          </w:tcPr>
          <w:p w:rsidR="00222780" w:rsidRDefault="00222780" w:rsidP="00A91AD2">
            <w:pPr>
              <w:jc w:val="center"/>
              <w:rPr>
                <w:sz w:val="20"/>
                <w:szCs w:val="20"/>
              </w:rPr>
            </w:pPr>
            <w:r>
              <w:rPr>
                <w:sz w:val="20"/>
                <w:szCs w:val="20"/>
              </w:rPr>
              <w:t>Yes</w:t>
            </w:r>
          </w:p>
        </w:tc>
        <w:tc>
          <w:tcPr>
            <w:tcW w:w="2197" w:type="dxa"/>
          </w:tcPr>
          <w:p w:rsidR="00222780" w:rsidRDefault="00222780" w:rsidP="00A91AD2">
            <w:pPr>
              <w:jc w:val="center"/>
              <w:rPr>
                <w:sz w:val="20"/>
                <w:szCs w:val="20"/>
              </w:rPr>
            </w:pPr>
            <w:r>
              <w:rPr>
                <w:sz w:val="20"/>
                <w:szCs w:val="20"/>
              </w:rPr>
              <w:t>Yes</w:t>
            </w:r>
          </w:p>
        </w:tc>
        <w:tc>
          <w:tcPr>
            <w:tcW w:w="2198" w:type="dxa"/>
          </w:tcPr>
          <w:p w:rsidR="00222780" w:rsidRDefault="00222780" w:rsidP="00A91AD2">
            <w:pPr>
              <w:jc w:val="center"/>
              <w:rPr>
                <w:sz w:val="20"/>
                <w:szCs w:val="20"/>
              </w:rPr>
            </w:pPr>
            <w:r>
              <w:rPr>
                <w:sz w:val="20"/>
                <w:szCs w:val="20"/>
              </w:rPr>
              <w:t>Yes</w:t>
            </w:r>
          </w:p>
        </w:tc>
        <w:tc>
          <w:tcPr>
            <w:tcW w:w="1350" w:type="dxa"/>
          </w:tcPr>
          <w:p w:rsidR="00222780" w:rsidRDefault="00222780" w:rsidP="00A91AD2">
            <w:pPr>
              <w:jc w:val="center"/>
              <w:rPr>
                <w:sz w:val="20"/>
                <w:szCs w:val="20"/>
              </w:rPr>
            </w:pPr>
            <w:r>
              <w:rPr>
                <w:sz w:val="20"/>
                <w:szCs w:val="20"/>
              </w:rPr>
              <w:t>50%</w:t>
            </w:r>
          </w:p>
        </w:tc>
      </w:tr>
      <w:tr w:rsidR="00D20AB9" w:rsidRPr="00DE6BE9" w:rsidTr="00A91AD2">
        <w:tc>
          <w:tcPr>
            <w:tcW w:w="1818" w:type="dxa"/>
            <w:shd w:val="clear" w:color="auto" w:fill="F2F2F2" w:themeFill="background1" w:themeFillShade="F2"/>
          </w:tcPr>
          <w:p w:rsidR="00D20AB9" w:rsidRPr="00DE6BE9" w:rsidRDefault="00D20AB9" w:rsidP="00A91AD2">
            <w:pPr>
              <w:rPr>
                <w:sz w:val="20"/>
                <w:szCs w:val="20"/>
              </w:rPr>
            </w:pPr>
          </w:p>
        </w:tc>
        <w:tc>
          <w:tcPr>
            <w:tcW w:w="1830" w:type="dxa"/>
            <w:shd w:val="clear" w:color="auto" w:fill="F2F2F2" w:themeFill="background1" w:themeFillShade="F2"/>
          </w:tcPr>
          <w:p w:rsidR="00D20AB9" w:rsidRPr="00DE6BE9" w:rsidRDefault="00D20AB9" w:rsidP="00A91AD2">
            <w:pPr>
              <w:jc w:val="center"/>
              <w:rPr>
                <w:i/>
                <w:sz w:val="20"/>
                <w:szCs w:val="20"/>
              </w:rPr>
            </w:pPr>
            <w:r w:rsidRPr="00DE6BE9">
              <w:rPr>
                <w:i/>
                <w:sz w:val="20"/>
                <w:szCs w:val="20"/>
              </w:rPr>
              <w:t>Quantitative Non-Randomized</w:t>
            </w:r>
          </w:p>
        </w:tc>
        <w:tc>
          <w:tcPr>
            <w:tcW w:w="2197" w:type="dxa"/>
            <w:shd w:val="clear" w:color="auto" w:fill="F2F2F2" w:themeFill="background1" w:themeFillShade="F2"/>
          </w:tcPr>
          <w:p w:rsidR="00D20AB9" w:rsidRPr="00DE6BE9" w:rsidRDefault="00D20AB9" w:rsidP="00A91AD2">
            <w:pPr>
              <w:jc w:val="center"/>
              <w:rPr>
                <w:sz w:val="20"/>
                <w:szCs w:val="20"/>
              </w:rPr>
            </w:pPr>
            <w:r w:rsidRPr="00DE6BE9">
              <w:rPr>
                <w:sz w:val="20"/>
                <w:szCs w:val="20"/>
              </w:rPr>
              <w:t>3.1 Recruitment minimizes selection bias</w:t>
            </w:r>
          </w:p>
        </w:tc>
        <w:tc>
          <w:tcPr>
            <w:tcW w:w="2198" w:type="dxa"/>
            <w:shd w:val="clear" w:color="auto" w:fill="F2F2F2" w:themeFill="background1" w:themeFillShade="F2"/>
          </w:tcPr>
          <w:p w:rsidR="00D20AB9" w:rsidRPr="00DE6BE9" w:rsidRDefault="00D20AB9" w:rsidP="00A91AD2">
            <w:pPr>
              <w:jc w:val="center"/>
              <w:rPr>
                <w:sz w:val="20"/>
                <w:szCs w:val="20"/>
              </w:rPr>
            </w:pPr>
            <w:r w:rsidRPr="00DE6BE9">
              <w:rPr>
                <w:sz w:val="20"/>
                <w:szCs w:val="20"/>
              </w:rPr>
              <w:t>3.2 Appropriate measurements of exposure/intervention and outcomes</w:t>
            </w:r>
          </w:p>
        </w:tc>
        <w:tc>
          <w:tcPr>
            <w:tcW w:w="2197" w:type="dxa"/>
            <w:shd w:val="clear" w:color="auto" w:fill="F2F2F2" w:themeFill="background1" w:themeFillShade="F2"/>
          </w:tcPr>
          <w:p w:rsidR="00D20AB9" w:rsidRPr="00DE6BE9" w:rsidRDefault="00D20AB9" w:rsidP="00A91AD2">
            <w:pPr>
              <w:jc w:val="center"/>
              <w:rPr>
                <w:sz w:val="20"/>
                <w:szCs w:val="20"/>
              </w:rPr>
            </w:pPr>
            <w:r w:rsidRPr="00DE6BE9">
              <w:rPr>
                <w:sz w:val="20"/>
                <w:szCs w:val="20"/>
              </w:rPr>
              <w:t>3.3 Comparable participants between groups</w:t>
            </w:r>
          </w:p>
        </w:tc>
        <w:tc>
          <w:tcPr>
            <w:tcW w:w="2198" w:type="dxa"/>
            <w:shd w:val="clear" w:color="auto" w:fill="F2F2F2" w:themeFill="background1" w:themeFillShade="F2"/>
          </w:tcPr>
          <w:p w:rsidR="00D20AB9" w:rsidRPr="00DE6BE9" w:rsidRDefault="00D20AB9" w:rsidP="00A91AD2">
            <w:pPr>
              <w:jc w:val="center"/>
              <w:rPr>
                <w:sz w:val="20"/>
                <w:szCs w:val="20"/>
              </w:rPr>
            </w:pPr>
            <w:r w:rsidRPr="00DE6BE9">
              <w:rPr>
                <w:sz w:val="20"/>
                <w:szCs w:val="20"/>
              </w:rPr>
              <w:t>3.4 Complete outcome data/acceptable response rate/acceptable follow-up</w:t>
            </w:r>
          </w:p>
        </w:tc>
        <w:tc>
          <w:tcPr>
            <w:tcW w:w="1350" w:type="dxa"/>
            <w:shd w:val="clear" w:color="auto" w:fill="F2F2F2" w:themeFill="background1" w:themeFillShade="F2"/>
          </w:tcPr>
          <w:p w:rsidR="00D20AB9" w:rsidRPr="00DE6BE9" w:rsidRDefault="00D20AB9" w:rsidP="00A91AD2">
            <w:pPr>
              <w:jc w:val="center"/>
              <w:rPr>
                <w:sz w:val="20"/>
                <w:szCs w:val="20"/>
              </w:rPr>
            </w:pPr>
          </w:p>
        </w:tc>
      </w:tr>
      <w:tr w:rsidR="00D20AB9" w:rsidRPr="00DE6BE9" w:rsidTr="00A91AD2">
        <w:tc>
          <w:tcPr>
            <w:tcW w:w="1818" w:type="dxa"/>
          </w:tcPr>
          <w:p w:rsidR="00D20AB9" w:rsidRPr="00DB00C0" w:rsidRDefault="006251B2" w:rsidP="00A91AD2">
            <w:pPr>
              <w:rPr>
                <w:sz w:val="20"/>
                <w:szCs w:val="20"/>
                <w:vertAlign w:val="superscript"/>
              </w:rPr>
            </w:pPr>
            <w:r w:rsidRPr="00DB00C0">
              <w:rPr>
                <w:sz w:val="20"/>
                <w:szCs w:val="20"/>
              </w:rPr>
              <w:t>Masuda, 2013</w:t>
            </w:r>
            <w:r w:rsidRPr="00DB00C0">
              <w:rPr>
                <w:sz w:val="20"/>
                <w:szCs w:val="20"/>
                <w:vertAlign w:val="superscript"/>
              </w:rPr>
              <w:t>28</w:t>
            </w:r>
          </w:p>
        </w:tc>
        <w:tc>
          <w:tcPr>
            <w:tcW w:w="1830" w:type="dxa"/>
          </w:tcPr>
          <w:p w:rsidR="00D20AB9" w:rsidRPr="00DE6BE9" w:rsidRDefault="00D20AB9" w:rsidP="00A91AD2">
            <w:pPr>
              <w:jc w:val="center"/>
              <w:rPr>
                <w:sz w:val="20"/>
                <w:szCs w:val="20"/>
              </w:rPr>
            </w:pPr>
          </w:p>
        </w:tc>
        <w:tc>
          <w:tcPr>
            <w:tcW w:w="2197" w:type="dxa"/>
          </w:tcPr>
          <w:p w:rsidR="00D20AB9" w:rsidRPr="00DE6BE9" w:rsidRDefault="0059027E" w:rsidP="00A91AD2">
            <w:pPr>
              <w:jc w:val="center"/>
              <w:rPr>
                <w:sz w:val="20"/>
                <w:szCs w:val="20"/>
              </w:rPr>
            </w:pPr>
            <w:r>
              <w:rPr>
                <w:sz w:val="20"/>
                <w:szCs w:val="20"/>
              </w:rPr>
              <w:t>Yes</w:t>
            </w:r>
          </w:p>
        </w:tc>
        <w:tc>
          <w:tcPr>
            <w:tcW w:w="2198" w:type="dxa"/>
          </w:tcPr>
          <w:p w:rsidR="00D20AB9" w:rsidRPr="00DE6BE9" w:rsidRDefault="0059027E" w:rsidP="00A91AD2">
            <w:pPr>
              <w:jc w:val="center"/>
              <w:rPr>
                <w:sz w:val="20"/>
                <w:szCs w:val="20"/>
              </w:rPr>
            </w:pPr>
            <w:r>
              <w:rPr>
                <w:sz w:val="20"/>
                <w:szCs w:val="20"/>
              </w:rPr>
              <w:t>Yes</w:t>
            </w:r>
          </w:p>
        </w:tc>
        <w:tc>
          <w:tcPr>
            <w:tcW w:w="2197" w:type="dxa"/>
          </w:tcPr>
          <w:p w:rsidR="00D20AB9" w:rsidRPr="00DE6BE9" w:rsidRDefault="0059027E" w:rsidP="00A91AD2">
            <w:pPr>
              <w:jc w:val="center"/>
              <w:rPr>
                <w:sz w:val="20"/>
                <w:szCs w:val="20"/>
              </w:rPr>
            </w:pPr>
            <w:r>
              <w:rPr>
                <w:sz w:val="20"/>
                <w:szCs w:val="20"/>
              </w:rPr>
              <w:t>Yes</w:t>
            </w:r>
          </w:p>
        </w:tc>
        <w:tc>
          <w:tcPr>
            <w:tcW w:w="2198" w:type="dxa"/>
          </w:tcPr>
          <w:p w:rsidR="00D20AB9" w:rsidRPr="00DE6BE9" w:rsidRDefault="0059027E" w:rsidP="00A91AD2">
            <w:pPr>
              <w:jc w:val="center"/>
              <w:rPr>
                <w:sz w:val="20"/>
                <w:szCs w:val="20"/>
              </w:rPr>
            </w:pPr>
            <w:r>
              <w:rPr>
                <w:sz w:val="20"/>
                <w:szCs w:val="20"/>
              </w:rPr>
              <w:t>Yes</w:t>
            </w:r>
          </w:p>
        </w:tc>
        <w:tc>
          <w:tcPr>
            <w:tcW w:w="1350" w:type="dxa"/>
          </w:tcPr>
          <w:p w:rsidR="00D20AB9" w:rsidRPr="00DE6BE9" w:rsidRDefault="0059027E" w:rsidP="00A91AD2">
            <w:pPr>
              <w:jc w:val="center"/>
              <w:rPr>
                <w:sz w:val="20"/>
                <w:szCs w:val="20"/>
              </w:rPr>
            </w:pPr>
            <w:r>
              <w:rPr>
                <w:sz w:val="20"/>
                <w:szCs w:val="20"/>
              </w:rPr>
              <w:t>100%</w:t>
            </w:r>
          </w:p>
        </w:tc>
      </w:tr>
      <w:tr w:rsidR="00D20AB9" w:rsidRPr="00DE6BE9" w:rsidTr="00A91AD2">
        <w:tc>
          <w:tcPr>
            <w:tcW w:w="1818" w:type="dxa"/>
            <w:shd w:val="clear" w:color="auto" w:fill="F2F2F2" w:themeFill="background1" w:themeFillShade="F2"/>
          </w:tcPr>
          <w:p w:rsidR="00D20AB9" w:rsidRPr="00DE6BE9" w:rsidRDefault="00D20AB9" w:rsidP="00A91AD2">
            <w:pPr>
              <w:rPr>
                <w:sz w:val="20"/>
                <w:szCs w:val="20"/>
              </w:rPr>
            </w:pPr>
          </w:p>
        </w:tc>
        <w:tc>
          <w:tcPr>
            <w:tcW w:w="1830" w:type="dxa"/>
            <w:shd w:val="clear" w:color="auto" w:fill="F2F2F2" w:themeFill="background1" w:themeFillShade="F2"/>
          </w:tcPr>
          <w:p w:rsidR="00D20AB9" w:rsidRPr="00DE6BE9" w:rsidRDefault="00D20AB9" w:rsidP="00A91AD2">
            <w:pPr>
              <w:jc w:val="center"/>
              <w:rPr>
                <w:i/>
                <w:sz w:val="20"/>
                <w:szCs w:val="20"/>
              </w:rPr>
            </w:pPr>
            <w:r w:rsidRPr="00DE6BE9">
              <w:rPr>
                <w:i/>
                <w:sz w:val="20"/>
                <w:szCs w:val="20"/>
              </w:rPr>
              <w:t>Quantitative Descriptive</w:t>
            </w:r>
          </w:p>
        </w:tc>
        <w:tc>
          <w:tcPr>
            <w:tcW w:w="2197" w:type="dxa"/>
            <w:shd w:val="clear" w:color="auto" w:fill="F2F2F2" w:themeFill="background1" w:themeFillShade="F2"/>
          </w:tcPr>
          <w:p w:rsidR="00D20AB9" w:rsidRPr="00DE6BE9" w:rsidRDefault="00D20AB9" w:rsidP="00A91AD2">
            <w:pPr>
              <w:jc w:val="center"/>
              <w:rPr>
                <w:sz w:val="20"/>
                <w:szCs w:val="20"/>
              </w:rPr>
            </w:pPr>
            <w:r w:rsidRPr="00DE6BE9">
              <w:rPr>
                <w:sz w:val="20"/>
                <w:szCs w:val="20"/>
              </w:rPr>
              <w:t>4.1 Relevant sampling strategy</w:t>
            </w:r>
          </w:p>
        </w:tc>
        <w:tc>
          <w:tcPr>
            <w:tcW w:w="2198" w:type="dxa"/>
            <w:shd w:val="clear" w:color="auto" w:fill="F2F2F2" w:themeFill="background1" w:themeFillShade="F2"/>
          </w:tcPr>
          <w:p w:rsidR="00D20AB9" w:rsidRPr="00DE6BE9" w:rsidRDefault="00D20AB9" w:rsidP="00A91AD2">
            <w:pPr>
              <w:jc w:val="center"/>
              <w:rPr>
                <w:sz w:val="20"/>
                <w:szCs w:val="20"/>
              </w:rPr>
            </w:pPr>
            <w:r w:rsidRPr="00DE6BE9">
              <w:rPr>
                <w:sz w:val="20"/>
                <w:szCs w:val="20"/>
              </w:rPr>
              <w:t>4.2 Representative sample</w:t>
            </w:r>
          </w:p>
        </w:tc>
        <w:tc>
          <w:tcPr>
            <w:tcW w:w="2197" w:type="dxa"/>
            <w:shd w:val="clear" w:color="auto" w:fill="F2F2F2" w:themeFill="background1" w:themeFillShade="F2"/>
          </w:tcPr>
          <w:p w:rsidR="00D20AB9" w:rsidRPr="00DE6BE9" w:rsidRDefault="00D20AB9" w:rsidP="00A91AD2">
            <w:pPr>
              <w:jc w:val="center"/>
              <w:rPr>
                <w:sz w:val="20"/>
                <w:szCs w:val="20"/>
              </w:rPr>
            </w:pPr>
            <w:r w:rsidRPr="00DE6BE9">
              <w:rPr>
                <w:sz w:val="20"/>
                <w:szCs w:val="20"/>
              </w:rPr>
              <w:t>4.3 Appropriate measurements</w:t>
            </w:r>
          </w:p>
        </w:tc>
        <w:tc>
          <w:tcPr>
            <w:tcW w:w="2198" w:type="dxa"/>
            <w:shd w:val="clear" w:color="auto" w:fill="F2F2F2" w:themeFill="background1" w:themeFillShade="F2"/>
          </w:tcPr>
          <w:p w:rsidR="00D20AB9" w:rsidRPr="00DE6BE9" w:rsidRDefault="00D20AB9" w:rsidP="00A91AD2">
            <w:pPr>
              <w:jc w:val="center"/>
              <w:rPr>
                <w:sz w:val="20"/>
                <w:szCs w:val="20"/>
              </w:rPr>
            </w:pPr>
            <w:r w:rsidRPr="00DE6BE9">
              <w:rPr>
                <w:sz w:val="20"/>
                <w:szCs w:val="20"/>
              </w:rPr>
              <w:t>4.4 Acceptable response rate</w:t>
            </w:r>
          </w:p>
        </w:tc>
        <w:tc>
          <w:tcPr>
            <w:tcW w:w="1350" w:type="dxa"/>
            <w:shd w:val="clear" w:color="auto" w:fill="F2F2F2" w:themeFill="background1" w:themeFillShade="F2"/>
          </w:tcPr>
          <w:p w:rsidR="00D20AB9" w:rsidRPr="00DE6BE9" w:rsidRDefault="00D20AB9" w:rsidP="00A91AD2">
            <w:pPr>
              <w:jc w:val="center"/>
              <w:rPr>
                <w:sz w:val="20"/>
                <w:szCs w:val="20"/>
              </w:rPr>
            </w:pPr>
          </w:p>
        </w:tc>
      </w:tr>
      <w:tr w:rsidR="00222780" w:rsidRPr="00DE6BE9" w:rsidTr="00A91AD2">
        <w:tc>
          <w:tcPr>
            <w:tcW w:w="1818" w:type="dxa"/>
          </w:tcPr>
          <w:p w:rsidR="00222780" w:rsidRPr="00DB00C0" w:rsidRDefault="00222780" w:rsidP="00DD49B2">
            <w:pPr>
              <w:rPr>
                <w:sz w:val="20"/>
                <w:szCs w:val="20"/>
                <w:vertAlign w:val="superscript"/>
              </w:rPr>
            </w:pPr>
            <w:r w:rsidRPr="00DB00C0">
              <w:rPr>
                <w:sz w:val="20"/>
                <w:szCs w:val="20"/>
              </w:rPr>
              <w:t>Lewis, 2014</w:t>
            </w:r>
            <w:r w:rsidRPr="00DB00C0">
              <w:rPr>
                <w:sz w:val="20"/>
                <w:szCs w:val="20"/>
                <w:vertAlign w:val="superscript"/>
              </w:rPr>
              <w:t>18</w:t>
            </w:r>
          </w:p>
        </w:tc>
        <w:tc>
          <w:tcPr>
            <w:tcW w:w="1830" w:type="dxa"/>
          </w:tcPr>
          <w:p w:rsidR="00222780" w:rsidRPr="00DE6BE9" w:rsidRDefault="00222780" w:rsidP="00DD49B2">
            <w:pPr>
              <w:jc w:val="center"/>
              <w:rPr>
                <w:sz w:val="20"/>
                <w:szCs w:val="20"/>
              </w:rPr>
            </w:pPr>
          </w:p>
        </w:tc>
        <w:tc>
          <w:tcPr>
            <w:tcW w:w="2197" w:type="dxa"/>
          </w:tcPr>
          <w:p w:rsidR="00222780" w:rsidRPr="00DE6BE9" w:rsidRDefault="00222780" w:rsidP="00DD49B2">
            <w:pPr>
              <w:jc w:val="center"/>
              <w:rPr>
                <w:sz w:val="20"/>
                <w:szCs w:val="20"/>
              </w:rPr>
            </w:pPr>
            <w:r>
              <w:rPr>
                <w:sz w:val="20"/>
                <w:szCs w:val="20"/>
              </w:rPr>
              <w:t>Yes</w:t>
            </w:r>
          </w:p>
        </w:tc>
        <w:tc>
          <w:tcPr>
            <w:tcW w:w="2198" w:type="dxa"/>
          </w:tcPr>
          <w:p w:rsidR="00222780" w:rsidRPr="00DE6BE9" w:rsidRDefault="00222780" w:rsidP="00DD49B2">
            <w:pPr>
              <w:jc w:val="center"/>
              <w:rPr>
                <w:sz w:val="20"/>
                <w:szCs w:val="20"/>
              </w:rPr>
            </w:pPr>
            <w:r>
              <w:rPr>
                <w:sz w:val="20"/>
                <w:szCs w:val="20"/>
              </w:rPr>
              <w:t>Yes</w:t>
            </w:r>
          </w:p>
        </w:tc>
        <w:tc>
          <w:tcPr>
            <w:tcW w:w="2197" w:type="dxa"/>
          </w:tcPr>
          <w:p w:rsidR="00222780" w:rsidRPr="00DE6BE9" w:rsidRDefault="00222780" w:rsidP="00DD49B2">
            <w:pPr>
              <w:jc w:val="center"/>
              <w:rPr>
                <w:sz w:val="20"/>
                <w:szCs w:val="20"/>
              </w:rPr>
            </w:pPr>
            <w:r>
              <w:rPr>
                <w:sz w:val="20"/>
                <w:szCs w:val="20"/>
              </w:rPr>
              <w:t>Yes</w:t>
            </w:r>
          </w:p>
        </w:tc>
        <w:tc>
          <w:tcPr>
            <w:tcW w:w="2198" w:type="dxa"/>
          </w:tcPr>
          <w:p w:rsidR="00222780" w:rsidRPr="00DE6BE9" w:rsidRDefault="00222780" w:rsidP="00DD49B2">
            <w:pPr>
              <w:jc w:val="center"/>
              <w:rPr>
                <w:sz w:val="20"/>
                <w:szCs w:val="20"/>
              </w:rPr>
            </w:pPr>
            <w:r>
              <w:rPr>
                <w:sz w:val="20"/>
                <w:szCs w:val="20"/>
              </w:rPr>
              <w:t>Can’t Tell</w:t>
            </w:r>
          </w:p>
        </w:tc>
        <w:tc>
          <w:tcPr>
            <w:tcW w:w="1350" w:type="dxa"/>
          </w:tcPr>
          <w:p w:rsidR="00222780" w:rsidRPr="00DE6BE9" w:rsidRDefault="00222780" w:rsidP="00DD49B2">
            <w:pPr>
              <w:jc w:val="center"/>
              <w:rPr>
                <w:sz w:val="20"/>
                <w:szCs w:val="20"/>
              </w:rPr>
            </w:pPr>
            <w:r>
              <w:rPr>
                <w:sz w:val="20"/>
                <w:szCs w:val="20"/>
              </w:rPr>
              <w:t>75%</w:t>
            </w:r>
          </w:p>
        </w:tc>
      </w:tr>
      <w:tr w:rsidR="00D20AB9" w:rsidRPr="00DE6BE9" w:rsidTr="00A91AD2">
        <w:tc>
          <w:tcPr>
            <w:tcW w:w="1818" w:type="dxa"/>
          </w:tcPr>
          <w:p w:rsidR="00D20AB9" w:rsidRPr="00DB00C0" w:rsidRDefault="006251B2" w:rsidP="00A91AD2">
            <w:pPr>
              <w:rPr>
                <w:sz w:val="20"/>
                <w:szCs w:val="20"/>
                <w:vertAlign w:val="superscript"/>
              </w:rPr>
            </w:pPr>
            <w:r w:rsidRPr="00DB00C0">
              <w:rPr>
                <w:sz w:val="20"/>
                <w:szCs w:val="20"/>
              </w:rPr>
              <w:t>Sueki, 2012</w:t>
            </w:r>
            <w:r w:rsidRPr="00DB00C0">
              <w:rPr>
                <w:sz w:val="20"/>
                <w:szCs w:val="20"/>
                <w:vertAlign w:val="superscript"/>
              </w:rPr>
              <w:t>29</w:t>
            </w:r>
          </w:p>
        </w:tc>
        <w:tc>
          <w:tcPr>
            <w:tcW w:w="1830" w:type="dxa"/>
          </w:tcPr>
          <w:p w:rsidR="00D20AB9" w:rsidRPr="00DE6BE9" w:rsidRDefault="00D20AB9" w:rsidP="00A91AD2">
            <w:pPr>
              <w:jc w:val="center"/>
              <w:rPr>
                <w:sz w:val="20"/>
                <w:szCs w:val="20"/>
              </w:rPr>
            </w:pPr>
          </w:p>
        </w:tc>
        <w:tc>
          <w:tcPr>
            <w:tcW w:w="2197" w:type="dxa"/>
          </w:tcPr>
          <w:p w:rsidR="00D20AB9" w:rsidRPr="00DE6BE9" w:rsidRDefault="0059027E" w:rsidP="00A91AD2">
            <w:pPr>
              <w:jc w:val="center"/>
              <w:rPr>
                <w:sz w:val="20"/>
                <w:szCs w:val="20"/>
              </w:rPr>
            </w:pPr>
            <w:r>
              <w:rPr>
                <w:sz w:val="20"/>
                <w:szCs w:val="20"/>
              </w:rPr>
              <w:t>Can’t Tell</w:t>
            </w:r>
          </w:p>
        </w:tc>
        <w:tc>
          <w:tcPr>
            <w:tcW w:w="2198" w:type="dxa"/>
          </w:tcPr>
          <w:p w:rsidR="00D20AB9" w:rsidRPr="00DE6BE9" w:rsidRDefault="0059027E" w:rsidP="00A91AD2">
            <w:pPr>
              <w:jc w:val="center"/>
              <w:rPr>
                <w:sz w:val="20"/>
                <w:szCs w:val="20"/>
              </w:rPr>
            </w:pPr>
            <w:r>
              <w:rPr>
                <w:sz w:val="20"/>
                <w:szCs w:val="20"/>
              </w:rPr>
              <w:t>Can’t Tell</w:t>
            </w:r>
          </w:p>
        </w:tc>
        <w:tc>
          <w:tcPr>
            <w:tcW w:w="2197" w:type="dxa"/>
          </w:tcPr>
          <w:p w:rsidR="00D20AB9" w:rsidRPr="00DE6BE9" w:rsidRDefault="0059027E" w:rsidP="00A91AD2">
            <w:pPr>
              <w:jc w:val="center"/>
              <w:rPr>
                <w:sz w:val="20"/>
                <w:szCs w:val="20"/>
              </w:rPr>
            </w:pPr>
            <w:r>
              <w:rPr>
                <w:sz w:val="20"/>
                <w:szCs w:val="20"/>
              </w:rPr>
              <w:t>Can’t Tell</w:t>
            </w:r>
          </w:p>
        </w:tc>
        <w:tc>
          <w:tcPr>
            <w:tcW w:w="2198" w:type="dxa"/>
          </w:tcPr>
          <w:p w:rsidR="00D20AB9" w:rsidRPr="00DE6BE9" w:rsidRDefault="0059027E" w:rsidP="00A91AD2">
            <w:pPr>
              <w:jc w:val="center"/>
              <w:rPr>
                <w:sz w:val="20"/>
                <w:szCs w:val="20"/>
              </w:rPr>
            </w:pPr>
            <w:r>
              <w:rPr>
                <w:sz w:val="20"/>
                <w:szCs w:val="20"/>
              </w:rPr>
              <w:t>Yes</w:t>
            </w:r>
          </w:p>
        </w:tc>
        <w:tc>
          <w:tcPr>
            <w:tcW w:w="1350" w:type="dxa"/>
          </w:tcPr>
          <w:p w:rsidR="00D20AB9" w:rsidRPr="00DE6BE9" w:rsidRDefault="0059027E" w:rsidP="00A91AD2">
            <w:pPr>
              <w:jc w:val="center"/>
              <w:rPr>
                <w:sz w:val="20"/>
                <w:szCs w:val="20"/>
              </w:rPr>
            </w:pPr>
            <w:r>
              <w:rPr>
                <w:sz w:val="20"/>
                <w:szCs w:val="20"/>
              </w:rPr>
              <w:t>25%</w:t>
            </w:r>
          </w:p>
        </w:tc>
      </w:tr>
      <w:tr w:rsidR="006251B2" w:rsidRPr="00DE6BE9" w:rsidTr="00A91AD2">
        <w:tc>
          <w:tcPr>
            <w:tcW w:w="1818" w:type="dxa"/>
          </w:tcPr>
          <w:p w:rsidR="006251B2" w:rsidRPr="00DB00C0" w:rsidRDefault="006251B2" w:rsidP="00A91AD2">
            <w:pPr>
              <w:rPr>
                <w:sz w:val="20"/>
                <w:szCs w:val="20"/>
                <w:vertAlign w:val="superscript"/>
              </w:rPr>
            </w:pPr>
            <w:r w:rsidRPr="00DB00C0">
              <w:rPr>
                <w:sz w:val="20"/>
                <w:szCs w:val="20"/>
              </w:rPr>
              <w:t>Eichenberg, 2006</w:t>
            </w:r>
            <w:r w:rsidRPr="00DB00C0">
              <w:rPr>
                <w:sz w:val="20"/>
                <w:szCs w:val="20"/>
                <w:vertAlign w:val="superscript"/>
              </w:rPr>
              <w:t>30</w:t>
            </w:r>
          </w:p>
        </w:tc>
        <w:tc>
          <w:tcPr>
            <w:tcW w:w="1830" w:type="dxa"/>
          </w:tcPr>
          <w:p w:rsidR="006251B2" w:rsidRPr="00DE6BE9" w:rsidRDefault="006251B2" w:rsidP="00A91AD2">
            <w:pPr>
              <w:jc w:val="center"/>
              <w:rPr>
                <w:sz w:val="20"/>
                <w:szCs w:val="20"/>
              </w:rPr>
            </w:pPr>
          </w:p>
        </w:tc>
        <w:tc>
          <w:tcPr>
            <w:tcW w:w="2197" w:type="dxa"/>
          </w:tcPr>
          <w:p w:rsidR="006251B2" w:rsidRPr="00DE6BE9" w:rsidRDefault="0059027E" w:rsidP="00A91AD2">
            <w:pPr>
              <w:jc w:val="center"/>
              <w:rPr>
                <w:sz w:val="20"/>
                <w:szCs w:val="20"/>
              </w:rPr>
            </w:pPr>
            <w:r>
              <w:rPr>
                <w:sz w:val="20"/>
                <w:szCs w:val="20"/>
              </w:rPr>
              <w:t>Yes</w:t>
            </w:r>
          </w:p>
        </w:tc>
        <w:tc>
          <w:tcPr>
            <w:tcW w:w="2198" w:type="dxa"/>
          </w:tcPr>
          <w:p w:rsidR="006251B2" w:rsidRPr="00DE6BE9" w:rsidRDefault="0059027E" w:rsidP="00A91AD2">
            <w:pPr>
              <w:jc w:val="center"/>
              <w:rPr>
                <w:sz w:val="20"/>
                <w:szCs w:val="20"/>
              </w:rPr>
            </w:pPr>
            <w:r>
              <w:rPr>
                <w:sz w:val="20"/>
                <w:szCs w:val="20"/>
              </w:rPr>
              <w:t>Can’t Tell</w:t>
            </w:r>
          </w:p>
        </w:tc>
        <w:tc>
          <w:tcPr>
            <w:tcW w:w="2197" w:type="dxa"/>
          </w:tcPr>
          <w:p w:rsidR="006251B2" w:rsidRPr="00DE6BE9" w:rsidRDefault="0059027E" w:rsidP="00A91AD2">
            <w:pPr>
              <w:jc w:val="center"/>
              <w:rPr>
                <w:sz w:val="20"/>
                <w:szCs w:val="20"/>
              </w:rPr>
            </w:pPr>
            <w:r>
              <w:rPr>
                <w:sz w:val="20"/>
                <w:szCs w:val="20"/>
              </w:rPr>
              <w:t>Can’t Tell</w:t>
            </w:r>
          </w:p>
        </w:tc>
        <w:tc>
          <w:tcPr>
            <w:tcW w:w="2198" w:type="dxa"/>
          </w:tcPr>
          <w:p w:rsidR="006251B2" w:rsidRPr="00DE6BE9" w:rsidRDefault="0059027E" w:rsidP="00A91AD2">
            <w:pPr>
              <w:jc w:val="center"/>
              <w:rPr>
                <w:sz w:val="20"/>
                <w:szCs w:val="20"/>
              </w:rPr>
            </w:pPr>
            <w:r>
              <w:rPr>
                <w:sz w:val="20"/>
                <w:szCs w:val="20"/>
              </w:rPr>
              <w:t>Can’t Tell</w:t>
            </w:r>
          </w:p>
        </w:tc>
        <w:tc>
          <w:tcPr>
            <w:tcW w:w="1350" w:type="dxa"/>
          </w:tcPr>
          <w:p w:rsidR="006251B2" w:rsidRPr="00DE6BE9" w:rsidRDefault="0059027E" w:rsidP="00A91AD2">
            <w:pPr>
              <w:jc w:val="center"/>
              <w:rPr>
                <w:sz w:val="20"/>
                <w:szCs w:val="20"/>
              </w:rPr>
            </w:pPr>
            <w:r>
              <w:rPr>
                <w:sz w:val="20"/>
                <w:szCs w:val="20"/>
              </w:rPr>
              <w:t>25%</w:t>
            </w:r>
          </w:p>
        </w:tc>
      </w:tr>
      <w:tr w:rsidR="006251B2" w:rsidRPr="00DE6BE9" w:rsidTr="00A91AD2">
        <w:tc>
          <w:tcPr>
            <w:tcW w:w="1818" w:type="dxa"/>
          </w:tcPr>
          <w:p w:rsidR="006251B2" w:rsidRPr="00DB00C0" w:rsidRDefault="006251B2" w:rsidP="00A91AD2">
            <w:pPr>
              <w:rPr>
                <w:sz w:val="20"/>
                <w:szCs w:val="20"/>
                <w:vertAlign w:val="superscript"/>
              </w:rPr>
            </w:pPr>
            <w:r w:rsidRPr="00DB00C0">
              <w:rPr>
                <w:sz w:val="20"/>
                <w:szCs w:val="20"/>
              </w:rPr>
              <w:t>Murray, 2006</w:t>
            </w:r>
            <w:r w:rsidRPr="00DB00C0">
              <w:rPr>
                <w:sz w:val="20"/>
                <w:szCs w:val="20"/>
                <w:vertAlign w:val="superscript"/>
              </w:rPr>
              <w:t>31</w:t>
            </w:r>
          </w:p>
        </w:tc>
        <w:tc>
          <w:tcPr>
            <w:tcW w:w="1830" w:type="dxa"/>
          </w:tcPr>
          <w:p w:rsidR="006251B2" w:rsidRPr="00DE6BE9" w:rsidRDefault="006251B2" w:rsidP="00A91AD2">
            <w:pPr>
              <w:jc w:val="center"/>
              <w:rPr>
                <w:sz w:val="20"/>
                <w:szCs w:val="20"/>
              </w:rPr>
            </w:pPr>
          </w:p>
        </w:tc>
        <w:tc>
          <w:tcPr>
            <w:tcW w:w="2197" w:type="dxa"/>
          </w:tcPr>
          <w:p w:rsidR="006251B2" w:rsidRPr="00DE6BE9" w:rsidRDefault="007D6BE4" w:rsidP="00A91AD2">
            <w:pPr>
              <w:jc w:val="center"/>
              <w:rPr>
                <w:sz w:val="20"/>
                <w:szCs w:val="20"/>
              </w:rPr>
            </w:pPr>
            <w:r>
              <w:rPr>
                <w:sz w:val="20"/>
                <w:szCs w:val="20"/>
              </w:rPr>
              <w:t>Yes</w:t>
            </w:r>
          </w:p>
        </w:tc>
        <w:tc>
          <w:tcPr>
            <w:tcW w:w="2198" w:type="dxa"/>
          </w:tcPr>
          <w:p w:rsidR="006251B2" w:rsidRPr="00DE6BE9" w:rsidRDefault="007D6BE4" w:rsidP="00A91AD2">
            <w:pPr>
              <w:jc w:val="center"/>
              <w:rPr>
                <w:sz w:val="20"/>
                <w:szCs w:val="20"/>
              </w:rPr>
            </w:pPr>
            <w:r>
              <w:rPr>
                <w:sz w:val="20"/>
                <w:szCs w:val="20"/>
              </w:rPr>
              <w:t>Can’t Tell</w:t>
            </w:r>
          </w:p>
        </w:tc>
        <w:tc>
          <w:tcPr>
            <w:tcW w:w="2197" w:type="dxa"/>
          </w:tcPr>
          <w:p w:rsidR="006251B2" w:rsidRPr="00DE6BE9" w:rsidRDefault="007D6BE4" w:rsidP="00A91AD2">
            <w:pPr>
              <w:jc w:val="center"/>
              <w:rPr>
                <w:sz w:val="20"/>
                <w:szCs w:val="20"/>
              </w:rPr>
            </w:pPr>
            <w:r>
              <w:rPr>
                <w:sz w:val="20"/>
                <w:szCs w:val="20"/>
              </w:rPr>
              <w:t>Can’t Tell</w:t>
            </w:r>
          </w:p>
        </w:tc>
        <w:tc>
          <w:tcPr>
            <w:tcW w:w="2198" w:type="dxa"/>
          </w:tcPr>
          <w:p w:rsidR="006251B2" w:rsidRPr="00DE6BE9" w:rsidRDefault="007D6BE4" w:rsidP="00A91AD2">
            <w:pPr>
              <w:jc w:val="center"/>
              <w:rPr>
                <w:sz w:val="20"/>
                <w:szCs w:val="20"/>
              </w:rPr>
            </w:pPr>
            <w:r>
              <w:rPr>
                <w:sz w:val="20"/>
                <w:szCs w:val="20"/>
              </w:rPr>
              <w:t>Can’t Tell</w:t>
            </w:r>
          </w:p>
        </w:tc>
        <w:tc>
          <w:tcPr>
            <w:tcW w:w="1350" w:type="dxa"/>
          </w:tcPr>
          <w:p w:rsidR="006251B2" w:rsidRPr="00DE6BE9" w:rsidRDefault="007D6BE4" w:rsidP="00A91AD2">
            <w:pPr>
              <w:jc w:val="center"/>
              <w:rPr>
                <w:sz w:val="20"/>
                <w:szCs w:val="20"/>
              </w:rPr>
            </w:pPr>
            <w:r>
              <w:rPr>
                <w:sz w:val="20"/>
                <w:szCs w:val="20"/>
              </w:rPr>
              <w:t>25%</w:t>
            </w:r>
          </w:p>
        </w:tc>
      </w:tr>
      <w:tr w:rsidR="006251B2" w:rsidRPr="00DE6BE9" w:rsidTr="00A91AD2">
        <w:tc>
          <w:tcPr>
            <w:tcW w:w="1818" w:type="dxa"/>
          </w:tcPr>
          <w:p w:rsidR="006251B2" w:rsidRPr="00DB00C0" w:rsidRDefault="006251B2" w:rsidP="00A91AD2">
            <w:pPr>
              <w:rPr>
                <w:sz w:val="20"/>
                <w:szCs w:val="20"/>
                <w:vertAlign w:val="superscript"/>
              </w:rPr>
            </w:pPr>
            <w:r w:rsidRPr="00DB00C0">
              <w:rPr>
                <w:sz w:val="20"/>
                <w:szCs w:val="20"/>
              </w:rPr>
              <w:lastRenderedPageBreak/>
              <w:t>Jones, 2011</w:t>
            </w:r>
            <w:r w:rsidRPr="00DB00C0">
              <w:rPr>
                <w:sz w:val="20"/>
                <w:szCs w:val="20"/>
                <w:vertAlign w:val="superscript"/>
              </w:rPr>
              <w:t>32</w:t>
            </w:r>
          </w:p>
        </w:tc>
        <w:tc>
          <w:tcPr>
            <w:tcW w:w="1830" w:type="dxa"/>
          </w:tcPr>
          <w:p w:rsidR="006251B2" w:rsidRPr="00DE6BE9" w:rsidRDefault="006251B2" w:rsidP="00A91AD2">
            <w:pPr>
              <w:jc w:val="center"/>
              <w:rPr>
                <w:sz w:val="20"/>
                <w:szCs w:val="20"/>
              </w:rPr>
            </w:pPr>
          </w:p>
        </w:tc>
        <w:tc>
          <w:tcPr>
            <w:tcW w:w="2197" w:type="dxa"/>
          </w:tcPr>
          <w:p w:rsidR="006251B2" w:rsidRPr="00DE6BE9" w:rsidRDefault="007D6BE4" w:rsidP="00A91AD2">
            <w:pPr>
              <w:jc w:val="center"/>
              <w:rPr>
                <w:sz w:val="20"/>
                <w:szCs w:val="20"/>
              </w:rPr>
            </w:pPr>
            <w:r>
              <w:rPr>
                <w:sz w:val="20"/>
                <w:szCs w:val="20"/>
              </w:rPr>
              <w:t>Yes</w:t>
            </w:r>
          </w:p>
        </w:tc>
        <w:tc>
          <w:tcPr>
            <w:tcW w:w="2198" w:type="dxa"/>
          </w:tcPr>
          <w:p w:rsidR="006251B2" w:rsidRPr="00DE6BE9" w:rsidRDefault="007D6BE4" w:rsidP="00A91AD2">
            <w:pPr>
              <w:jc w:val="center"/>
              <w:rPr>
                <w:sz w:val="20"/>
                <w:szCs w:val="20"/>
              </w:rPr>
            </w:pPr>
            <w:r>
              <w:rPr>
                <w:sz w:val="20"/>
                <w:szCs w:val="20"/>
              </w:rPr>
              <w:t>Can’t Tell</w:t>
            </w:r>
          </w:p>
        </w:tc>
        <w:tc>
          <w:tcPr>
            <w:tcW w:w="2197" w:type="dxa"/>
          </w:tcPr>
          <w:p w:rsidR="006251B2" w:rsidRPr="00DE6BE9" w:rsidRDefault="007D6BE4" w:rsidP="00A91AD2">
            <w:pPr>
              <w:jc w:val="center"/>
              <w:rPr>
                <w:sz w:val="20"/>
                <w:szCs w:val="20"/>
              </w:rPr>
            </w:pPr>
            <w:r>
              <w:rPr>
                <w:sz w:val="20"/>
                <w:szCs w:val="20"/>
              </w:rPr>
              <w:t>Can’t Tell</w:t>
            </w:r>
          </w:p>
        </w:tc>
        <w:tc>
          <w:tcPr>
            <w:tcW w:w="2198" w:type="dxa"/>
          </w:tcPr>
          <w:p w:rsidR="006251B2" w:rsidRPr="00DE6BE9" w:rsidRDefault="007D6BE4" w:rsidP="00A91AD2">
            <w:pPr>
              <w:jc w:val="center"/>
              <w:rPr>
                <w:sz w:val="20"/>
                <w:szCs w:val="20"/>
              </w:rPr>
            </w:pPr>
            <w:r>
              <w:rPr>
                <w:sz w:val="20"/>
                <w:szCs w:val="20"/>
              </w:rPr>
              <w:t>Yes</w:t>
            </w:r>
          </w:p>
        </w:tc>
        <w:tc>
          <w:tcPr>
            <w:tcW w:w="1350" w:type="dxa"/>
          </w:tcPr>
          <w:p w:rsidR="006251B2" w:rsidRPr="00DE6BE9" w:rsidRDefault="007D6BE4" w:rsidP="00A91AD2">
            <w:pPr>
              <w:jc w:val="center"/>
              <w:rPr>
                <w:sz w:val="20"/>
                <w:szCs w:val="20"/>
              </w:rPr>
            </w:pPr>
            <w:r>
              <w:rPr>
                <w:sz w:val="20"/>
                <w:szCs w:val="20"/>
              </w:rPr>
              <w:t>50%</w:t>
            </w:r>
          </w:p>
        </w:tc>
      </w:tr>
      <w:tr w:rsidR="006C3E79" w:rsidRPr="00DE6BE9" w:rsidTr="00A91AD2">
        <w:tc>
          <w:tcPr>
            <w:tcW w:w="1818" w:type="dxa"/>
          </w:tcPr>
          <w:p w:rsidR="006C3E79" w:rsidRPr="00DB00C0" w:rsidRDefault="006C3E79" w:rsidP="000B3715">
            <w:pPr>
              <w:rPr>
                <w:sz w:val="20"/>
                <w:szCs w:val="20"/>
                <w:vertAlign w:val="superscript"/>
              </w:rPr>
            </w:pPr>
            <w:r w:rsidRPr="00DB00C0">
              <w:rPr>
                <w:sz w:val="20"/>
                <w:szCs w:val="20"/>
              </w:rPr>
              <w:t>Linkletter, 2010</w:t>
            </w:r>
            <w:r w:rsidRPr="00DB00C0">
              <w:rPr>
                <w:sz w:val="20"/>
                <w:szCs w:val="20"/>
                <w:vertAlign w:val="superscript"/>
              </w:rPr>
              <w:t>4</w:t>
            </w:r>
            <w:r w:rsidR="000B3715">
              <w:rPr>
                <w:sz w:val="20"/>
                <w:szCs w:val="20"/>
                <w:vertAlign w:val="superscript"/>
              </w:rPr>
              <w:t>1</w:t>
            </w:r>
          </w:p>
        </w:tc>
        <w:tc>
          <w:tcPr>
            <w:tcW w:w="1830" w:type="dxa"/>
          </w:tcPr>
          <w:p w:rsidR="006C3E79" w:rsidRPr="00DE6BE9" w:rsidRDefault="006C3E79" w:rsidP="00A91AD2">
            <w:pPr>
              <w:jc w:val="center"/>
              <w:rPr>
                <w:sz w:val="20"/>
                <w:szCs w:val="20"/>
              </w:rPr>
            </w:pPr>
          </w:p>
        </w:tc>
        <w:tc>
          <w:tcPr>
            <w:tcW w:w="2197" w:type="dxa"/>
          </w:tcPr>
          <w:p w:rsidR="006C3E79" w:rsidRPr="00DE6BE9" w:rsidRDefault="00F902B1" w:rsidP="00A91AD2">
            <w:pPr>
              <w:jc w:val="center"/>
              <w:rPr>
                <w:sz w:val="20"/>
                <w:szCs w:val="20"/>
              </w:rPr>
            </w:pPr>
            <w:r>
              <w:rPr>
                <w:sz w:val="20"/>
                <w:szCs w:val="20"/>
              </w:rPr>
              <w:t>Yes</w:t>
            </w:r>
          </w:p>
        </w:tc>
        <w:tc>
          <w:tcPr>
            <w:tcW w:w="2198" w:type="dxa"/>
          </w:tcPr>
          <w:p w:rsidR="006C3E79" w:rsidRPr="00DE6BE9" w:rsidRDefault="00F902B1" w:rsidP="00A91AD2">
            <w:pPr>
              <w:jc w:val="center"/>
              <w:rPr>
                <w:sz w:val="20"/>
                <w:szCs w:val="20"/>
              </w:rPr>
            </w:pPr>
            <w:r>
              <w:rPr>
                <w:sz w:val="20"/>
                <w:szCs w:val="20"/>
              </w:rPr>
              <w:t>Can’t Tell</w:t>
            </w:r>
          </w:p>
        </w:tc>
        <w:tc>
          <w:tcPr>
            <w:tcW w:w="2197" w:type="dxa"/>
          </w:tcPr>
          <w:p w:rsidR="006C3E79" w:rsidRPr="00DE6BE9" w:rsidRDefault="00F902B1" w:rsidP="00A91AD2">
            <w:pPr>
              <w:jc w:val="center"/>
              <w:rPr>
                <w:sz w:val="20"/>
                <w:szCs w:val="20"/>
              </w:rPr>
            </w:pPr>
            <w:r>
              <w:rPr>
                <w:sz w:val="20"/>
                <w:szCs w:val="20"/>
              </w:rPr>
              <w:t>Yes</w:t>
            </w:r>
          </w:p>
        </w:tc>
        <w:tc>
          <w:tcPr>
            <w:tcW w:w="2198" w:type="dxa"/>
          </w:tcPr>
          <w:p w:rsidR="006C3E79" w:rsidRPr="00DE6BE9" w:rsidRDefault="00F902B1" w:rsidP="00A91AD2">
            <w:pPr>
              <w:jc w:val="center"/>
              <w:rPr>
                <w:sz w:val="20"/>
                <w:szCs w:val="20"/>
              </w:rPr>
            </w:pPr>
            <w:r>
              <w:rPr>
                <w:sz w:val="20"/>
                <w:szCs w:val="20"/>
              </w:rPr>
              <w:t>Can’t Tell</w:t>
            </w:r>
          </w:p>
        </w:tc>
        <w:tc>
          <w:tcPr>
            <w:tcW w:w="1350" w:type="dxa"/>
          </w:tcPr>
          <w:p w:rsidR="006C3E79" w:rsidRPr="00DE6BE9" w:rsidRDefault="00F902B1" w:rsidP="00A91AD2">
            <w:pPr>
              <w:jc w:val="center"/>
              <w:rPr>
                <w:sz w:val="20"/>
                <w:szCs w:val="20"/>
              </w:rPr>
            </w:pPr>
            <w:r>
              <w:rPr>
                <w:sz w:val="20"/>
                <w:szCs w:val="20"/>
              </w:rPr>
              <w:t>50%</w:t>
            </w:r>
          </w:p>
        </w:tc>
      </w:tr>
      <w:tr w:rsidR="006C3E79" w:rsidRPr="00DE6BE9" w:rsidTr="00A91AD2">
        <w:tc>
          <w:tcPr>
            <w:tcW w:w="1818" w:type="dxa"/>
          </w:tcPr>
          <w:p w:rsidR="006C3E79" w:rsidRPr="00DB00C0" w:rsidRDefault="006C3E79" w:rsidP="000B3715">
            <w:pPr>
              <w:rPr>
                <w:sz w:val="20"/>
                <w:szCs w:val="20"/>
                <w:vertAlign w:val="superscript"/>
              </w:rPr>
            </w:pPr>
            <w:r w:rsidRPr="00DB00C0">
              <w:rPr>
                <w:sz w:val="20"/>
                <w:szCs w:val="20"/>
              </w:rPr>
              <w:t>Lewis, 2011</w:t>
            </w:r>
            <w:r w:rsidRPr="00DB00C0">
              <w:rPr>
                <w:sz w:val="20"/>
                <w:szCs w:val="20"/>
                <w:vertAlign w:val="superscript"/>
              </w:rPr>
              <w:t>4</w:t>
            </w:r>
            <w:r w:rsidR="000B3715">
              <w:rPr>
                <w:sz w:val="20"/>
                <w:szCs w:val="20"/>
                <w:vertAlign w:val="superscript"/>
              </w:rPr>
              <w:t>2</w:t>
            </w:r>
          </w:p>
        </w:tc>
        <w:tc>
          <w:tcPr>
            <w:tcW w:w="1830" w:type="dxa"/>
          </w:tcPr>
          <w:p w:rsidR="006C3E79" w:rsidRPr="00DE6BE9" w:rsidRDefault="006C3E79" w:rsidP="00A91AD2">
            <w:pPr>
              <w:jc w:val="center"/>
              <w:rPr>
                <w:sz w:val="20"/>
                <w:szCs w:val="20"/>
              </w:rPr>
            </w:pPr>
          </w:p>
        </w:tc>
        <w:tc>
          <w:tcPr>
            <w:tcW w:w="2197" w:type="dxa"/>
          </w:tcPr>
          <w:p w:rsidR="006C3E79" w:rsidRPr="00DE6BE9" w:rsidRDefault="00F902B1" w:rsidP="00A91AD2">
            <w:pPr>
              <w:jc w:val="center"/>
              <w:rPr>
                <w:sz w:val="20"/>
                <w:szCs w:val="20"/>
              </w:rPr>
            </w:pPr>
            <w:r>
              <w:rPr>
                <w:sz w:val="20"/>
                <w:szCs w:val="20"/>
              </w:rPr>
              <w:t>Can’t Tell</w:t>
            </w:r>
          </w:p>
        </w:tc>
        <w:tc>
          <w:tcPr>
            <w:tcW w:w="2198" w:type="dxa"/>
          </w:tcPr>
          <w:p w:rsidR="006C3E79" w:rsidRPr="00DE6BE9" w:rsidRDefault="00F902B1" w:rsidP="00A91AD2">
            <w:pPr>
              <w:jc w:val="center"/>
              <w:rPr>
                <w:sz w:val="20"/>
                <w:szCs w:val="20"/>
              </w:rPr>
            </w:pPr>
            <w:r>
              <w:rPr>
                <w:sz w:val="20"/>
                <w:szCs w:val="20"/>
              </w:rPr>
              <w:t>Can’t Tell</w:t>
            </w:r>
          </w:p>
        </w:tc>
        <w:tc>
          <w:tcPr>
            <w:tcW w:w="2197" w:type="dxa"/>
          </w:tcPr>
          <w:p w:rsidR="006C3E79" w:rsidRPr="00DE6BE9" w:rsidRDefault="00F902B1" w:rsidP="00A91AD2">
            <w:pPr>
              <w:jc w:val="center"/>
              <w:rPr>
                <w:sz w:val="20"/>
                <w:szCs w:val="20"/>
              </w:rPr>
            </w:pPr>
            <w:r>
              <w:rPr>
                <w:sz w:val="20"/>
                <w:szCs w:val="20"/>
              </w:rPr>
              <w:t>Yes</w:t>
            </w:r>
          </w:p>
        </w:tc>
        <w:tc>
          <w:tcPr>
            <w:tcW w:w="2198" w:type="dxa"/>
          </w:tcPr>
          <w:p w:rsidR="006C3E79" w:rsidRPr="00DE6BE9" w:rsidRDefault="00F902B1" w:rsidP="00A91AD2">
            <w:pPr>
              <w:jc w:val="center"/>
              <w:rPr>
                <w:sz w:val="20"/>
                <w:szCs w:val="20"/>
              </w:rPr>
            </w:pPr>
            <w:r>
              <w:rPr>
                <w:sz w:val="20"/>
                <w:szCs w:val="20"/>
              </w:rPr>
              <w:t>Can’t Tell</w:t>
            </w:r>
          </w:p>
        </w:tc>
        <w:tc>
          <w:tcPr>
            <w:tcW w:w="1350" w:type="dxa"/>
          </w:tcPr>
          <w:p w:rsidR="006C3E79" w:rsidRPr="00DE6BE9" w:rsidRDefault="00F902B1" w:rsidP="00A91AD2">
            <w:pPr>
              <w:jc w:val="center"/>
              <w:rPr>
                <w:sz w:val="20"/>
                <w:szCs w:val="20"/>
              </w:rPr>
            </w:pPr>
            <w:r>
              <w:rPr>
                <w:sz w:val="20"/>
                <w:szCs w:val="20"/>
              </w:rPr>
              <w:t>25%</w:t>
            </w:r>
          </w:p>
        </w:tc>
      </w:tr>
      <w:tr w:rsidR="006C3E79" w:rsidRPr="00DE6BE9" w:rsidTr="00A91AD2">
        <w:tc>
          <w:tcPr>
            <w:tcW w:w="1818" w:type="dxa"/>
          </w:tcPr>
          <w:p w:rsidR="006C3E79" w:rsidRPr="00DB00C0" w:rsidRDefault="006C3E79" w:rsidP="000B3715">
            <w:pPr>
              <w:rPr>
                <w:sz w:val="20"/>
                <w:szCs w:val="20"/>
                <w:vertAlign w:val="superscript"/>
              </w:rPr>
            </w:pPr>
            <w:r w:rsidRPr="00DB00C0">
              <w:rPr>
                <w:sz w:val="20"/>
                <w:szCs w:val="20"/>
              </w:rPr>
              <w:t>Barak, 2006</w:t>
            </w:r>
            <w:r w:rsidRPr="00DB00C0">
              <w:rPr>
                <w:sz w:val="20"/>
                <w:szCs w:val="20"/>
                <w:vertAlign w:val="superscript"/>
              </w:rPr>
              <w:t>4</w:t>
            </w:r>
            <w:r w:rsidR="000B3715">
              <w:rPr>
                <w:sz w:val="20"/>
                <w:szCs w:val="20"/>
                <w:vertAlign w:val="superscript"/>
              </w:rPr>
              <w:t>3</w:t>
            </w:r>
          </w:p>
        </w:tc>
        <w:tc>
          <w:tcPr>
            <w:tcW w:w="1830" w:type="dxa"/>
          </w:tcPr>
          <w:p w:rsidR="006C3E79" w:rsidRPr="00DE6BE9" w:rsidRDefault="006C3E79" w:rsidP="00A91AD2">
            <w:pPr>
              <w:jc w:val="center"/>
              <w:rPr>
                <w:sz w:val="20"/>
                <w:szCs w:val="20"/>
              </w:rPr>
            </w:pPr>
          </w:p>
        </w:tc>
        <w:tc>
          <w:tcPr>
            <w:tcW w:w="2197" w:type="dxa"/>
          </w:tcPr>
          <w:p w:rsidR="006C3E79" w:rsidRPr="00DE6BE9" w:rsidRDefault="00F902B1" w:rsidP="00A91AD2">
            <w:pPr>
              <w:jc w:val="center"/>
              <w:rPr>
                <w:sz w:val="20"/>
                <w:szCs w:val="20"/>
              </w:rPr>
            </w:pPr>
            <w:r>
              <w:rPr>
                <w:sz w:val="20"/>
                <w:szCs w:val="20"/>
              </w:rPr>
              <w:t>Yes</w:t>
            </w:r>
          </w:p>
        </w:tc>
        <w:tc>
          <w:tcPr>
            <w:tcW w:w="2198" w:type="dxa"/>
          </w:tcPr>
          <w:p w:rsidR="006C3E79" w:rsidRPr="00DE6BE9" w:rsidRDefault="00F902B1" w:rsidP="00A91AD2">
            <w:pPr>
              <w:jc w:val="center"/>
              <w:rPr>
                <w:sz w:val="20"/>
                <w:szCs w:val="20"/>
              </w:rPr>
            </w:pPr>
            <w:r>
              <w:rPr>
                <w:sz w:val="20"/>
                <w:szCs w:val="20"/>
              </w:rPr>
              <w:t>Can’t Tell</w:t>
            </w:r>
          </w:p>
        </w:tc>
        <w:tc>
          <w:tcPr>
            <w:tcW w:w="2197" w:type="dxa"/>
          </w:tcPr>
          <w:p w:rsidR="006C3E79" w:rsidRPr="00DE6BE9" w:rsidRDefault="00F902B1" w:rsidP="00A91AD2">
            <w:pPr>
              <w:jc w:val="center"/>
              <w:rPr>
                <w:sz w:val="20"/>
                <w:szCs w:val="20"/>
              </w:rPr>
            </w:pPr>
            <w:r>
              <w:rPr>
                <w:sz w:val="20"/>
                <w:szCs w:val="20"/>
              </w:rPr>
              <w:t>Yes</w:t>
            </w:r>
          </w:p>
        </w:tc>
        <w:tc>
          <w:tcPr>
            <w:tcW w:w="2198" w:type="dxa"/>
          </w:tcPr>
          <w:p w:rsidR="006C3E79" w:rsidRPr="00DE6BE9" w:rsidRDefault="00F902B1" w:rsidP="00A91AD2">
            <w:pPr>
              <w:jc w:val="center"/>
              <w:rPr>
                <w:sz w:val="20"/>
                <w:szCs w:val="20"/>
              </w:rPr>
            </w:pPr>
            <w:r>
              <w:rPr>
                <w:sz w:val="20"/>
                <w:szCs w:val="20"/>
              </w:rPr>
              <w:t>Can’t Tell</w:t>
            </w:r>
          </w:p>
        </w:tc>
        <w:tc>
          <w:tcPr>
            <w:tcW w:w="1350" w:type="dxa"/>
          </w:tcPr>
          <w:p w:rsidR="006C3E79" w:rsidRPr="00DE6BE9" w:rsidRDefault="00F902B1" w:rsidP="00A91AD2">
            <w:pPr>
              <w:jc w:val="center"/>
              <w:rPr>
                <w:sz w:val="20"/>
                <w:szCs w:val="20"/>
              </w:rPr>
            </w:pPr>
            <w:r>
              <w:rPr>
                <w:sz w:val="20"/>
                <w:szCs w:val="20"/>
              </w:rPr>
              <w:t>50%</w:t>
            </w:r>
          </w:p>
        </w:tc>
      </w:tr>
      <w:tr w:rsidR="006C3E79" w:rsidRPr="00DE6BE9" w:rsidTr="00A91AD2">
        <w:tc>
          <w:tcPr>
            <w:tcW w:w="1818" w:type="dxa"/>
          </w:tcPr>
          <w:p w:rsidR="006C3E79" w:rsidRPr="00DB00C0" w:rsidRDefault="006C3E79" w:rsidP="000B3715">
            <w:pPr>
              <w:rPr>
                <w:sz w:val="20"/>
                <w:szCs w:val="20"/>
                <w:vertAlign w:val="superscript"/>
              </w:rPr>
            </w:pPr>
            <w:r w:rsidRPr="00DB00C0">
              <w:rPr>
                <w:sz w:val="20"/>
                <w:szCs w:val="20"/>
              </w:rPr>
              <w:t>Duggan, 2012</w:t>
            </w:r>
            <w:r w:rsidRPr="00DB00C0">
              <w:rPr>
                <w:sz w:val="20"/>
                <w:szCs w:val="20"/>
                <w:vertAlign w:val="superscript"/>
              </w:rPr>
              <w:t>4</w:t>
            </w:r>
            <w:r w:rsidR="000B3715">
              <w:rPr>
                <w:sz w:val="20"/>
                <w:szCs w:val="20"/>
                <w:vertAlign w:val="superscript"/>
              </w:rPr>
              <w:t>5</w:t>
            </w:r>
          </w:p>
        </w:tc>
        <w:tc>
          <w:tcPr>
            <w:tcW w:w="1830" w:type="dxa"/>
          </w:tcPr>
          <w:p w:rsidR="006C3E79" w:rsidRPr="00DE6BE9" w:rsidRDefault="006C3E79" w:rsidP="00A91AD2">
            <w:pPr>
              <w:jc w:val="center"/>
              <w:rPr>
                <w:sz w:val="20"/>
                <w:szCs w:val="20"/>
              </w:rPr>
            </w:pPr>
          </w:p>
        </w:tc>
        <w:tc>
          <w:tcPr>
            <w:tcW w:w="2197" w:type="dxa"/>
          </w:tcPr>
          <w:p w:rsidR="006C3E79" w:rsidRPr="00DE6BE9" w:rsidRDefault="005B0080" w:rsidP="00A91AD2">
            <w:pPr>
              <w:jc w:val="center"/>
              <w:rPr>
                <w:sz w:val="20"/>
                <w:szCs w:val="20"/>
              </w:rPr>
            </w:pPr>
            <w:r>
              <w:rPr>
                <w:sz w:val="20"/>
                <w:szCs w:val="20"/>
              </w:rPr>
              <w:t>Yes</w:t>
            </w:r>
          </w:p>
        </w:tc>
        <w:tc>
          <w:tcPr>
            <w:tcW w:w="2198" w:type="dxa"/>
          </w:tcPr>
          <w:p w:rsidR="006C3E79" w:rsidRPr="00DE6BE9" w:rsidRDefault="005B0080" w:rsidP="00A91AD2">
            <w:pPr>
              <w:jc w:val="center"/>
              <w:rPr>
                <w:sz w:val="20"/>
                <w:szCs w:val="20"/>
              </w:rPr>
            </w:pPr>
            <w:r>
              <w:rPr>
                <w:sz w:val="20"/>
                <w:szCs w:val="20"/>
              </w:rPr>
              <w:t>Yes</w:t>
            </w:r>
          </w:p>
        </w:tc>
        <w:tc>
          <w:tcPr>
            <w:tcW w:w="2197" w:type="dxa"/>
          </w:tcPr>
          <w:p w:rsidR="006C3E79" w:rsidRPr="00DE6BE9" w:rsidRDefault="005B0080" w:rsidP="00A91AD2">
            <w:pPr>
              <w:jc w:val="center"/>
              <w:rPr>
                <w:sz w:val="20"/>
                <w:szCs w:val="20"/>
              </w:rPr>
            </w:pPr>
            <w:r>
              <w:rPr>
                <w:sz w:val="20"/>
                <w:szCs w:val="20"/>
              </w:rPr>
              <w:t>Yes</w:t>
            </w:r>
          </w:p>
        </w:tc>
        <w:tc>
          <w:tcPr>
            <w:tcW w:w="2198" w:type="dxa"/>
          </w:tcPr>
          <w:p w:rsidR="006C3E79" w:rsidRPr="00DE6BE9" w:rsidRDefault="005B0080" w:rsidP="00A91AD2">
            <w:pPr>
              <w:jc w:val="center"/>
              <w:rPr>
                <w:sz w:val="20"/>
                <w:szCs w:val="20"/>
              </w:rPr>
            </w:pPr>
            <w:r>
              <w:rPr>
                <w:sz w:val="20"/>
                <w:szCs w:val="20"/>
              </w:rPr>
              <w:t>Can’t Tell</w:t>
            </w:r>
          </w:p>
        </w:tc>
        <w:tc>
          <w:tcPr>
            <w:tcW w:w="1350" w:type="dxa"/>
          </w:tcPr>
          <w:p w:rsidR="006C3E79" w:rsidRPr="00DE6BE9" w:rsidRDefault="005B0080" w:rsidP="00A91AD2">
            <w:pPr>
              <w:jc w:val="center"/>
              <w:rPr>
                <w:sz w:val="20"/>
                <w:szCs w:val="20"/>
              </w:rPr>
            </w:pPr>
            <w:r>
              <w:rPr>
                <w:sz w:val="20"/>
                <w:szCs w:val="20"/>
              </w:rPr>
              <w:t>75%</w:t>
            </w:r>
          </w:p>
        </w:tc>
      </w:tr>
      <w:tr w:rsidR="006C3E79" w:rsidRPr="00DE6BE9" w:rsidTr="00A91AD2">
        <w:tc>
          <w:tcPr>
            <w:tcW w:w="1818" w:type="dxa"/>
          </w:tcPr>
          <w:p w:rsidR="006C3E79" w:rsidRPr="00DB00C0" w:rsidRDefault="006C3E79" w:rsidP="000B3715">
            <w:pPr>
              <w:rPr>
                <w:sz w:val="20"/>
                <w:szCs w:val="20"/>
                <w:vertAlign w:val="superscript"/>
              </w:rPr>
            </w:pPr>
            <w:r w:rsidRPr="00DB00C0">
              <w:rPr>
                <w:sz w:val="20"/>
                <w:szCs w:val="20"/>
              </w:rPr>
              <w:t>Lewis, 2011</w:t>
            </w:r>
            <w:r w:rsidRPr="00DB00C0">
              <w:rPr>
                <w:sz w:val="20"/>
                <w:szCs w:val="20"/>
                <w:vertAlign w:val="superscript"/>
              </w:rPr>
              <w:t>4</w:t>
            </w:r>
            <w:r w:rsidR="000B3715">
              <w:rPr>
                <w:sz w:val="20"/>
                <w:szCs w:val="20"/>
                <w:vertAlign w:val="superscript"/>
              </w:rPr>
              <w:t>7</w:t>
            </w:r>
          </w:p>
        </w:tc>
        <w:tc>
          <w:tcPr>
            <w:tcW w:w="1830" w:type="dxa"/>
          </w:tcPr>
          <w:p w:rsidR="006C3E79" w:rsidRPr="00DE6BE9" w:rsidRDefault="006C3E79" w:rsidP="00A91AD2">
            <w:pPr>
              <w:jc w:val="center"/>
              <w:rPr>
                <w:sz w:val="20"/>
                <w:szCs w:val="20"/>
              </w:rPr>
            </w:pPr>
          </w:p>
        </w:tc>
        <w:tc>
          <w:tcPr>
            <w:tcW w:w="2197" w:type="dxa"/>
          </w:tcPr>
          <w:p w:rsidR="006C3E79" w:rsidRPr="00DE6BE9" w:rsidRDefault="00F902B1" w:rsidP="00A91AD2">
            <w:pPr>
              <w:jc w:val="center"/>
              <w:rPr>
                <w:sz w:val="20"/>
                <w:szCs w:val="20"/>
              </w:rPr>
            </w:pPr>
            <w:r>
              <w:rPr>
                <w:sz w:val="20"/>
                <w:szCs w:val="20"/>
              </w:rPr>
              <w:t>Yes</w:t>
            </w:r>
          </w:p>
        </w:tc>
        <w:tc>
          <w:tcPr>
            <w:tcW w:w="2198" w:type="dxa"/>
          </w:tcPr>
          <w:p w:rsidR="006C3E79" w:rsidRPr="00DE6BE9" w:rsidRDefault="00F902B1" w:rsidP="00A91AD2">
            <w:pPr>
              <w:jc w:val="center"/>
              <w:rPr>
                <w:sz w:val="20"/>
                <w:szCs w:val="20"/>
              </w:rPr>
            </w:pPr>
            <w:r>
              <w:rPr>
                <w:sz w:val="20"/>
                <w:szCs w:val="20"/>
              </w:rPr>
              <w:t>Yes</w:t>
            </w:r>
          </w:p>
        </w:tc>
        <w:tc>
          <w:tcPr>
            <w:tcW w:w="2197" w:type="dxa"/>
          </w:tcPr>
          <w:p w:rsidR="006C3E79" w:rsidRPr="00DE6BE9" w:rsidRDefault="00F902B1" w:rsidP="00A91AD2">
            <w:pPr>
              <w:jc w:val="center"/>
              <w:rPr>
                <w:sz w:val="20"/>
                <w:szCs w:val="20"/>
              </w:rPr>
            </w:pPr>
            <w:r>
              <w:rPr>
                <w:sz w:val="20"/>
                <w:szCs w:val="20"/>
              </w:rPr>
              <w:t>Yes</w:t>
            </w:r>
          </w:p>
        </w:tc>
        <w:tc>
          <w:tcPr>
            <w:tcW w:w="2198" w:type="dxa"/>
          </w:tcPr>
          <w:p w:rsidR="006C3E79" w:rsidRPr="00DE6BE9" w:rsidRDefault="00F902B1" w:rsidP="00A91AD2">
            <w:pPr>
              <w:jc w:val="center"/>
              <w:rPr>
                <w:sz w:val="20"/>
                <w:szCs w:val="20"/>
              </w:rPr>
            </w:pPr>
            <w:r>
              <w:rPr>
                <w:sz w:val="20"/>
                <w:szCs w:val="20"/>
              </w:rPr>
              <w:t>Can’t Tell</w:t>
            </w:r>
          </w:p>
        </w:tc>
        <w:tc>
          <w:tcPr>
            <w:tcW w:w="1350" w:type="dxa"/>
          </w:tcPr>
          <w:p w:rsidR="006C3E79" w:rsidRPr="00DE6BE9" w:rsidRDefault="00F902B1" w:rsidP="00A91AD2">
            <w:pPr>
              <w:jc w:val="center"/>
              <w:rPr>
                <w:sz w:val="20"/>
                <w:szCs w:val="20"/>
              </w:rPr>
            </w:pPr>
            <w:r>
              <w:rPr>
                <w:sz w:val="20"/>
                <w:szCs w:val="20"/>
              </w:rPr>
              <w:t>75%</w:t>
            </w:r>
          </w:p>
        </w:tc>
      </w:tr>
      <w:tr w:rsidR="00222780" w:rsidRPr="00DE6BE9" w:rsidTr="00A91AD2">
        <w:tc>
          <w:tcPr>
            <w:tcW w:w="1818" w:type="dxa"/>
          </w:tcPr>
          <w:p w:rsidR="00222780" w:rsidRPr="00222780" w:rsidRDefault="00222780" w:rsidP="000B3715">
            <w:pPr>
              <w:rPr>
                <w:sz w:val="20"/>
                <w:szCs w:val="20"/>
              </w:rPr>
            </w:pPr>
            <w:r>
              <w:rPr>
                <w:sz w:val="20"/>
                <w:szCs w:val="20"/>
              </w:rPr>
              <w:t>Whitlock, 2006</w:t>
            </w:r>
            <w:r w:rsidR="000B3715">
              <w:rPr>
                <w:sz w:val="20"/>
                <w:szCs w:val="20"/>
                <w:vertAlign w:val="superscript"/>
              </w:rPr>
              <w:t>49</w:t>
            </w:r>
            <w:r>
              <w:rPr>
                <w:sz w:val="20"/>
                <w:szCs w:val="20"/>
              </w:rPr>
              <w:t>**</w:t>
            </w:r>
          </w:p>
        </w:tc>
        <w:tc>
          <w:tcPr>
            <w:tcW w:w="1830" w:type="dxa"/>
          </w:tcPr>
          <w:p w:rsidR="00222780" w:rsidRPr="00DE6BE9" w:rsidRDefault="00222780" w:rsidP="00A91AD2">
            <w:pPr>
              <w:jc w:val="center"/>
              <w:rPr>
                <w:sz w:val="20"/>
                <w:szCs w:val="20"/>
              </w:rPr>
            </w:pPr>
          </w:p>
        </w:tc>
        <w:tc>
          <w:tcPr>
            <w:tcW w:w="2197" w:type="dxa"/>
          </w:tcPr>
          <w:p w:rsidR="00222780" w:rsidRDefault="00222780" w:rsidP="00A91AD2">
            <w:pPr>
              <w:jc w:val="center"/>
              <w:rPr>
                <w:sz w:val="20"/>
                <w:szCs w:val="20"/>
              </w:rPr>
            </w:pPr>
            <w:r>
              <w:rPr>
                <w:sz w:val="20"/>
                <w:szCs w:val="20"/>
              </w:rPr>
              <w:t>Yes</w:t>
            </w:r>
          </w:p>
        </w:tc>
        <w:tc>
          <w:tcPr>
            <w:tcW w:w="2198" w:type="dxa"/>
          </w:tcPr>
          <w:p w:rsidR="00222780" w:rsidRDefault="00222780" w:rsidP="00A91AD2">
            <w:pPr>
              <w:jc w:val="center"/>
              <w:rPr>
                <w:sz w:val="20"/>
                <w:szCs w:val="20"/>
              </w:rPr>
            </w:pPr>
            <w:r>
              <w:rPr>
                <w:sz w:val="20"/>
                <w:szCs w:val="20"/>
              </w:rPr>
              <w:t>Can’t Tell</w:t>
            </w:r>
          </w:p>
        </w:tc>
        <w:tc>
          <w:tcPr>
            <w:tcW w:w="2197" w:type="dxa"/>
          </w:tcPr>
          <w:p w:rsidR="00222780" w:rsidRDefault="00222780" w:rsidP="00A91AD2">
            <w:pPr>
              <w:jc w:val="center"/>
              <w:rPr>
                <w:sz w:val="20"/>
                <w:szCs w:val="20"/>
              </w:rPr>
            </w:pPr>
            <w:r>
              <w:rPr>
                <w:sz w:val="20"/>
                <w:szCs w:val="20"/>
              </w:rPr>
              <w:t>Yes</w:t>
            </w:r>
          </w:p>
        </w:tc>
        <w:tc>
          <w:tcPr>
            <w:tcW w:w="2198" w:type="dxa"/>
          </w:tcPr>
          <w:p w:rsidR="00222780" w:rsidRDefault="00222780" w:rsidP="00A91AD2">
            <w:pPr>
              <w:jc w:val="center"/>
              <w:rPr>
                <w:sz w:val="20"/>
                <w:szCs w:val="20"/>
              </w:rPr>
            </w:pPr>
            <w:r>
              <w:rPr>
                <w:sz w:val="20"/>
                <w:szCs w:val="20"/>
              </w:rPr>
              <w:t>Can’t Tell</w:t>
            </w:r>
          </w:p>
        </w:tc>
        <w:tc>
          <w:tcPr>
            <w:tcW w:w="1350" w:type="dxa"/>
          </w:tcPr>
          <w:p w:rsidR="00222780" w:rsidRDefault="00222780" w:rsidP="00A91AD2">
            <w:pPr>
              <w:jc w:val="center"/>
              <w:rPr>
                <w:sz w:val="20"/>
                <w:szCs w:val="20"/>
              </w:rPr>
            </w:pPr>
            <w:r>
              <w:rPr>
                <w:sz w:val="20"/>
                <w:szCs w:val="20"/>
              </w:rPr>
              <w:t>50%</w:t>
            </w:r>
          </w:p>
        </w:tc>
      </w:tr>
      <w:tr w:rsidR="00D20AB9" w:rsidRPr="00DE6BE9" w:rsidTr="00A91AD2">
        <w:tc>
          <w:tcPr>
            <w:tcW w:w="1818" w:type="dxa"/>
            <w:shd w:val="clear" w:color="auto" w:fill="F2F2F2" w:themeFill="background1" w:themeFillShade="F2"/>
          </w:tcPr>
          <w:p w:rsidR="00D20AB9" w:rsidRPr="00DE6BE9" w:rsidRDefault="00D20AB9" w:rsidP="00A91AD2">
            <w:pPr>
              <w:rPr>
                <w:sz w:val="20"/>
                <w:szCs w:val="20"/>
              </w:rPr>
            </w:pPr>
          </w:p>
        </w:tc>
        <w:tc>
          <w:tcPr>
            <w:tcW w:w="1830" w:type="dxa"/>
            <w:shd w:val="clear" w:color="auto" w:fill="F2F2F2" w:themeFill="background1" w:themeFillShade="F2"/>
          </w:tcPr>
          <w:p w:rsidR="00D20AB9" w:rsidRPr="00DE6BE9" w:rsidRDefault="00D20AB9" w:rsidP="00A91AD2">
            <w:pPr>
              <w:jc w:val="center"/>
              <w:rPr>
                <w:i/>
                <w:sz w:val="20"/>
                <w:szCs w:val="20"/>
              </w:rPr>
            </w:pPr>
            <w:r w:rsidRPr="00DE6BE9">
              <w:rPr>
                <w:i/>
                <w:sz w:val="20"/>
                <w:szCs w:val="20"/>
              </w:rPr>
              <w:t>Mixed Methods</w:t>
            </w:r>
          </w:p>
        </w:tc>
        <w:tc>
          <w:tcPr>
            <w:tcW w:w="2197" w:type="dxa"/>
            <w:shd w:val="clear" w:color="auto" w:fill="F2F2F2" w:themeFill="background1" w:themeFillShade="F2"/>
          </w:tcPr>
          <w:p w:rsidR="00D20AB9" w:rsidRPr="00DE6BE9" w:rsidRDefault="00D20AB9" w:rsidP="00A91AD2">
            <w:pPr>
              <w:jc w:val="center"/>
              <w:rPr>
                <w:sz w:val="20"/>
                <w:szCs w:val="20"/>
              </w:rPr>
            </w:pPr>
            <w:r w:rsidRPr="00DE6BE9">
              <w:rPr>
                <w:sz w:val="20"/>
                <w:szCs w:val="20"/>
              </w:rPr>
              <w:t>5.1 Relevant research design</w:t>
            </w:r>
          </w:p>
        </w:tc>
        <w:tc>
          <w:tcPr>
            <w:tcW w:w="2198" w:type="dxa"/>
            <w:shd w:val="clear" w:color="auto" w:fill="F2F2F2" w:themeFill="background1" w:themeFillShade="F2"/>
          </w:tcPr>
          <w:p w:rsidR="00D20AB9" w:rsidRPr="00DE6BE9" w:rsidRDefault="00D20AB9" w:rsidP="00A91AD2">
            <w:pPr>
              <w:jc w:val="center"/>
              <w:rPr>
                <w:sz w:val="20"/>
                <w:szCs w:val="20"/>
              </w:rPr>
            </w:pPr>
            <w:r w:rsidRPr="00DE6BE9">
              <w:rPr>
                <w:sz w:val="20"/>
                <w:szCs w:val="20"/>
              </w:rPr>
              <w:t>5.2 Relevant integration of qualitative and quantitative data</w:t>
            </w:r>
          </w:p>
        </w:tc>
        <w:tc>
          <w:tcPr>
            <w:tcW w:w="2197" w:type="dxa"/>
            <w:shd w:val="clear" w:color="auto" w:fill="F2F2F2" w:themeFill="background1" w:themeFillShade="F2"/>
          </w:tcPr>
          <w:p w:rsidR="00D20AB9" w:rsidRPr="00DE6BE9" w:rsidRDefault="00D20AB9" w:rsidP="00A91AD2">
            <w:pPr>
              <w:jc w:val="center"/>
              <w:rPr>
                <w:sz w:val="20"/>
                <w:szCs w:val="20"/>
              </w:rPr>
            </w:pPr>
            <w:r w:rsidRPr="00DE6BE9">
              <w:rPr>
                <w:sz w:val="20"/>
                <w:szCs w:val="20"/>
              </w:rPr>
              <w:t>5.3 Appropriate consideration of limitations of data integration</w:t>
            </w:r>
          </w:p>
        </w:tc>
        <w:tc>
          <w:tcPr>
            <w:tcW w:w="2198" w:type="dxa"/>
            <w:shd w:val="clear" w:color="auto" w:fill="D9D9D9" w:themeFill="background1" w:themeFillShade="D9"/>
          </w:tcPr>
          <w:p w:rsidR="00D20AB9" w:rsidRPr="00DE6BE9" w:rsidRDefault="00D20AB9" w:rsidP="00A91AD2">
            <w:pPr>
              <w:jc w:val="center"/>
              <w:rPr>
                <w:sz w:val="20"/>
                <w:szCs w:val="20"/>
              </w:rPr>
            </w:pPr>
          </w:p>
        </w:tc>
        <w:tc>
          <w:tcPr>
            <w:tcW w:w="1350" w:type="dxa"/>
            <w:shd w:val="clear" w:color="auto" w:fill="F2F2F2" w:themeFill="background1" w:themeFillShade="F2"/>
          </w:tcPr>
          <w:p w:rsidR="00D20AB9" w:rsidRPr="00DE6BE9" w:rsidRDefault="00D20AB9" w:rsidP="00A91AD2">
            <w:pPr>
              <w:jc w:val="center"/>
              <w:rPr>
                <w:sz w:val="20"/>
                <w:szCs w:val="20"/>
              </w:rPr>
            </w:pPr>
          </w:p>
        </w:tc>
      </w:tr>
      <w:tr w:rsidR="00D20AB9" w:rsidRPr="00DE6BE9" w:rsidTr="00A91AD2">
        <w:tc>
          <w:tcPr>
            <w:tcW w:w="1818" w:type="dxa"/>
          </w:tcPr>
          <w:p w:rsidR="00D20AB9" w:rsidRPr="00DB00C0" w:rsidRDefault="006C3E79" w:rsidP="000B3715">
            <w:pPr>
              <w:rPr>
                <w:sz w:val="20"/>
                <w:szCs w:val="20"/>
                <w:vertAlign w:val="superscript"/>
              </w:rPr>
            </w:pPr>
            <w:r w:rsidRPr="00DB00C0">
              <w:rPr>
                <w:sz w:val="20"/>
                <w:szCs w:val="20"/>
              </w:rPr>
              <w:t>Whitlock, 2006</w:t>
            </w:r>
            <w:r w:rsidR="000B3715">
              <w:rPr>
                <w:sz w:val="20"/>
                <w:szCs w:val="20"/>
                <w:vertAlign w:val="superscript"/>
              </w:rPr>
              <w:t>49</w:t>
            </w:r>
            <w:bookmarkStart w:id="0" w:name="_GoBack"/>
            <w:bookmarkEnd w:id="0"/>
            <w:r w:rsidR="00222780" w:rsidRPr="00222780">
              <w:rPr>
                <w:sz w:val="20"/>
                <w:szCs w:val="20"/>
              </w:rPr>
              <w:t>**</w:t>
            </w:r>
          </w:p>
        </w:tc>
        <w:tc>
          <w:tcPr>
            <w:tcW w:w="1830" w:type="dxa"/>
          </w:tcPr>
          <w:p w:rsidR="00D20AB9" w:rsidRPr="00DE6BE9" w:rsidRDefault="00D20AB9" w:rsidP="00A91AD2">
            <w:pPr>
              <w:jc w:val="center"/>
              <w:rPr>
                <w:sz w:val="20"/>
                <w:szCs w:val="20"/>
              </w:rPr>
            </w:pPr>
          </w:p>
        </w:tc>
        <w:tc>
          <w:tcPr>
            <w:tcW w:w="2197" w:type="dxa"/>
          </w:tcPr>
          <w:p w:rsidR="00D20AB9" w:rsidRPr="00DE6BE9" w:rsidRDefault="005B0080" w:rsidP="00A91AD2">
            <w:pPr>
              <w:jc w:val="center"/>
              <w:rPr>
                <w:sz w:val="20"/>
                <w:szCs w:val="20"/>
              </w:rPr>
            </w:pPr>
            <w:r>
              <w:rPr>
                <w:sz w:val="20"/>
                <w:szCs w:val="20"/>
              </w:rPr>
              <w:t>Yes</w:t>
            </w:r>
          </w:p>
        </w:tc>
        <w:tc>
          <w:tcPr>
            <w:tcW w:w="2198" w:type="dxa"/>
          </w:tcPr>
          <w:p w:rsidR="00D20AB9" w:rsidRPr="00DE6BE9" w:rsidRDefault="005B0080" w:rsidP="00A91AD2">
            <w:pPr>
              <w:jc w:val="center"/>
              <w:rPr>
                <w:sz w:val="20"/>
                <w:szCs w:val="20"/>
              </w:rPr>
            </w:pPr>
            <w:r>
              <w:rPr>
                <w:sz w:val="20"/>
                <w:szCs w:val="20"/>
              </w:rPr>
              <w:t>Yes</w:t>
            </w:r>
          </w:p>
        </w:tc>
        <w:tc>
          <w:tcPr>
            <w:tcW w:w="2197" w:type="dxa"/>
          </w:tcPr>
          <w:p w:rsidR="00D20AB9" w:rsidRPr="00DE6BE9" w:rsidRDefault="005B0080" w:rsidP="00A91AD2">
            <w:pPr>
              <w:jc w:val="center"/>
              <w:rPr>
                <w:sz w:val="20"/>
                <w:szCs w:val="20"/>
              </w:rPr>
            </w:pPr>
            <w:r>
              <w:rPr>
                <w:sz w:val="20"/>
                <w:szCs w:val="20"/>
              </w:rPr>
              <w:t>Can’t Tell</w:t>
            </w:r>
          </w:p>
        </w:tc>
        <w:tc>
          <w:tcPr>
            <w:tcW w:w="2198" w:type="dxa"/>
            <w:shd w:val="clear" w:color="auto" w:fill="D9D9D9" w:themeFill="background1" w:themeFillShade="D9"/>
          </w:tcPr>
          <w:p w:rsidR="00D20AB9" w:rsidRPr="00DE6BE9" w:rsidRDefault="00D20AB9" w:rsidP="00A91AD2">
            <w:pPr>
              <w:jc w:val="center"/>
              <w:rPr>
                <w:sz w:val="20"/>
                <w:szCs w:val="20"/>
              </w:rPr>
            </w:pPr>
          </w:p>
        </w:tc>
        <w:tc>
          <w:tcPr>
            <w:tcW w:w="1350" w:type="dxa"/>
            <w:shd w:val="clear" w:color="auto" w:fill="FFFFFF" w:themeFill="background1"/>
          </w:tcPr>
          <w:p w:rsidR="00D20AB9" w:rsidRPr="00DE6BE9" w:rsidRDefault="005B0080" w:rsidP="00A91AD2">
            <w:pPr>
              <w:jc w:val="center"/>
              <w:rPr>
                <w:sz w:val="20"/>
                <w:szCs w:val="20"/>
              </w:rPr>
            </w:pPr>
            <w:r>
              <w:rPr>
                <w:sz w:val="20"/>
                <w:szCs w:val="20"/>
              </w:rPr>
              <w:t>50%</w:t>
            </w:r>
          </w:p>
        </w:tc>
      </w:tr>
    </w:tbl>
    <w:p w:rsidR="00D23717" w:rsidRDefault="00DE6BE9" w:rsidP="00A91AD2">
      <w:pPr>
        <w:rPr>
          <w:sz w:val="18"/>
          <w:szCs w:val="18"/>
        </w:rPr>
      </w:pPr>
      <w:r>
        <w:rPr>
          <w:sz w:val="18"/>
          <w:szCs w:val="18"/>
        </w:rPr>
        <w:t>* All included studies met the criteria for the screening questions; therefore these are not included in the table. No included studies were assessed as quantitative randomized controlled trials, and this category of the Mixed Methods Appraisal Tool has been omitted from the table.</w:t>
      </w:r>
    </w:p>
    <w:p w:rsidR="00735D94" w:rsidRPr="00DE6BE9" w:rsidRDefault="00735D94" w:rsidP="00A91AD2">
      <w:pPr>
        <w:rPr>
          <w:sz w:val="18"/>
          <w:szCs w:val="18"/>
        </w:rPr>
      </w:pPr>
      <w:r>
        <w:rPr>
          <w:sz w:val="18"/>
          <w:szCs w:val="18"/>
        </w:rPr>
        <w:t>** Mixed methods studies are assessed</w:t>
      </w:r>
      <w:r w:rsidR="002D5380">
        <w:rPr>
          <w:sz w:val="18"/>
          <w:szCs w:val="18"/>
        </w:rPr>
        <w:t xml:space="preserve"> for the qualitative component, the relevant quantitative component, and the mixed methods component, and therefore appear three times in the table, in each of the applicable sections.</w:t>
      </w:r>
    </w:p>
    <w:sectPr w:rsidR="00735D94" w:rsidRPr="00DE6BE9" w:rsidSect="00A91AD2">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510" w:rsidRDefault="00415510" w:rsidP="00415510">
      <w:r>
        <w:separator/>
      </w:r>
    </w:p>
  </w:endnote>
  <w:endnote w:type="continuationSeparator" w:id="0">
    <w:p w:rsidR="00415510" w:rsidRDefault="00415510" w:rsidP="0041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510" w:rsidRDefault="00415510" w:rsidP="00415510">
      <w:r>
        <w:separator/>
      </w:r>
    </w:p>
  </w:footnote>
  <w:footnote w:type="continuationSeparator" w:id="0">
    <w:p w:rsidR="00415510" w:rsidRDefault="00415510" w:rsidP="00415510">
      <w:r>
        <w:continuationSeparator/>
      </w:r>
    </w:p>
  </w:footnote>
  <w:footnote w:id="1">
    <w:p w:rsidR="00415510" w:rsidRPr="00415510" w:rsidRDefault="00415510" w:rsidP="00415510">
      <w:pPr>
        <w:pStyle w:val="FootnoteText"/>
      </w:pPr>
      <w:r>
        <w:rPr>
          <w:rStyle w:val="FootnoteReference"/>
        </w:rPr>
        <w:footnoteRef/>
      </w:r>
      <w:r>
        <w:t xml:space="preserve"> Adapted from: </w:t>
      </w:r>
      <w:r w:rsidRPr="00415510">
        <w:t xml:space="preserve">Pluye P, Robert E, Cargo M, et al. Proposal: A mixed methods appraisal tool for systematic mixed studies reviews. 2011; </w:t>
      </w:r>
      <w:hyperlink r:id="rId1" w:history="1">
        <w:r w:rsidRPr="00415510">
          <w:rPr>
            <w:rStyle w:val="Hyperlink"/>
          </w:rPr>
          <w:t>http://mixedmethodsappraisaltoolpublic.pbworks.com</w:t>
        </w:r>
      </w:hyperlink>
      <w:r w:rsidRPr="00415510">
        <w:t>.</w:t>
      </w:r>
    </w:p>
    <w:p w:rsidR="00415510" w:rsidRDefault="0041551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59"/>
    <w:rsid w:val="000B2CCD"/>
    <w:rsid w:val="000B3715"/>
    <w:rsid w:val="001D69E3"/>
    <w:rsid w:val="00222780"/>
    <w:rsid w:val="002D5380"/>
    <w:rsid w:val="00415510"/>
    <w:rsid w:val="0049282F"/>
    <w:rsid w:val="0059027E"/>
    <w:rsid w:val="005B0080"/>
    <w:rsid w:val="006251B2"/>
    <w:rsid w:val="006C3E79"/>
    <w:rsid w:val="00706C7C"/>
    <w:rsid w:val="00735D94"/>
    <w:rsid w:val="00741F37"/>
    <w:rsid w:val="007D6BE4"/>
    <w:rsid w:val="00933466"/>
    <w:rsid w:val="009E37EB"/>
    <w:rsid w:val="00A91AD2"/>
    <w:rsid w:val="00D14AFA"/>
    <w:rsid w:val="00D15259"/>
    <w:rsid w:val="00D20AB9"/>
    <w:rsid w:val="00DB00C0"/>
    <w:rsid w:val="00DE6BE9"/>
    <w:rsid w:val="00EB4F1E"/>
    <w:rsid w:val="00EC328F"/>
    <w:rsid w:val="00F40152"/>
    <w:rsid w:val="00F90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5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15510"/>
    <w:rPr>
      <w:sz w:val="20"/>
      <w:szCs w:val="20"/>
    </w:rPr>
  </w:style>
  <w:style w:type="character" w:customStyle="1" w:styleId="FootnoteTextChar">
    <w:name w:val="Footnote Text Char"/>
    <w:basedOn w:val="DefaultParagraphFont"/>
    <w:link w:val="FootnoteText"/>
    <w:uiPriority w:val="99"/>
    <w:semiHidden/>
    <w:rsid w:val="00415510"/>
    <w:rPr>
      <w:sz w:val="20"/>
      <w:szCs w:val="20"/>
    </w:rPr>
  </w:style>
  <w:style w:type="character" w:styleId="FootnoteReference">
    <w:name w:val="footnote reference"/>
    <w:basedOn w:val="DefaultParagraphFont"/>
    <w:uiPriority w:val="99"/>
    <w:semiHidden/>
    <w:unhideWhenUsed/>
    <w:rsid w:val="00415510"/>
    <w:rPr>
      <w:vertAlign w:val="superscript"/>
    </w:rPr>
  </w:style>
  <w:style w:type="character" w:styleId="Hyperlink">
    <w:name w:val="Hyperlink"/>
    <w:basedOn w:val="DefaultParagraphFont"/>
    <w:uiPriority w:val="99"/>
    <w:unhideWhenUsed/>
    <w:rsid w:val="00415510"/>
    <w:rPr>
      <w:color w:val="0000FF" w:themeColor="hyperlink"/>
      <w:u w:val="single"/>
    </w:rPr>
  </w:style>
  <w:style w:type="character" w:styleId="CommentReference">
    <w:name w:val="annotation reference"/>
    <w:basedOn w:val="DefaultParagraphFont"/>
    <w:uiPriority w:val="99"/>
    <w:semiHidden/>
    <w:unhideWhenUsed/>
    <w:rsid w:val="005B0080"/>
    <w:rPr>
      <w:sz w:val="16"/>
      <w:szCs w:val="16"/>
    </w:rPr>
  </w:style>
  <w:style w:type="paragraph" w:styleId="CommentText">
    <w:name w:val="annotation text"/>
    <w:basedOn w:val="Normal"/>
    <w:link w:val="CommentTextChar"/>
    <w:uiPriority w:val="99"/>
    <w:semiHidden/>
    <w:unhideWhenUsed/>
    <w:rsid w:val="005B0080"/>
    <w:rPr>
      <w:sz w:val="20"/>
      <w:szCs w:val="20"/>
    </w:rPr>
  </w:style>
  <w:style w:type="character" w:customStyle="1" w:styleId="CommentTextChar">
    <w:name w:val="Comment Text Char"/>
    <w:basedOn w:val="DefaultParagraphFont"/>
    <w:link w:val="CommentText"/>
    <w:uiPriority w:val="99"/>
    <w:semiHidden/>
    <w:rsid w:val="005B0080"/>
    <w:rPr>
      <w:sz w:val="20"/>
      <w:szCs w:val="20"/>
    </w:rPr>
  </w:style>
  <w:style w:type="paragraph" w:styleId="CommentSubject">
    <w:name w:val="annotation subject"/>
    <w:basedOn w:val="CommentText"/>
    <w:next w:val="CommentText"/>
    <w:link w:val="CommentSubjectChar"/>
    <w:uiPriority w:val="99"/>
    <w:semiHidden/>
    <w:unhideWhenUsed/>
    <w:rsid w:val="005B0080"/>
    <w:rPr>
      <w:b/>
      <w:bCs/>
    </w:rPr>
  </w:style>
  <w:style w:type="character" w:customStyle="1" w:styleId="CommentSubjectChar">
    <w:name w:val="Comment Subject Char"/>
    <w:basedOn w:val="CommentTextChar"/>
    <w:link w:val="CommentSubject"/>
    <w:uiPriority w:val="99"/>
    <w:semiHidden/>
    <w:rsid w:val="005B0080"/>
    <w:rPr>
      <w:b/>
      <w:bCs/>
      <w:sz w:val="20"/>
      <w:szCs w:val="20"/>
    </w:rPr>
  </w:style>
  <w:style w:type="paragraph" w:styleId="BalloonText">
    <w:name w:val="Balloon Text"/>
    <w:basedOn w:val="Normal"/>
    <w:link w:val="BalloonTextChar"/>
    <w:uiPriority w:val="99"/>
    <w:semiHidden/>
    <w:unhideWhenUsed/>
    <w:rsid w:val="005B0080"/>
    <w:rPr>
      <w:rFonts w:ascii="Tahoma" w:hAnsi="Tahoma" w:cs="Tahoma"/>
      <w:sz w:val="16"/>
      <w:szCs w:val="16"/>
    </w:rPr>
  </w:style>
  <w:style w:type="character" w:customStyle="1" w:styleId="BalloonTextChar">
    <w:name w:val="Balloon Text Char"/>
    <w:basedOn w:val="DefaultParagraphFont"/>
    <w:link w:val="BalloonText"/>
    <w:uiPriority w:val="99"/>
    <w:semiHidden/>
    <w:rsid w:val="005B00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5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15510"/>
    <w:rPr>
      <w:sz w:val="20"/>
      <w:szCs w:val="20"/>
    </w:rPr>
  </w:style>
  <w:style w:type="character" w:customStyle="1" w:styleId="FootnoteTextChar">
    <w:name w:val="Footnote Text Char"/>
    <w:basedOn w:val="DefaultParagraphFont"/>
    <w:link w:val="FootnoteText"/>
    <w:uiPriority w:val="99"/>
    <w:semiHidden/>
    <w:rsid w:val="00415510"/>
    <w:rPr>
      <w:sz w:val="20"/>
      <w:szCs w:val="20"/>
    </w:rPr>
  </w:style>
  <w:style w:type="character" w:styleId="FootnoteReference">
    <w:name w:val="footnote reference"/>
    <w:basedOn w:val="DefaultParagraphFont"/>
    <w:uiPriority w:val="99"/>
    <w:semiHidden/>
    <w:unhideWhenUsed/>
    <w:rsid w:val="00415510"/>
    <w:rPr>
      <w:vertAlign w:val="superscript"/>
    </w:rPr>
  </w:style>
  <w:style w:type="character" w:styleId="Hyperlink">
    <w:name w:val="Hyperlink"/>
    <w:basedOn w:val="DefaultParagraphFont"/>
    <w:uiPriority w:val="99"/>
    <w:unhideWhenUsed/>
    <w:rsid w:val="00415510"/>
    <w:rPr>
      <w:color w:val="0000FF" w:themeColor="hyperlink"/>
      <w:u w:val="single"/>
    </w:rPr>
  </w:style>
  <w:style w:type="character" w:styleId="CommentReference">
    <w:name w:val="annotation reference"/>
    <w:basedOn w:val="DefaultParagraphFont"/>
    <w:uiPriority w:val="99"/>
    <w:semiHidden/>
    <w:unhideWhenUsed/>
    <w:rsid w:val="005B0080"/>
    <w:rPr>
      <w:sz w:val="16"/>
      <w:szCs w:val="16"/>
    </w:rPr>
  </w:style>
  <w:style w:type="paragraph" w:styleId="CommentText">
    <w:name w:val="annotation text"/>
    <w:basedOn w:val="Normal"/>
    <w:link w:val="CommentTextChar"/>
    <w:uiPriority w:val="99"/>
    <w:semiHidden/>
    <w:unhideWhenUsed/>
    <w:rsid w:val="005B0080"/>
    <w:rPr>
      <w:sz w:val="20"/>
      <w:szCs w:val="20"/>
    </w:rPr>
  </w:style>
  <w:style w:type="character" w:customStyle="1" w:styleId="CommentTextChar">
    <w:name w:val="Comment Text Char"/>
    <w:basedOn w:val="DefaultParagraphFont"/>
    <w:link w:val="CommentText"/>
    <w:uiPriority w:val="99"/>
    <w:semiHidden/>
    <w:rsid w:val="005B0080"/>
    <w:rPr>
      <w:sz w:val="20"/>
      <w:szCs w:val="20"/>
    </w:rPr>
  </w:style>
  <w:style w:type="paragraph" w:styleId="CommentSubject">
    <w:name w:val="annotation subject"/>
    <w:basedOn w:val="CommentText"/>
    <w:next w:val="CommentText"/>
    <w:link w:val="CommentSubjectChar"/>
    <w:uiPriority w:val="99"/>
    <w:semiHidden/>
    <w:unhideWhenUsed/>
    <w:rsid w:val="005B0080"/>
    <w:rPr>
      <w:b/>
      <w:bCs/>
    </w:rPr>
  </w:style>
  <w:style w:type="character" w:customStyle="1" w:styleId="CommentSubjectChar">
    <w:name w:val="Comment Subject Char"/>
    <w:basedOn w:val="CommentTextChar"/>
    <w:link w:val="CommentSubject"/>
    <w:uiPriority w:val="99"/>
    <w:semiHidden/>
    <w:rsid w:val="005B0080"/>
    <w:rPr>
      <w:b/>
      <w:bCs/>
      <w:sz w:val="20"/>
      <w:szCs w:val="20"/>
    </w:rPr>
  </w:style>
  <w:style w:type="paragraph" w:styleId="BalloonText">
    <w:name w:val="Balloon Text"/>
    <w:basedOn w:val="Normal"/>
    <w:link w:val="BalloonTextChar"/>
    <w:uiPriority w:val="99"/>
    <w:semiHidden/>
    <w:unhideWhenUsed/>
    <w:rsid w:val="005B0080"/>
    <w:rPr>
      <w:rFonts w:ascii="Tahoma" w:hAnsi="Tahoma" w:cs="Tahoma"/>
      <w:sz w:val="16"/>
      <w:szCs w:val="16"/>
    </w:rPr>
  </w:style>
  <w:style w:type="character" w:customStyle="1" w:styleId="BalloonTextChar">
    <w:name w:val="Balloon Text Char"/>
    <w:basedOn w:val="DefaultParagraphFont"/>
    <w:link w:val="BalloonText"/>
    <w:uiPriority w:val="99"/>
    <w:semiHidden/>
    <w:rsid w:val="005B0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mixedmethodsappraisaltoolpublic.pb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9065B-BAB6-459F-882E-7D20CDCE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FOMD</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Dyson</dc:creator>
  <cp:lastModifiedBy>Michele Dyson</cp:lastModifiedBy>
  <cp:revision>13</cp:revision>
  <dcterms:created xsi:type="dcterms:W3CDTF">2016-04-28T16:52:00Z</dcterms:created>
  <dcterms:modified xsi:type="dcterms:W3CDTF">2016-05-02T16:02:00Z</dcterms:modified>
</cp:coreProperties>
</file>