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38" w:rsidRPr="007C394E" w:rsidRDefault="009A6138" w:rsidP="009A6138">
      <w:pPr>
        <w:autoSpaceDE w:val="0"/>
        <w:autoSpaceDN w:val="0"/>
        <w:adjustRightInd w:val="0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S7 Table</w:t>
      </w:r>
      <w:r w:rsidRPr="00187684">
        <w:rPr>
          <w:b/>
          <w:lang w:val="en-GB"/>
        </w:rPr>
        <w:t>.</w:t>
      </w:r>
      <w:proofErr w:type="gramEnd"/>
      <w:r w:rsidRPr="00187684">
        <w:rPr>
          <w:b/>
          <w:lang w:val="en-GB"/>
        </w:rPr>
        <w:t xml:space="preserve"> </w:t>
      </w:r>
      <w:r>
        <w:rPr>
          <w:b/>
          <w:lang w:val="en-GB"/>
        </w:rPr>
        <w:t xml:space="preserve">Diagnostic statistics of </w:t>
      </w:r>
      <w:r w:rsidRPr="00187684">
        <w:rPr>
          <w:b/>
          <w:lang w:val="en-GB"/>
        </w:rPr>
        <w:t>model</w:t>
      </w:r>
      <w:r>
        <w:rPr>
          <w:b/>
          <w:lang w:val="en-GB"/>
        </w:rPr>
        <w:t xml:space="preserve"> for predicting</w:t>
      </w:r>
      <w:r w:rsidRPr="00187684">
        <w:rPr>
          <w:b/>
          <w:lang w:val="en-GB"/>
        </w:rPr>
        <w:t xml:space="preserve"> climate change </w:t>
      </w:r>
      <w:r>
        <w:rPr>
          <w:b/>
          <w:lang w:val="en-GB"/>
        </w:rPr>
        <w:t xml:space="preserve">risk perception in terms of strength of belief in having experienced the effects of climate change </w:t>
      </w:r>
      <w:r w:rsidRPr="00187684">
        <w:rPr>
          <w:b/>
          <w:lang w:val="en-GB"/>
        </w:rPr>
        <w:t xml:space="preserve">by forest owners </w:t>
      </w:r>
      <w:r>
        <w:rPr>
          <w:b/>
          <w:lang w:val="en-GB"/>
        </w:rPr>
        <w:t xml:space="preserve">in Sweden </w:t>
      </w:r>
      <w:r w:rsidRPr="00187684">
        <w:rPr>
          <w:b/>
          <w:lang w:val="en-GB"/>
        </w:rPr>
        <w:t xml:space="preserve">based </w:t>
      </w:r>
      <w:r>
        <w:rPr>
          <w:b/>
          <w:lang w:val="en-GB"/>
        </w:rPr>
        <w:t>on value profile</w:t>
      </w:r>
      <w:r w:rsidRPr="00187684">
        <w:rPr>
          <w:b/>
          <w:lang w:val="en-GB"/>
        </w:rPr>
        <w:t xml:space="preserve">. 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282"/>
        <w:gridCol w:w="1296"/>
        <w:gridCol w:w="1176"/>
        <w:gridCol w:w="1296"/>
        <w:gridCol w:w="1272"/>
      </w:tblGrid>
      <w:tr w:rsidR="009A6138" w:rsidRPr="00187684" w:rsidTr="00044267">
        <w:tc>
          <w:tcPr>
            <w:tcW w:w="428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proofErr w:type="spellStart"/>
            <w:r w:rsidRPr="00175657">
              <w:rPr>
                <w:i/>
                <w:lang w:val="en-GB"/>
              </w:rPr>
              <w:t>S.b</w:t>
            </w:r>
            <w:proofErr w:type="spellEnd"/>
            <w:r w:rsidRPr="00175657">
              <w:rPr>
                <w:i/>
                <w:lang w:val="en-GB"/>
              </w:rPr>
              <w:t>. exp. climate change</w:t>
            </w:r>
            <w:r>
              <w:rPr>
                <w:i/>
                <w:lang w:val="en-GB"/>
              </w:rPr>
              <w:t xml:space="preserve"> </w:t>
            </w:r>
            <w:r w:rsidRPr="00175657">
              <w:rPr>
                <w:i/>
                <w:lang w:val="en-GB"/>
              </w:rPr>
              <w:t>Predictor (base Definitely not)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Value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SE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Z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p-value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Yes, definitely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9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3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2.51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1.3</w:t>
            </w:r>
            <w:r w:rsidRPr="00175657">
              <w:rPr>
                <w:i/>
                <w:lang w:val="en-GB"/>
              </w:rPr>
              <w:t>e-0</w:t>
            </w:r>
            <w:r>
              <w:rPr>
                <w:i/>
                <w:lang w:val="en-GB"/>
              </w:rPr>
              <w:t>2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Yes, probably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1.</w:t>
            </w:r>
            <w:r>
              <w:rPr>
                <w:i/>
                <w:lang w:val="en-GB"/>
              </w:rPr>
              <w:t>4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3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4.37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1.6</w:t>
            </w:r>
            <w:r w:rsidRPr="00175657">
              <w:rPr>
                <w:i/>
                <w:lang w:val="en-GB"/>
              </w:rPr>
              <w:t>e-0</w:t>
            </w:r>
            <w:r>
              <w:rPr>
                <w:i/>
                <w:lang w:val="en-GB"/>
              </w:rPr>
              <w:t>5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I don’t know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1.</w:t>
            </w:r>
            <w:r>
              <w:rPr>
                <w:i/>
                <w:lang w:val="en-GB"/>
              </w:rPr>
              <w:t>5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3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4.83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1.9</w:t>
            </w:r>
            <w:r w:rsidRPr="00175657">
              <w:rPr>
                <w:i/>
                <w:lang w:val="en-GB"/>
              </w:rPr>
              <w:t>e-0</w:t>
            </w:r>
            <w:r>
              <w:rPr>
                <w:i/>
                <w:lang w:val="en-GB"/>
              </w:rPr>
              <w:t>6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87684">
              <w:rPr>
                <w:lang w:val="en-GB"/>
              </w:rPr>
              <w:t>Intercept</w:t>
            </w:r>
            <w:r>
              <w:rPr>
                <w:lang w:val="en-GB"/>
              </w:rPr>
              <w:t>: Probably not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2.</w:t>
            </w:r>
            <w:r>
              <w:rPr>
                <w:i/>
                <w:lang w:val="en-GB"/>
              </w:rPr>
              <w:t>4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3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7.99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1.6</w:t>
            </w:r>
            <w:r w:rsidRPr="00175657">
              <w:rPr>
                <w:i/>
                <w:lang w:val="en-GB"/>
              </w:rPr>
              <w:t>e-</w:t>
            </w:r>
            <w:r>
              <w:rPr>
                <w:i/>
                <w:lang w:val="en-GB"/>
              </w:rPr>
              <w:t>14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7829DE">
              <w:rPr>
                <w:lang w:val="en-US"/>
              </w:rPr>
              <w:t>Value profile</w:t>
            </w:r>
            <w:r>
              <w:rPr>
                <w:lang w:val="en-US"/>
              </w:rPr>
              <w:t xml:space="preserve"> </w:t>
            </w:r>
            <w:r>
              <w:rPr>
                <w:lang w:val="en-GB"/>
              </w:rPr>
              <w:t>(1=</w:t>
            </w:r>
            <w:r w:rsidRPr="00CA3B87">
              <w:rPr>
                <w:lang w:val="en-GB"/>
              </w:rPr>
              <w:t>F</w:t>
            </w:r>
            <w:r>
              <w:rPr>
                <w:lang w:val="en-GB"/>
              </w:rPr>
              <w:t>U</w:t>
            </w:r>
            <w:r w:rsidRPr="00187684">
              <w:rPr>
                <w:lang w:val="en-GB"/>
              </w:rPr>
              <w:t xml:space="preserve">, </w:t>
            </w:r>
            <w:r w:rsidRPr="00CA3B87">
              <w:rPr>
                <w:lang w:val="en-GB"/>
              </w:rPr>
              <w:t xml:space="preserve">0 </w:t>
            </w:r>
            <w:r w:rsidRPr="00187684">
              <w:rPr>
                <w:lang w:val="en-GB"/>
              </w:rPr>
              <w:t>other)</w:t>
            </w:r>
            <w:r>
              <w:rPr>
                <w:lang w:val="en-GB"/>
              </w:rPr>
              <w:t>: Yes, definitely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-0.9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</w:t>
            </w:r>
            <w:r>
              <w:rPr>
                <w:i/>
                <w:lang w:val="en-GB"/>
              </w:rPr>
              <w:t>.9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-0.965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3.4e-01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(1=FU</w:t>
            </w:r>
            <w:r w:rsidRPr="00187684">
              <w:rPr>
                <w:lang w:val="en-GB"/>
              </w:rPr>
              <w:t xml:space="preserve">, </w:t>
            </w:r>
            <w:r w:rsidRPr="005C2B69">
              <w:rPr>
                <w:lang w:val="en-GB"/>
              </w:rPr>
              <w:t xml:space="preserve">0 </w:t>
            </w:r>
            <w:r w:rsidRPr="00187684">
              <w:rPr>
                <w:lang w:val="en-GB"/>
              </w:rPr>
              <w:t>other)</w:t>
            </w:r>
            <w:r>
              <w:rPr>
                <w:lang w:val="en-GB"/>
              </w:rPr>
              <w:t>: Yes, probably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-0.2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7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-0.244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8.1e-01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(1=FU</w:t>
            </w:r>
            <w:r w:rsidRPr="00187684">
              <w:rPr>
                <w:lang w:val="en-GB"/>
              </w:rPr>
              <w:t xml:space="preserve">, </w:t>
            </w:r>
            <w:r w:rsidRPr="005C2B69">
              <w:rPr>
                <w:lang w:val="en-GB"/>
              </w:rPr>
              <w:t xml:space="preserve">0 </w:t>
            </w:r>
            <w:r w:rsidRPr="00187684">
              <w:rPr>
                <w:lang w:val="en-GB"/>
              </w:rPr>
              <w:t>other)</w:t>
            </w:r>
            <w:r>
              <w:rPr>
                <w:lang w:val="en-GB"/>
              </w:rPr>
              <w:t>: Do not know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-0.0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7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-0.0570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9.6e-01</w:t>
            </w:r>
          </w:p>
        </w:tc>
      </w:tr>
      <w:tr w:rsidR="009A6138" w:rsidRPr="00187684" w:rsidTr="00044267">
        <w:tc>
          <w:tcPr>
            <w:tcW w:w="4282" w:type="dxa"/>
          </w:tcPr>
          <w:p w:rsidR="009A6138" w:rsidRPr="00187684" w:rsidRDefault="009A6138" w:rsidP="00044267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Value profile (1=FU</w:t>
            </w:r>
            <w:r w:rsidRPr="00187684">
              <w:rPr>
                <w:lang w:val="en-GB"/>
              </w:rPr>
              <w:t xml:space="preserve">, </w:t>
            </w:r>
            <w:r w:rsidRPr="005C2B69">
              <w:rPr>
                <w:lang w:val="en-GB"/>
              </w:rPr>
              <w:t xml:space="preserve">0 </w:t>
            </w:r>
            <w:r w:rsidRPr="00187684">
              <w:rPr>
                <w:lang w:val="en-GB"/>
              </w:rPr>
              <w:t>other)</w:t>
            </w:r>
            <w:r>
              <w:rPr>
                <w:lang w:val="en-GB"/>
              </w:rPr>
              <w:t>: Probably not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-1.4</w:t>
            </w:r>
          </w:p>
        </w:tc>
        <w:tc>
          <w:tcPr>
            <w:tcW w:w="117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175657">
              <w:rPr>
                <w:i/>
                <w:lang w:val="en-GB"/>
              </w:rPr>
              <w:t>0.</w:t>
            </w:r>
            <w:r>
              <w:rPr>
                <w:i/>
                <w:lang w:val="en-GB"/>
              </w:rPr>
              <w:t>7</w:t>
            </w:r>
          </w:p>
        </w:tc>
        <w:tc>
          <w:tcPr>
            <w:tcW w:w="1296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-1.87</w:t>
            </w:r>
          </w:p>
        </w:tc>
        <w:tc>
          <w:tcPr>
            <w:tcW w:w="1272" w:type="dxa"/>
          </w:tcPr>
          <w:p w:rsidR="009A6138" w:rsidRPr="00175657" w:rsidRDefault="009A6138" w:rsidP="00044267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6.1e-02</w:t>
            </w:r>
          </w:p>
        </w:tc>
      </w:tr>
    </w:tbl>
    <w:p w:rsidR="009A6138" w:rsidRDefault="009A6138" w:rsidP="009A6138">
      <w:pPr>
        <w:autoSpaceDE w:val="0"/>
        <w:autoSpaceDN w:val="0"/>
        <w:adjustRightInd w:val="0"/>
        <w:jc w:val="both"/>
        <w:rPr>
          <w:lang w:val="en-GB"/>
        </w:rPr>
      </w:pPr>
      <w:proofErr w:type="spellStart"/>
      <w:proofErr w:type="gramStart"/>
      <w:r w:rsidRPr="00EE0080">
        <w:rPr>
          <w:lang w:val="en-GB"/>
        </w:rPr>
        <w:t>S.b</w:t>
      </w:r>
      <w:proofErr w:type="spellEnd"/>
      <w:r w:rsidRPr="00EE0080">
        <w:rPr>
          <w:lang w:val="en-GB"/>
        </w:rPr>
        <w:t>. exp. climate change</w:t>
      </w:r>
      <w:r>
        <w:rPr>
          <w:lang w:val="en-GB"/>
        </w:rPr>
        <w:t xml:space="preserve"> -</w:t>
      </w:r>
      <w:r w:rsidRPr="00EE0080">
        <w:rPr>
          <w:lang w:val="en-GB"/>
        </w:rPr>
        <w:t xml:space="preserve"> Strength of belief in having experienced clim</w:t>
      </w:r>
      <w:r>
        <w:rPr>
          <w:lang w:val="en-GB"/>
        </w:rPr>
        <w:t>ate change; FU – Forest user value profile</w:t>
      </w:r>
      <w:r w:rsidRPr="00EE0080">
        <w:rPr>
          <w:lang w:val="en-GB"/>
        </w:rPr>
        <w:t>.</w:t>
      </w:r>
      <w:proofErr w:type="gramEnd"/>
      <w:r w:rsidRPr="00EE0080">
        <w:rPr>
          <w:lang w:val="en-GB"/>
        </w:rPr>
        <w:t xml:space="preserve"> </w:t>
      </w:r>
      <w:r>
        <w:rPr>
          <w:lang w:val="en-GB"/>
        </w:rPr>
        <w:t xml:space="preserve">The value profile Forest </w:t>
      </w:r>
      <w:proofErr w:type="spellStart"/>
      <w:r>
        <w:rPr>
          <w:lang w:val="en-GB"/>
        </w:rPr>
        <w:t>rejoicers</w:t>
      </w:r>
      <w:proofErr w:type="spellEnd"/>
      <w:r>
        <w:rPr>
          <w:lang w:val="en-GB"/>
        </w:rPr>
        <w:t xml:space="preserve"> was combined with Sustainable forest users and Economic </w:t>
      </w:r>
      <w:proofErr w:type="spellStart"/>
      <w:r>
        <w:rPr>
          <w:lang w:val="en-GB"/>
        </w:rPr>
        <w:t>maximizers</w:t>
      </w:r>
      <w:proofErr w:type="spellEnd"/>
      <w:r>
        <w:rPr>
          <w:lang w:val="en-GB"/>
        </w:rPr>
        <w:t xml:space="preserve"> with Conservationists</w:t>
      </w:r>
      <w:r w:rsidRPr="00FA246E">
        <w:rPr>
          <w:lang w:val="en-GB"/>
        </w:rPr>
        <w:t xml:space="preserve"> during model fitting</w:t>
      </w:r>
      <w:r>
        <w:rPr>
          <w:lang w:val="en-GB"/>
        </w:rPr>
        <w:t xml:space="preserve"> because of quasi-complete separation (S4 Fig). </w:t>
      </w:r>
      <w:r w:rsidRPr="00EE0080">
        <w:rPr>
          <w:lang w:val="en-GB"/>
        </w:rPr>
        <w:t>The model</w:t>
      </w:r>
      <w:r>
        <w:rPr>
          <w:lang w:val="en-GB"/>
        </w:rPr>
        <w:t xml:space="preserve"> was</w:t>
      </w:r>
      <w:r w:rsidRPr="00EE0080">
        <w:rPr>
          <w:lang w:val="en-GB"/>
        </w:rPr>
        <w:t xml:space="preserve"> fitted to five imputed datasets using </w:t>
      </w:r>
      <w:r>
        <w:rPr>
          <w:lang w:val="en-GB"/>
        </w:rPr>
        <w:t xml:space="preserve">multinomial </w:t>
      </w:r>
      <w:r w:rsidRPr="00EE0080">
        <w:rPr>
          <w:lang w:val="en-GB"/>
        </w:rPr>
        <w:t xml:space="preserve">logistic regression. </w:t>
      </w:r>
      <w:r>
        <w:rPr>
          <w:lang w:val="en-GB"/>
        </w:rPr>
        <w:t>The mean null deviance=965.6</w:t>
      </w:r>
      <w:r w:rsidRPr="00EE0080">
        <w:rPr>
          <w:lang w:val="en-GB"/>
        </w:rPr>
        <w:t>, the degrees o</w:t>
      </w:r>
      <w:r>
        <w:rPr>
          <w:lang w:val="en-GB"/>
        </w:rPr>
        <w:t>f freedom for the null model=1400, the mean residual deviance=954.3</w:t>
      </w:r>
      <w:r w:rsidRPr="00EE0080">
        <w:rPr>
          <w:lang w:val="en-GB"/>
        </w:rPr>
        <w:t xml:space="preserve">, and the </w:t>
      </w:r>
      <w:r>
        <w:rPr>
          <w:lang w:val="en-GB"/>
        </w:rPr>
        <w:t>residual degrees of freedom= 1396</w:t>
      </w:r>
      <w:r w:rsidRPr="00EE0080">
        <w:rPr>
          <w:lang w:val="en-GB"/>
        </w:rPr>
        <w:t>. The model fit</w:t>
      </w:r>
      <w:r>
        <w:rPr>
          <w:lang w:val="en-GB"/>
        </w:rPr>
        <w:t>s</w:t>
      </w:r>
      <w:r w:rsidRPr="00EE0080">
        <w:rPr>
          <w:lang w:val="en-GB"/>
        </w:rPr>
        <w:t xml:space="preserve"> the data significantly bett</w:t>
      </w:r>
      <w:r>
        <w:rPr>
          <w:lang w:val="en-GB"/>
        </w:rPr>
        <w:t>er than the null model (p=</w:t>
      </w:r>
      <w:r w:rsidRPr="00D00437">
        <w:t xml:space="preserve"> </w:t>
      </w:r>
      <w:r>
        <w:rPr>
          <w:lang w:val="en-GB"/>
        </w:rPr>
        <w:t>0.024</w:t>
      </w:r>
      <w:r w:rsidRPr="00EE0080">
        <w:rPr>
          <w:lang w:val="en-GB"/>
        </w:rPr>
        <w:t>).</w:t>
      </w:r>
      <w:r>
        <w:rPr>
          <w:lang w:val="en-GB"/>
        </w:rPr>
        <w:t xml:space="preserve"> </w:t>
      </w:r>
    </w:p>
    <w:p w:rsidR="00323CE7" w:rsidRPr="009A6138" w:rsidRDefault="00323CE7">
      <w:pPr>
        <w:rPr>
          <w:lang w:val="en-GB"/>
        </w:rPr>
      </w:pPr>
      <w:bookmarkStart w:id="0" w:name="_GoBack"/>
      <w:bookmarkEnd w:id="0"/>
    </w:p>
    <w:sectPr w:rsidR="00323CE7" w:rsidRPr="009A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38"/>
    <w:rsid w:val="00323CE7"/>
    <w:rsid w:val="009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A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Blennow</dc:creator>
  <cp:lastModifiedBy>Kristina Blennow</cp:lastModifiedBy>
  <cp:revision>1</cp:revision>
  <dcterms:created xsi:type="dcterms:W3CDTF">2016-04-27T20:06:00Z</dcterms:created>
  <dcterms:modified xsi:type="dcterms:W3CDTF">2016-04-27T20:06:00Z</dcterms:modified>
</cp:coreProperties>
</file>