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7F" w:rsidRDefault="00C8537F" w:rsidP="00C8537F">
      <w:pPr>
        <w:pStyle w:val="Heading2"/>
      </w:pPr>
      <w:bookmarkStart w:id="0" w:name="_Ref424805603"/>
      <w:bookmarkStart w:id="1" w:name="_GoBack"/>
      <w:bookmarkEnd w:id="1"/>
      <w:r>
        <w:t>S</w:t>
      </w:r>
      <w:r>
        <w:fldChar w:fldCharType="begin"/>
      </w:r>
      <w:r>
        <w:instrText xml:space="preserve"> SEQ Appendix \* ARABIC </w:instrText>
      </w:r>
      <w:r>
        <w:fldChar w:fldCharType="separate"/>
      </w:r>
      <w:r w:rsidRPr="0089582E">
        <w:t>1</w:t>
      </w:r>
      <w:r>
        <w:fldChar w:fldCharType="end"/>
      </w:r>
      <w:bookmarkEnd w:id="0"/>
      <w:r w:rsidRPr="0089582E">
        <w:t xml:space="preserve"> </w:t>
      </w:r>
      <w:r w:rsidR="004E7B3B">
        <w:t xml:space="preserve">Text. </w:t>
      </w:r>
      <w:r>
        <w:t xml:space="preserve">Additional </w:t>
      </w:r>
      <w:r w:rsidR="00C84256">
        <w:t>m</w:t>
      </w:r>
      <w:r>
        <w:t>ethods for heat transfer calculation</w:t>
      </w:r>
    </w:p>
    <w:p w:rsidR="00C8537F" w:rsidRPr="0089582E" w:rsidRDefault="00C8537F" w:rsidP="00C8537F">
      <w:pPr>
        <w:spacing w:line="480" w:lineRule="auto"/>
        <w:rPr>
          <w:rFonts w:ascii="Arial" w:hAnsi="Arial" w:cs="Arial"/>
          <w:spacing w:val="-3"/>
          <w:sz w:val="20"/>
          <w:szCs w:val="20"/>
        </w:rPr>
      </w:pPr>
      <w:r w:rsidRPr="0089582E">
        <w:rPr>
          <w:rFonts w:ascii="Arial" w:hAnsi="Arial" w:cs="Arial"/>
          <w:spacing w:val="-3"/>
          <w:sz w:val="20"/>
          <w:szCs w:val="20"/>
        </w:rPr>
        <w:t>In controlled conditions radiative heat transfer takes place from the bird to the environment and from the wall of the chamber to the environment. Radiative heat exchange can be ca</w:t>
      </w:r>
      <w:r w:rsidR="00C84256">
        <w:rPr>
          <w:rFonts w:ascii="Arial" w:hAnsi="Arial" w:cs="Arial"/>
          <w:spacing w:val="-3"/>
          <w:sz w:val="20"/>
          <w:szCs w:val="20"/>
        </w:rPr>
        <w:t>lculated for each of the body part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s of the bird with the following formula: </w:t>
      </w:r>
    </w:p>
    <w:p w:rsidR="00C8537F" w:rsidRPr="0089582E" w:rsidRDefault="00C8537F" w:rsidP="00C8537F">
      <w:pPr>
        <w:spacing w:line="480" w:lineRule="auto"/>
        <w:rPr>
          <w:rFonts w:ascii="Arial" w:hAnsi="Arial" w:cs="Arial"/>
          <w:spacing w:val="-3"/>
          <w:sz w:val="20"/>
          <w:szCs w:val="20"/>
        </w:rPr>
      </w:pPr>
      <w:r w:rsidRPr="0089582E">
        <w:rPr>
          <w:rFonts w:ascii="Arial" w:hAnsi="Arial" w:cs="Arial"/>
          <w:noProof/>
          <w:spacing w:val="-3"/>
          <w:position w:val="-12"/>
          <w:sz w:val="20"/>
          <w:szCs w:val="20"/>
          <w:lang w:val="en-US"/>
        </w:rPr>
        <w:drawing>
          <wp:inline distT="0" distB="0" distL="0" distR="0" wp14:anchorId="037B86AE" wp14:editId="34EA6B9F">
            <wp:extent cx="16287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7F" w:rsidRPr="0089582E" w:rsidRDefault="00C8537F" w:rsidP="00C8537F">
      <w:pPr>
        <w:spacing w:line="480" w:lineRule="auto"/>
        <w:rPr>
          <w:rFonts w:ascii="Arial" w:hAnsi="Arial" w:cs="Arial"/>
          <w:sz w:val="20"/>
          <w:szCs w:val="20"/>
        </w:rPr>
      </w:pPr>
      <w:r w:rsidRPr="0089582E">
        <w:rPr>
          <w:rFonts w:ascii="Arial" w:hAnsi="Arial" w:cs="Arial"/>
          <w:spacing w:val="-3"/>
          <w:sz w:val="20"/>
          <w:szCs w:val="20"/>
        </w:rPr>
        <w:t xml:space="preserve">Where </w:t>
      </w:r>
      <w:r w:rsidRPr="0089582E">
        <w:rPr>
          <w:rFonts w:ascii="Arial" w:hAnsi="Arial" w:cs="Arial"/>
          <w:i/>
          <w:spacing w:val="-3"/>
          <w:sz w:val="20"/>
          <w:szCs w:val="20"/>
        </w:rPr>
        <w:t>A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 (m</w:t>
      </w:r>
      <w:r w:rsidRPr="0089582E">
        <w:rPr>
          <w:rFonts w:ascii="Arial" w:hAnsi="Arial" w:cs="Arial"/>
          <w:spacing w:val="-3"/>
          <w:sz w:val="20"/>
          <w:szCs w:val="20"/>
          <w:vertAlign w:val="superscript"/>
        </w:rPr>
        <w:t>-2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) represents the surface area of each body </w:t>
      </w:r>
      <w:r w:rsidR="00C84256">
        <w:rPr>
          <w:rFonts w:ascii="Arial" w:hAnsi="Arial" w:cs="Arial"/>
          <w:spacing w:val="-3"/>
          <w:sz w:val="20"/>
          <w:szCs w:val="20"/>
        </w:rPr>
        <w:t>part</w:t>
      </w:r>
      <w:r w:rsidRPr="0089582E">
        <w:rPr>
          <w:rFonts w:ascii="Arial" w:hAnsi="Arial" w:cs="Arial"/>
          <w:spacing w:val="-3"/>
          <w:sz w:val="20"/>
          <w:szCs w:val="20"/>
        </w:rPr>
        <w:t>, σ is the Stefan-Boltzmann constant (5.67 x10</w:t>
      </w:r>
      <w:r w:rsidRPr="0089582E">
        <w:rPr>
          <w:rFonts w:ascii="Arial" w:hAnsi="Arial" w:cs="Arial"/>
          <w:spacing w:val="-3"/>
          <w:sz w:val="20"/>
          <w:szCs w:val="20"/>
          <w:vertAlign w:val="superscript"/>
        </w:rPr>
        <w:t>-8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 Wm</w:t>
      </w:r>
      <w:r w:rsidRPr="0089582E">
        <w:rPr>
          <w:rFonts w:ascii="Arial" w:hAnsi="Arial" w:cs="Arial"/>
          <w:spacing w:val="-3"/>
          <w:sz w:val="20"/>
          <w:szCs w:val="20"/>
          <w:vertAlign w:val="superscript"/>
        </w:rPr>
        <w:t>-2</w:t>
      </w:r>
      <w:r w:rsidRPr="0089582E">
        <w:rPr>
          <w:rFonts w:ascii="Arial" w:hAnsi="Arial" w:cs="Arial"/>
          <w:spacing w:val="-3"/>
          <w:sz w:val="20"/>
          <w:szCs w:val="20"/>
        </w:rPr>
        <w:t>K</w:t>
      </w:r>
      <w:r w:rsidRPr="0089582E">
        <w:rPr>
          <w:rFonts w:ascii="Arial" w:hAnsi="Arial" w:cs="Arial"/>
          <w:spacing w:val="-3"/>
          <w:sz w:val="20"/>
          <w:szCs w:val="20"/>
          <w:vertAlign w:val="superscript"/>
        </w:rPr>
        <w:t>-1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), </w:t>
      </w:r>
      <w:proofErr w:type="spellStart"/>
      <w:r w:rsidRPr="0089582E">
        <w:rPr>
          <w:rFonts w:ascii="Arial" w:hAnsi="Arial" w:cs="Arial"/>
          <w:spacing w:val="-3"/>
          <w:sz w:val="20"/>
          <w:szCs w:val="20"/>
        </w:rPr>
        <w:t>ɛ</w:t>
      </w:r>
      <w:r w:rsidRPr="0089582E">
        <w:rPr>
          <w:rFonts w:ascii="Arial" w:hAnsi="Arial" w:cs="Arial"/>
          <w:spacing w:val="-3"/>
          <w:sz w:val="20"/>
          <w:szCs w:val="20"/>
          <w:vertAlign w:val="subscript"/>
        </w:rPr>
        <w:t>a</w:t>
      </w:r>
      <w:proofErr w:type="spellEnd"/>
      <w:r w:rsidRPr="0089582E">
        <w:rPr>
          <w:rFonts w:ascii="Arial" w:hAnsi="Arial" w:cs="Arial"/>
          <w:spacing w:val="-3"/>
          <w:sz w:val="20"/>
          <w:szCs w:val="20"/>
        </w:rPr>
        <w:t xml:space="preserve"> is the emissivity of bird plumage (0.95) and </w:t>
      </w:r>
      <w:proofErr w:type="spellStart"/>
      <w:r w:rsidRPr="0089582E">
        <w:rPr>
          <w:rFonts w:ascii="Arial" w:hAnsi="Arial" w:cs="Arial"/>
          <w:spacing w:val="-3"/>
          <w:sz w:val="20"/>
          <w:szCs w:val="20"/>
        </w:rPr>
        <w:t>ɛ</w:t>
      </w:r>
      <w:r w:rsidRPr="0089582E">
        <w:rPr>
          <w:rFonts w:ascii="Arial" w:hAnsi="Arial" w:cs="Arial"/>
          <w:spacing w:val="-3"/>
          <w:sz w:val="20"/>
          <w:szCs w:val="20"/>
          <w:vertAlign w:val="subscript"/>
        </w:rPr>
        <w:t>w</w:t>
      </w:r>
      <w:proofErr w:type="spellEnd"/>
      <w:r w:rsidRPr="0089582E">
        <w:rPr>
          <w:rFonts w:ascii="Arial" w:hAnsi="Arial" w:cs="Arial"/>
          <w:spacing w:val="-3"/>
          <w:sz w:val="20"/>
          <w:szCs w:val="20"/>
        </w:rPr>
        <w:t xml:space="preserve"> is the emissivity of the white plastic walls of the bird chamber (0.84). </w:t>
      </w:r>
      <w:proofErr w:type="spellStart"/>
      <w:r w:rsidRPr="0089582E">
        <w:rPr>
          <w:rFonts w:ascii="Arial" w:hAnsi="Arial" w:cs="Arial"/>
          <w:spacing w:val="-3"/>
          <w:sz w:val="20"/>
          <w:szCs w:val="20"/>
        </w:rPr>
        <w:t>T</w:t>
      </w:r>
      <w:r w:rsidRPr="0089582E">
        <w:rPr>
          <w:rFonts w:ascii="Arial" w:hAnsi="Arial" w:cs="Arial"/>
          <w:spacing w:val="-3"/>
          <w:sz w:val="20"/>
          <w:szCs w:val="20"/>
          <w:vertAlign w:val="subscript"/>
        </w:rPr>
        <w:t>s</w:t>
      </w:r>
      <w:proofErr w:type="spellEnd"/>
      <w:r w:rsidRPr="0089582E">
        <w:rPr>
          <w:rFonts w:ascii="Arial" w:hAnsi="Arial" w:cs="Arial"/>
          <w:spacing w:val="-3"/>
          <w:sz w:val="20"/>
          <w:szCs w:val="20"/>
        </w:rPr>
        <w:t xml:space="preserve"> and T</w:t>
      </w:r>
      <w:r w:rsidRPr="0089582E">
        <w:rPr>
          <w:rFonts w:ascii="Arial" w:hAnsi="Arial" w:cs="Arial"/>
          <w:spacing w:val="-3"/>
          <w:sz w:val="20"/>
          <w:szCs w:val="20"/>
          <w:vertAlign w:val="subscript"/>
        </w:rPr>
        <w:t>w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 are the radiative surface temperature of the surface of the body part and the surface of the wall (°K). A small fan in the chamber provided the bird with fresh air and prevented a decrease in oxygen levels</w:t>
      </w:r>
      <w:r w:rsidR="00C84256">
        <w:rPr>
          <w:rFonts w:ascii="Arial" w:hAnsi="Arial" w:cs="Arial"/>
          <w:spacing w:val="-3"/>
          <w:sz w:val="20"/>
          <w:szCs w:val="20"/>
        </w:rPr>
        <w:t xml:space="preserve"> and a</w:t>
      </w:r>
      <w:r w:rsidR="00C84256" w:rsidRPr="0089582E">
        <w:rPr>
          <w:rFonts w:ascii="Arial" w:hAnsi="Arial" w:cs="Arial"/>
          <w:spacing w:val="-3"/>
          <w:sz w:val="20"/>
          <w:szCs w:val="20"/>
        </w:rPr>
        <w:t>n anemometer recorded air flow in th</w:t>
      </w:r>
      <w:r w:rsidR="00C84256">
        <w:rPr>
          <w:rFonts w:ascii="Arial" w:hAnsi="Arial" w:cs="Arial"/>
          <w:spacing w:val="-3"/>
          <w:sz w:val="20"/>
          <w:szCs w:val="20"/>
        </w:rPr>
        <w:t>e chamber during the experiment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. The movement of air caused by the fan </w:t>
      </w:r>
      <w:r w:rsidR="00E15685">
        <w:rPr>
          <w:rFonts w:ascii="Arial" w:hAnsi="Arial" w:cs="Arial"/>
          <w:spacing w:val="-3"/>
          <w:sz w:val="20"/>
          <w:szCs w:val="20"/>
        </w:rPr>
        <w:t>did not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 create a measurable air flow and therefore convective heat transfer occurred via free convection and was calculated as:</w:t>
      </w:r>
    </w:p>
    <w:p w:rsidR="00C8537F" w:rsidRPr="0089582E" w:rsidRDefault="00C8537F" w:rsidP="00C8537F">
      <w:pPr>
        <w:spacing w:line="480" w:lineRule="auto"/>
        <w:rPr>
          <w:rFonts w:ascii="Arial" w:hAnsi="Arial" w:cs="Arial"/>
          <w:sz w:val="20"/>
          <w:szCs w:val="20"/>
        </w:rPr>
      </w:pPr>
      <w:r w:rsidRPr="0089582E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02F8543" wp14:editId="5A180E4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69365" cy="228600"/>
            <wp:effectExtent l="0" t="0" r="6985" b="0"/>
            <wp:wrapSquare wrapText="right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82E">
        <w:rPr>
          <w:rFonts w:ascii="Arial" w:hAnsi="Arial" w:cs="Arial"/>
          <w:sz w:val="20"/>
          <w:szCs w:val="20"/>
        </w:rPr>
        <w:br w:type="textWrapping" w:clear="all"/>
      </w:r>
    </w:p>
    <w:p w:rsidR="00C8537F" w:rsidRPr="0089582E" w:rsidRDefault="00C8537F" w:rsidP="00C8537F">
      <w:pPr>
        <w:spacing w:line="480" w:lineRule="auto"/>
        <w:rPr>
          <w:rFonts w:ascii="Arial" w:hAnsi="Arial" w:cs="Arial"/>
          <w:sz w:val="20"/>
          <w:szCs w:val="20"/>
        </w:rPr>
      </w:pPr>
      <w:r w:rsidRPr="0089582E">
        <w:rPr>
          <w:rFonts w:ascii="Arial" w:hAnsi="Arial" w:cs="Arial"/>
          <w:sz w:val="20"/>
          <w:szCs w:val="20"/>
        </w:rPr>
        <w:t xml:space="preserve">Whereby </w:t>
      </w:r>
      <w:r w:rsidRPr="0089582E">
        <w:rPr>
          <w:rFonts w:ascii="Arial" w:hAnsi="Arial" w:cs="Arial"/>
          <w:i/>
          <w:spacing w:val="-3"/>
          <w:sz w:val="20"/>
          <w:szCs w:val="20"/>
        </w:rPr>
        <w:t>A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 (m</w:t>
      </w:r>
      <w:r w:rsidRPr="0089582E">
        <w:rPr>
          <w:rFonts w:ascii="Arial" w:hAnsi="Arial" w:cs="Arial"/>
          <w:spacing w:val="-3"/>
          <w:sz w:val="20"/>
          <w:szCs w:val="20"/>
          <w:vertAlign w:val="superscript"/>
        </w:rPr>
        <w:t>2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) represents the surface area of each body part, </w:t>
      </w:r>
      <w:proofErr w:type="spellStart"/>
      <w:r w:rsidRPr="0089582E">
        <w:rPr>
          <w:rFonts w:ascii="Arial" w:hAnsi="Arial" w:cs="Arial"/>
          <w:spacing w:val="-3"/>
          <w:sz w:val="20"/>
          <w:szCs w:val="20"/>
        </w:rPr>
        <w:t>T</w:t>
      </w:r>
      <w:r w:rsidRPr="0089582E">
        <w:rPr>
          <w:rFonts w:ascii="Arial" w:hAnsi="Arial" w:cs="Arial"/>
          <w:spacing w:val="-3"/>
          <w:sz w:val="20"/>
          <w:szCs w:val="20"/>
          <w:vertAlign w:val="subscript"/>
        </w:rPr>
        <w:t>s</w:t>
      </w:r>
      <w:proofErr w:type="spellEnd"/>
      <w:r w:rsidRPr="0089582E">
        <w:rPr>
          <w:rFonts w:ascii="Arial" w:hAnsi="Arial" w:cs="Arial"/>
          <w:spacing w:val="-3"/>
          <w:sz w:val="20"/>
          <w:szCs w:val="20"/>
        </w:rPr>
        <w:t xml:space="preserve"> is the surface temperature of the body part (°K) and T</w:t>
      </w:r>
      <w:r w:rsidRPr="0089582E">
        <w:rPr>
          <w:rFonts w:ascii="Arial" w:hAnsi="Arial" w:cs="Arial"/>
          <w:spacing w:val="-3"/>
          <w:sz w:val="20"/>
          <w:szCs w:val="20"/>
          <w:vertAlign w:val="subscript"/>
        </w:rPr>
        <w:t>a</w:t>
      </w:r>
      <w:r w:rsidRPr="0089582E">
        <w:rPr>
          <w:rFonts w:ascii="Arial" w:hAnsi="Arial" w:cs="Arial"/>
          <w:spacing w:val="-3"/>
          <w:sz w:val="20"/>
          <w:szCs w:val="20"/>
        </w:rPr>
        <w:t xml:space="preserve"> is the air temperature (°K). </w:t>
      </w:r>
      <w:proofErr w:type="spellStart"/>
      <w:r w:rsidRPr="0089582E">
        <w:rPr>
          <w:rFonts w:ascii="Arial" w:hAnsi="Arial" w:cs="Arial"/>
          <w:sz w:val="20"/>
          <w:szCs w:val="20"/>
        </w:rPr>
        <w:t>h</w:t>
      </w:r>
      <w:r w:rsidRPr="0089582E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89582E">
        <w:rPr>
          <w:rFonts w:ascii="Arial" w:hAnsi="Arial" w:cs="Arial"/>
          <w:sz w:val="20"/>
          <w:szCs w:val="20"/>
        </w:rPr>
        <w:t xml:space="preserve"> is the convective heat transfer coefficient and can be calculated as follows:</w:t>
      </w:r>
    </w:p>
    <w:p w:rsidR="00C8537F" w:rsidRPr="0089582E" w:rsidRDefault="00C8537F" w:rsidP="00C8537F">
      <w:pPr>
        <w:spacing w:line="480" w:lineRule="auto"/>
        <w:rPr>
          <w:rFonts w:ascii="Arial" w:hAnsi="Arial" w:cs="Arial"/>
          <w:sz w:val="20"/>
          <w:szCs w:val="20"/>
        </w:rPr>
      </w:pPr>
      <w:r w:rsidRPr="0089582E">
        <w:rPr>
          <w:rFonts w:ascii="Arial" w:hAnsi="Arial" w:cs="Arial"/>
          <w:noProof/>
          <w:position w:val="-24"/>
          <w:sz w:val="20"/>
          <w:szCs w:val="20"/>
          <w:lang w:val="en-US"/>
        </w:rPr>
        <w:drawing>
          <wp:inline distT="0" distB="0" distL="0" distR="0" wp14:anchorId="67E91A80" wp14:editId="74AA96BC">
            <wp:extent cx="6953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7F" w:rsidRPr="0089582E" w:rsidRDefault="00C8537F" w:rsidP="00C8537F">
      <w:pPr>
        <w:spacing w:line="480" w:lineRule="auto"/>
        <w:rPr>
          <w:rFonts w:ascii="Arial" w:hAnsi="Arial" w:cs="Arial"/>
          <w:sz w:val="20"/>
          <w:szCs w:val="20"/>
        </w:rPr>
      </w:pPr>
      <w:r w:rsidRPr="0089582E">
        <w:rPr>
          <w:rFonts w:ascii="Arial" w:hAnsi="Arial" w:cs="Arial"/>
          <w:sz w:val="20"/>
          <w:szCs w:val="20"/>
        </w:rPr>
        <w:t>k represents the thermal conductivity of air, determined</w:t>
      </w:r>
      <w:r w:rsidR="00E15685">
        <w:rPr>
          <w:rFonts w:ascii="Arial" w:hAnsi="Arial" w:cs="Arial"/>
          <w:sz w:val="20"/>
          <w:szCs w:val="20"/>
        </w:rPr>
        <w:t xml:space="preserve"> at</w:t>
      </w:r>
      <w:r w:rsidRPr="0089582E">
        <w:rPr>
          <w:rFonts w:ascii="Arial" w:hAnsi="Arial" w:cs="Arial"/>
          <w:sz w:val="20"/>
          <w:szCs w:val="20"/>
        </w:rPr>
        <w:t xml:space="preserve"> each T</w:t>
      </w:r>
      <w:r w:rsidRPr="0089582E">
        <w:rPr>
          <w:rFonts w:ascii="Arial" w:hAnsi="Arial" w:cs="Arial"/>
          <w:sz w:val="20"/>
          <w:szCs w:val="20"/>
          <w:vertAlign w:val="subscript"/>
        </w:rPr>
        <w:t>a</w:t>
      </w:r>
      <w:r w:rsidRPr="0089582E">
        <w:rPr>
          <w:rFonts w:ascii="Arial" w:hAnsi="Arial" w:cs="Arial"/>
          <w:sz w:val="20"/>
          <w:szCs w:val="20"/>
        </w:rPr>
        <w:t xml:space="preserve"> (W m</w:t>
      </w:r>
      <w:r w:rsidRPr="0089582E">
        <w:rPr>
          <w:rFonts w:ascii="Arial" w:hAnsi="Arial" w:cs="Arial"/>
          <w:sz w:val="20"/>
          <w:szCs w:val="20"/>
          <w:vertAlign w:val="superscript"/>
        </w:rPr>
        <w:t xml:space="preserve">-2 </w:t>
      </w:r>
      <w:r w:rsidRPr="0089582E">
        <w:rPr>
          <w:rFonts w:ascii="Arial" w:hAnsi="Arial" w:cs="Arial"/>
          <w:sz w:val="20"/>
          <w:szCs w:val="20"/>
        </w:rPr>
        <w:t>°K</w:t>
      </w:r>
      <w:r w:rsidRPr="0089582E">
        <w:rPr>
          <w:rFonts w:ascii="Arial" w:hAnsi="Arial" w:cs="Arial"/>
          <w:sz w:val="20"/>
          <w:szCs w:val="20"/>
          <w:vertAlign w:val="superscript"/>
        </w:rPr>
        <w:t>-1</w:t>
      </w:r>
      <w:r w:rsidRPr="0089582E">
        <w:rPr>
          <w:rFonts w:ascii="Arial" w:hAnsi="Arial" w:cs="Arial"/>
          <w:sz w:val="20"/>
          <w:szCs w:val="20"/>
        </w:rPr>
        <w:t xml:space="preserve">), d (m) is the characteristic dimension of each body part and Nu is the dimensionless </w:t>
      </w:r>
      <w:proofErr w:type="spellStart"/>
      <w:r w:rsidRPr="0089582E">
        <w:rPr>
          <w:rFonts w:ascii="Arial" w:hAnsi="Arial" w:cs="Arial"/>
          <w:sz w:val="20"/>
          <w:szCs w:val="20"/>
        </w:rPr>
        <w:t>Nusselt</w:t>
      </w:r>
      <w:proofErr w:type="spellEnd"/>
      <w:r w:rsidRPr="0089582E">
        <w:rPr>
          <w:rFonts w:ascii="Arial" w:hAnsi="Arial" w:cs="Arial"/>
          <w:sz w:val="20"/>
          <w:szCs w:val="20"/>
        </w:rPr>
        <w:t xml:space="preserve"> number. The </w:t>
      </w:r>
      <w:proofErr w:type="spellStart"/>
      <w:r w:rsidRPr="0089582E">
        <w:rPr>
          <w:rFonts w:ascii="Arial" w:hAnsi="Arial" w:cs="Arial"/>
          <w:sz w:val="20"/>
          <w:szCs w:val="20"/>
        </w:rPr>
        <w:t>Nusselt</w:t>
      </w:r>
      <w:proofErr w:type="spellEnd"/>
      <w:r w:rsidRPr="0089582E">
        <w:rPr>
          <w:rFonts w:ascii="Arial" w:hAnsi="Arial" w:cs="Arial"/>
          <w:sz w:val="20"/>
          <w:szCs w:val="20"/>
        </w:rPr>
        <w:t xml:space="preserve"> number is a measure of the ratio of buoyant to viscous forces and is dependent on the shape of the characteristic body part </w:t>
      </w:r>
      <w:r w:rsidRPr="0089582E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EN.CITE &lt;EndNote&gt;&lt;Cite&gt;&lt;Author&gt;Monteith&lt;/Author&gt;&lt;Year&gt;2013&lt;/Year&gt;&lt;RecNum&gt;1836&lt;/RecNum&gt;&lt;DisplayText&gt;[1]&lt;/DisplayText&gt;&lt;record&gt;&lt;rec-number&gt;1836&lt;/rec-number&gt;&lt;foreign-keys&gt;&lt;key app="EN" db-id="2r5z9wr2qfvfezewwtsxeaxnv2552azfwz02" timestamp="1451201131"&gt;1836&lt;/key&gt;&lt;/foreign-keys&gt;&lt;ref-type name="Book"&gt;6&lt;/ref-type&gt;&lt;contributors&gt;&lt;authors&gt;&lt;author&gt;Monteith, J.&lt;/author&gt;&lt;author&gt;Unsworth, M. H.&lt;/author&gt;&lt;/authors&gt;&lt;/contributors&gt;&lt;titles&gt;&lt;title&gt;Principles of Environmental Physics: Plants, Animals, and the Atmosphere&lt;/title&gt;&lt;/titles&gt;&lt;edition&gt;&lt;style face="normal" font="default" size="100%"&gt;4&lt;/style&gt;&lt;style face="superscript" font="default" size="100%"&gt;th&lt;/style&gt;&lt;/edition&gt;&lt;dates&gt;&lt;year&gt;2013&lt;/year&gt;&lt;/dates&gt;&lt;pub-location&gt;Amsterdam&lt;/pub-location&gt;&lt;publisher&gt;Academic Press&lt;/publisher&gt;&lt;isbn&gt;0123869935&lt;/isbn&gt;&lt;urls&gt;&lt;/urls&gt;&lt;/record&gt;&lt;/Cite&gt;&lt;/EndNote&gt;</w:instrText>
      </w:r>
      <w:r w:rsidRPr="008958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[1]</w:t>
      </w:r>
      <w:r w:rsidRPr="0089582E">
        <w:rPr>
          <w:rFonts w:ascii="Arial" w:hAnsi="Arial" w:cs="Arial"/>
          <w:sz w:val="20"/>
          <w:szCs w:val="20"/>
        </w:rPr>
        <w:fldChar w:fldCharType="end"/>
      </w:r>
      <w:r w:rsidRPr="0089582E">
        <w:rPr>
          <w:rFonts w:ascii="Arial" w:hAnsi="Arial" w:cs="Arial"/>
          <w:sz w:val="20"/>
          <w:szCs w:val="20"/>
        </w:rPr>
        <w:t xml:space="preserve">. </w:t>
      </w:r>
      <w:r w:rsidR="00E15685">
        <w:rPr>
          <w:rFonts w:ascii="Arial" w:hAnsi="Arial" w:cs="Arial"/>
          <w:sz w:val="20"/>
          <w:szCs w:val="20"/>
        </w:rPr>
        <w:t>I</w:t>
      </w:r>
      <w:r w:rsidR="00E15685" w:rsidRPr="0089582E">
        <w:rPr>
          <w:rFonts w:ascii="Arial" w:hAnsi="Arial" w:cs="Arial"/>
          <w:sz w:val="20"/>
          <w:szCs w:val="20"/>
        </w:rPr>
        <w:t>n order to measure the conductive heat loss</w:t>
      </w:r>
      <w:r w:rsidR="00E15685">
        <w:rPr>
          <w:rFonts w:ascii="Arial" w:hAnsi="Arial" w:cs="Arial"/>
          <w:sz w:val="20"/>
          <w:szCs w:val="20"/>
        </w:rPr>
        <w:t>,</w:t>
      </w:r>
      <w:r w:rsidR="00E15685" w:rsidRPr="0089582E">
        <w:rPr>
          <w:rFonts w:ascii="Arial" w:hAnsi="Arial" w:cs="Arial"/>
          <w:sz w:val="20"/>
          <w:szCs w:val="20"/>
        </w:rPr>
        <w:t xml:space="preserve"> </w:t>
      </w:r>
      <w:r w:rsidR="00E15685">
        <w:rPr>
          <w:rFonts w:ascii="Arial" w:hAnsi="Arial" w:cs="Arial"/>
          <w:sz w:val="20"/>
          <w:szCs w:val="20"/>
        </w:rPr>
        <w:t>t</w:t>
      </w:r>
      <w:r w:rsidR="00E15685" w:rsidRPr="0089582E">
        <w:rPr>
          <w:rFonts w:ascii="Arial" w:hAnsi="Arial" w:cs="Arial"/>
          <w:sz w:val="20"/>
          <w:szCs w:val="20"/>
        </w:rPr>
        <w:t xml:space="preserve">he temperature difference between the </w:t>
      </w:r>
      <w:r w:rsidR="00E15685">
        <w:rPr>
          <w:rFonts w:ascii="Arial" w:hAnsi="Arial" w:cs="Arial"/>
          <w:sz w:val="20"/>
          <w:szCs w:val="20"/>
        </w:rPr>
        <w:t xml:space="preserve">bird </w:t>
      </w:r>
      <w:r w:rsidR="00E15685" w:rsidRPr="0089582E">
        <w:rPr>
          <w:rFonts w:ascii="Arial" w:hAnsi="Arial" w:cs="Arial"/>
          <w:sz w:val="20"/>
          <w:szCs w:val="20"/>
        </w:rPr>
        <w:t xml:space="preserve">and </w:t>
      </w:r>
      <w:r w:rsidR="00E15685">
        <w:rPr>
          <w:rFonts w:ascii="Arial" w:hAnsi="Arial" w:cs="Arial"/>
          <w:sz w:val="20"/>
          <w:szCs w:val="20"/>
        </w:rPr>
        <w:t>any object it touches n</w:t>
      </w:r>
      <w:r w:rsidR="00E15685" w:rsidRPr="0089582E">
        <w:rPr>
          <w:rFonts w:ascii="Arial" w:hAnsi="Arial" w:cs="Arial"/>
          <w:sz w:val="20"/>
          <w:szCs w:val="20"/>
        </w:rPr>
        <w:t>eeds to be taken into account</w:t>
      </w:r>
      <w:r w:rsidR="00E15685">
        <w:rPr>
          <w:rFonts w:ascii="Arial" w:hAnsi="Arial" w:cs="Arial"/>
          <w:sz w:val="20"/>
          <w:szCs w:val="20"/>
        </w:rPr>
        <w:t>.</w:t>
      </w:r>
      <w:r w:rsidR="00E15685" w:rsidRPr="0089582E">
        <w:rPr>
          <w:rFonts w:ascii="Arial" w:hAnsi="Arial" w:cs="Arial"/>
          <w:sz w:val="20"/>
          <w:szCs w:val="20"/>
        </w:rPr>
        <w:t xml:space="preserve"> </w:t>
      </w:r>
      <w:r w:rsidRPr="0089582E">
        <w:rPr>
          <w:rFonts w:ascii="Arial" w:hAnsi="Arial" w:cs="Arial"/>
          <w:sz w:val="20"/>
          <w:szCs w:val="20"/>
        </w:rPr>
        <w:t xml:space="preserve">During this experiment the bird body only came into contact with the perch </w:t>
      </w:r>
      <w:r w:rsidR="00E15685">
        <w:rPr>
          <w:rFonts w:ascii="Arial" w:hAnsi="Arial" w:cs="Arial"/>
          <w:sz w:val="20"/>
          <w:szCs w:val="20"/>
        </w:rPr>
        <w:t>via the feet</w:t>
      </w:r>
      <w:r w:rsidRPr="0089582E">
        <w:rPr>
          <w:rFonts w:ascii="Arial" w:hAnsi="Arial" w:cs="Arial"/>
          <w:sz w:val="20"/>
          <w:szCs w:val="20"/>
        </w:rPr>
        <w:t xml:space="preserve">. We ignored conductive heat loss, because of the low conductivity of wood (0.12 </w:t>
      </w:r>
      <w:r w:rsidRPr="0089582E">
        <w:rPr>
          <w:rFonts w:ascii="Arial" w:hAnsi="Arial" w:cs="Arial"/>
          <w:spacing w:val="-3"/>
          <w:sz w:val="20"/>
          <w:szCs w:val="20"/>
        </w:rPr>
        <w:t>W m</w:t>
      </w:r>
      <w:r w:rsidRPr="0089582E">
        <w:rPr>
          <w:rFonts w:ascii="Arial" w:hAnsi="Arial" w:cs="Arial"/>
          <w:spacing w:val="-3"/>
          <w:sz w:val="20"/>
          <w:szCs w:val="20"/>
          <w:vertAlign w:val="superscript"/>
        </w:rPr>
        <w:t>-2</w:t>
      </w:r>
      <w:r w:rsidRPr="0089582E">
        <w:rPr>
          <w:rFonts w:ascii="Arial" w:hAnsi="Arial" w:cs="Arial"/>
          <w:spacing w:val="-3"/>
          <w:sz w:val="20"/>
          <w:szCs w:val="20"/>
        </w:rPr>
        <w:t>K</w:t>
      </w:r>
      <w:r w:rsidRPr="0089582E">
        <w:rPr>
          <w:rFonts w:ascii="Arial" w:hAnsi="Arial" w:cs="Arial"/>
          <w:spacing w:val="-3"/>
          <w:sz w:val="20"/>
          <w:szCs w:val="20"/>
          <w:vertAlign w:val="superscript"/>
        </w:rPr>
        <w:t>-1</w:t>
      </w:r>
      <w:r w:rsidRPr="0089582E">
        <w:rPr>
          <w:rFonts w:ascii="Arial" w:hAnsi="Arial" w:cs="Arial"/>
          <w:sz w:val="20"/>
          <w:szCs w:val="20"/>
        </w:rPr>
        <w:t xml:space="preserve">) and small surface contact of the feet on the perch. We did not attempt to measure evaporative heat loss in this study, but instead we recorded the </w:t>
      </w:r>
      <w:r w:rsidRPr="0089582E">
        <w:rPr>
          <w:rFonts w:ascii="Arial" w:hAnsi="Arial" w:cs="Arial"/>
          <w:sz w:val="20"/>
          <w:szCs w:val="20"/>
        </w:rPr>
        <w:lastRenderedPageBreak/>
        <w:t xml:space="preserve">chamber temperature at which the bird initiated panting behaviour. Panting, or </w:t>
      </w:r>
      <w:proofErr w:type="spellStart"/>
      <w:r w:rsidRPr="0089582E">
        <w:rPr>
          <w:rFonts w:ascii="Arial" w:hAnsi="Arial" w:cs="Arial"/>
          <w:sz w:val="20"/>
          <w:szCs w:val="20"/>
        </w:rPr>
        <w:t>buccopharyngeal</w:t>
      </w:r>
      <w:proofErr w:type="spellEnd"/>
      <w:r w:rsidRPr="0089582E">
        <w:rPr>
          <w:rFonts w:ascii="Arial" w:hAnsi="Arial" w:cs="Arial"/>
          <w:sz w:val="20"/>
          <w:szCs w:val="20"/>
        </w:rPr>
        <w:t xml:space="preserve"> evaporative water loss</w:t>
      </w:r>
      <w:r w:rsidR="00E15685">
        <w:rPr>
          <w:rFonts w:ascii="Arial" w:hAnsi="Arial" w:cs="Arial"/>
          <w:sz w:val="20"/>
          <w:szCs w:val="20"/>
        </w:rPr>
        <w:t>,</w:t>
      </w:r>
      <w:r w:rsidRPr="0089582E">
        <w:rPr>
          <w:rFonts w:ascii="Arial" w:hAnsi="Arial" w:cs="Arial"/>
          <w:sz w:val="20"/>
          <w:szCs w:val="20"/>
        </w:rPr>
        <w:t xml:space="preserve"> coincides with other evaporative ro</w:t>
      </w:r>
      <w:r w:rsidR="00E15685">
        <w:rPr>
          <w:rFonts w:ascii="Arial" w:hAnsi="Arial" w:cs="Arial"/>
          <w:sz w:val="20"/>
          <w:szCs w:val="20"/>
        </w:rPr>
        <w:t xml:space="preserve">utes like cutaneous </w:t>
      </w:r>
      <w:r w:rsidRPr="0089582E">
        <w:rPr>
          <w:rFonts w:ascii="Arial" w:hAnsi="Arial" w:cs="Arial"/>
          <w:sz w:val="20"/>
          <w:szCs w:val="20"/>
        </w:rPr>
        <w:t xml:space="preserve">and cloacal </w:t>
      </w:r>
      <w:r w:rsidR="00E15685">
        <w:rPr>
          <w:rFonts w:ascii="Arial" w:hAnsi="Arial" w:cs="Arial"/>
          <w:sz w:val="20"/>
          <w:szCs w:val="20"/>
        </w:rPr>
        <w:t xml:space="preserve">heat loss </w:t>
      </w:r>
      <w:r w:rsidRPr="0089582E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EN.CITE &lt;EndNote&gt;&lt;Cite&gt;&lt;Author&gt;Hoffman&lt;/Author&gt;&lt;Year&gt;2007&lt;/Year&gt;&lt;RecNum&gt;1837&lt;/RecNum&gt;&lt;DisplayText&gt;[2]&lt;/DisplayText&gt;&lt;record&gt;&lt;rec-number&gt;1837&lt;/rec-number&gt;&lt;foreign-keys&gt;&lt;key app="EN" db-id="2r5z9wr2qfvfezewwtsxeaxnv2552azfwz02" timestamp="1451201131"&gt;1837&lt;/key&gt;&lt;/foreign-keys&gt;&lt;ref-type name="Journal Article"&gt;17&lt;/ref-type&gt;&lt;contributors&gt;&lt;authors&gt;&lt;author&gt;Hoffman, T. C.&lt;/author&gt;&lt;author&gt;Walsberg, G. E.&lt;/author&gt;&lt;author&gt;DeNardo, D. F.&lt;/author&gt;&lt;/authors&gt;&lt;/contributors&gt;&lt;auth-address&gt;School of Life Sciences, Arizona State University, Tempe, AZ 85287-4501, USA. tycmhoffman@cox.net&lt;/auth-address&gt;&lt;titles&gt;&lt;title&gt;Cloacal evaporation: an important and previously undescribed mechanism for avian thermoregulation&lt;/title&gt;&lt;secondary-title&gt;Journal of Experimental Biology&lt;/secondary-title&gt;&lt;alt-title&gt;The Journal of experimental biology&lt;/alt-title&gt;&lt;/titles&gt;&lt;periodical&gt;&lt;full-title&gt;Journal of Experimental Biology&lt;/full-title&gt;&lt;abbr-1&gt;J. Exp. Biol.&lt;/abbr-1&gt;&lt;/periodical&gt;&lt;alt-periodical&gt;&lt;full-title&gt;The Journal of Experimental Biology&lt;/full-title&gt;&lt;abbr-1&gt;J. Exp. Biol.&lt;/abbr-1&gt;&lt;/alt-periodical&gt;&lt;pages&gt;741-749&lt;/pages&gt;&lt;volume&gt;210&lt;/volume&gt;&lt;number&gt;5&lt;/number&gt;&lt;keywords&gt;&lt;keyword&gt;Animals&lt;/keyword&gt;&lt;keyword&gt;Arizona&lt;/keyword&gt;&lt;keyword&gt;Body Temperature Regulation/*physiology&lt;/keyword&gt;&lt;keyword&gt;Cloaca/*physiology&lt;/keyword&gt;&lt;keyword&gt;Columbidae/*physiology&lt;/keyword&gt;&lt;keyword&gt;Coturnix/*physiology&lt;/keyword&gt;&lt;keyword&gt;Mouth/physiology&lt;/keyword&gt;&lt;keyword&gt;Skin Physiological Phenomena&lt;/keyword&gt;&lt;keyword&gt;Species Specificity&lt;/keyword&gt;&lt;keyword&gt;Temperature&lt;/keyword&gt;&lt;keyword&gt;Water Loss, Insensible/*physiology&lt;/keyword&gt;&lt;/keywords&gt;&lt;dates&gt;&lt;year&gt;2007&lt;/year&gt;&lt;pub-dates&gt;&lt;date&gt;March 1, 2007&lt;/date&gt;&lt;/pub-dates&gt;&lt;/dates&gt;&lt;isbn&gt;0022-0949 (Print)&amp;#xD;0022-0949 (Linking)&lt;/isbn&gt;&lt;accession-num&gt;17297135&lt;/accession-num&gt;&lt;urls&gt;&lt;related-urls&gt;&lt;url&gt;http://jeb.biologists.org/content/210/5/741.abstract&lt;/url&gt;&lt;url&gt;http://jeb.biologists.org/content/jexbio/210/5/741.full.pdf&lt;/url&gt;&lt;/related-urls&gt;&lt;/urls&gt;&lt;electronic-resource-num&gt;10.1242/jeb.02705&lt;/electronic-resource-num&gt;&lt;/record&gt;&lt;/Cite&gt;&lt;/EndNote&gt;</w:instrText>
      </w:r>
      <w:r w:rsidRPr="008958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[2]</w:t>
      </w:r>
      <w:r w:rsidRPr="0089582E">
        <w:rPr>
          <w:rFonts w:ascii="Arial" w:hAnsi="Arial" w:cs="Arial"/>
          <w:sz w:val="20"/>
          <w:szCs w:val="20"/>
        </w:rPr>
        <w:fldChar w:fldCharType="end"/>
      </w:r>
      <w:r w:rsidRPr="0089582E">
        <w:rPr>
          <w:rFonts w:ascii="Arial" w:hAnsi="Arial" w:cs="Arial"/>
          <w:sz w:val="20"/>
          <w:szCs w:val="20"/>
        </w:rPr>
        <w:t>. The total heat loss from the hornbill body was therefore only calculated below the p</w:t>
      </w:r>
      <w:r w:rsidR="00E15685">
        <w:rPr>
          <w:rFonts w:ascii="Arial" w:hAnsi="Arial" w:cs="Arial"/>
          <w:sz w:val="20"/>
          <w:szCs w:val="20"/>
        </w:rPr>
        <w:t>anting initiation temperature as</w:t>
      </w:r>
      <w:r w:rsidRPr="0089582E">
        <w:rPr>
          <w:rFonts w:ascii="Arial" w:hAnsi="Arial" w:cs="Arial"/>
          <w:sz w:val="20"/>
          <w:szCs w:val="20"/>
        </w:rPr>
        <w:t xml:space="preserve"> the sum of the radiative and conductive heat transfer:</w:t>
      </w:r>
    </w:p>
    <w:p w:rsidR="00C8537F" w:rsidRPr="0089582E" w:rsidRDefault="00C8537F" w:rsidP="00C8537F">
      <w:pPr>
        <w:spacing w:line="480" w:lineRule="auto"/>
        <w:rPr>
          <w:rFonts w:ascii="Arial" w:hAnsi="Arial" w:cs="Arial"/>
          <w:sz w:val="20"/>
          <w:szCs w:val="20"/>
        </w:rPr>
      </w:pPr>
      <w:r w:rsidRPr="0089582E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4F659C43" wp14:editId="08289AD3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073785" cy="228600"/>
            <wp:effectExtent l="0" t="0" r="0" b="0"/>
            <wp:wrapSquare wrapText="right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37F" w:rsidRDefault="00C8537F" w:rsidP="00C8537F">
      <w:pPr>
        <w:spacing w:line="480" w:lineRule="auto"/>
        <w:rPr>
          <w:rFonts w:ascii="Arial" w:hAnsi="Arial" w:cs="Arial"/>
          <w:sz w:val="20"/>
          <w:szCs w:val="20"/>
        </w:rPr>
      </w:pPr>
    </w:p>
    <w:p w:rsidR="00C8537F" w:rsidRDefault="00C8537F" w:rsidP="00C8537F">
      <w:pPr>
        <w:pStyle w:val="Heading2"/>
      </w:pPr>
      <w:r>
        <w:t>References</w:t>
      </w:r>
    </w:p>
    <w:p w:rsidR="004E7B3B" w:rsidRPr="004E7B3B" w:rsidRDefault="00C8537F" w:rsidP="004E7B3B">
      <w:pPr>
        <w:pStyle w:val="EndNoteBibliography"/>
        <w:spacing w:after="0"/>
        <w:ind w:left="720" w:hanging="720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EN.REFLIST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4E7B3B" w:rsidRPr="004E7B3B">
        <w:t>1. Monteith J, Unsworth MH (2013) Principles of Environmental Physics: Plants, Animals, and the Atmosphere. Amsterdam: Academic Press.</w:t>
      </w:r>
    </w:p>
    <w:p w:rsidR="004E7B3B" w:rsidRPr="004E7B3B" w:rsidRDefault="004E7B3B" w:rsidP="004E7B3B">
      <w:pPr>
        <w:pStyle w:val="EndNoteBibliography"/>
        <w:ind w:left="720" w:hanging="720"/>
      </w:pPr>
      <w:r w:rsidRPr="004E7B3B">
        <w:t>2. Hoffman TC, Walsberg GE, DeNardo DF (2007) Cloacal evaporation: an important and previously undescribed mechanism for avian thermoregulation. J Exp Biol 210: 741-749.</w:t>
      </w:r>
    </w:p>
    <w:p w:rsidR="00DB2A60" w:rsidRDefault="00C8537F" w:rsidP="00C8537F">
      <w:r>
        <w:rPr>
          <w:rFonts w:ascii="Arial" w:hAnsi="Arial" w:cs="Arial"/>
          <w:sz w:val="20"/>
          <w:szCs w:val="20"/>
        </w:rPr>
        <w:fldChar w:fldCharType="end"/>
      </w:r>
    </w:p>
    <w:sectPr w:rsidR="00DB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5z9wr2qfvfezewwtsxeaxnv2552azfwz02&quot;&gt;Endnote References Tim&lt;record-ids&gt;&lt;item&gt;1836&lt;/item&gt;&lt;item&gt;1837&lt;/item&gt;&lt;/record-ids&gt;&lt;/item&gt;&lt;/Libraries&gt;"/>
  </w:docVars>
  <w:rsids>
    <w:rsidRoot w:val="00C8537F"/>
    <w:rsid w:val="00000362"/>
    <w:rsid w:val="00012FDE"/>
    <w:rsid w:val="000156D5"/>
    <w:rsid w:val="00083C82"/>
    <w:rsid w:val="000D6E3B"/>
    <w:rsid w:val="000F21D0"/>
    <w:rsid w:val="00136AD6"/>
    <w:rsid w:val="00153DE6"/>
    <w:rsid w:val="001A4F3F"/>
    <w:rsid w:val="001B6409"/>
    <w:rsid w:val="001C46F8"/>
    <w:rsid w:val="001C770B"/>
    <w:rsid w:val="001D7B04"/>
    <w:rsid w:val="00211376"/>
    <w:rsid w:val="00212373"/>
    <w:rsid w:val="002272F4"/>
    <w:rsid w:val="002315D1"/>
    <w:rsid w:val="00243351"/>
    <w:rsid w:val="00244B39"/>
    <w:rsid w:val="0029115D"/>
    <w:rsid w:val="002911A8"/>
    <w:rsid w:val="002A59B1"/>
    <w:rsid w:val="002C4B37"/>
    <w:rsid w:val="002E0A07"/>
    <w:rsid w:val="003368D5"/>
    <w:rsid w:val="00387584"/>
    <w:rsid w:val="003A26F6"/>
    <w:rsid w:val="003A75FD"/>
    <w:rsid w:val="003D6F3D"/>
    <w:rsid w:val="00400C29"/>
    <w:rsid w:val="0040110C"/>
    <w:rsid w:val="00420994"/>
    <w:rsid w:val="00437B30"/>
    <w:rsid w:val="00466E0C"/>
    <w:rsid w:val="0046772E"/>
    <w:rsid w:val="00471C92"/>
    <w:rsid w:val="00486CE3"/>
    <w:rsid w:val="00487982"/>
    <w:rsid w:val="004966E5"/>
    <w:rsid w:val="004B1C6B"/>
    <w:rsid w:val="004B20E8"/>
    <w:rsid w:val="004C0889"/>
    <w:rsid w:val="004D1D72"/>
    <w:rsid w:val="004D57F3"/>
    <w:rsid w:val="004E7B3B"/>
    <w:rsid w:val="004F3581"/>
    <w:rsid w:val="00500686"/>
    <w:rsid w:val="00536B9C"/>
    <w:rsid w:val="00562089"/>
    <w:rsid w:val="00584262"/>
    <w:rsid w:val="00587F21"/>
    <w:rsid w:val="00596D57"/>
    <w:rsid w:val="005A2E00"/>
    <w:rsid w:val="005F205A"/>
    <w:rsid w:val="00603CE4"/>
    <w:rsid w:val="00606351"/>
    <w:rsid w:val="006238F1"/>
    <w:rsid w:val="00637159"/>
    <w:rsid w:val="006813AB"/>
    <w:rsid w:val="00686C22"/>
    <w:rsid w:val="006A356F"/>
    <w:rsid w:val="006A5750"/>
    <w:rsid w:val="006A6598"/>
    <w:rsid w:val="006C1D90"/>
    <w:rsid w:val="006E2ABB"/>
    <w:rsid w:val="006F174F"/>
    <w:rsid w:val="0070370B"/>
    <w:rsid w:val="007332C4"/>
    <w:rsid w:val="00744247"/>
    <w:rsid w:val="00745F54"/>
    <w:rsid w:val="00755D5E"/>
    <w:rsid w:val="007741D0"/>
    <w:rsid w:val="00776EDF"/>
    <w:rsid w:val="00784151"/>
    <w:rsid w:val="00795F51"/>
    <w:rsid w:val="007A39CE"/>
    <w:rsid w:val="007D7F66"/>
    <w:rsid w:val="007E00CF"/>
    <w:rsid w:val="0080566D"/>
    <w:rsid w:val="00841C3B"/>
    <w:rsid w:val="00846D25"/>
    <w:rsid w:val="00872DF7"/>
    <w:rsid w:val="00872EF3"/>
    <w:rsid w:val="00874427"/>
    <w:rsid w:val="008973AB"/>
    <w:rsid w:val="00905BA8"/>
    <w:rsid w:val="00905BED"/>
    <w:rsid w:val="00914423"/>
    <w:rsid w:val="009148D7"/>
    <w:rsid w:val="00951973"/>
    <w:rsid w:val="00956B87"/>
    <w:rsid w:val="0096152B"/>
    <w:rsid w:val="00975342"/>
    <w:rsid w:val="00982129"/>
    <w:rsid w:val="00996DCF"/>
    <w:rsid w:val="009A5551"/>
    <w:rsid w:val="009D2B5C"/>
    <w:rsid w:val="009E5662"/>
    <w:rsid w:val="009E7375"/>
    <w:rsid w:val="00A15E11"/>
    <w:rsid w:val="00A25CA0"/>
    <w:rsid w:val="00A33AC7"/>
    <w:rsid w:val="00A44CAE"/>
    <w:rsid w:val="00A46691"/>
    <w:rsid w:val="00A73582"/>
    <w:rsid w:val="00A84752"/>
    <w:rsid w:val="00AD6FE7"/>
    <w:rsid w:val="00B24D21"/>
    <w:rsid w:val="00B310F8"/>
    <w:rsid w:val="00B33CE0"/>
    <w:rsid w:val="00B53225"/>
    <w:rsid w:val="00B57EA7"/>
    <w:rsid w:val="00B91FD3"/>
    <w:rsid w:val="00B922FF"/>
    <w:rsid w:val="00BD4040"/>
    <w:rsid w:val="00BE6FCE"/>
    <w:rsid w:val="00BF5619"/>
    <w:rsid w:val="00C10199"/>
    <w:rsid w:val="00C23124"/>
    <w:rsid w:val="00C32D47"/>
    <w:rsid w:val="00C704F9"/>
    <w:rsid w:val="00C734D5"/>
    <w:rsid w:val="00C84256"/>
    <w:rsid w:val="00C8537F"/>
    <w:rsid w:val="00C9716A"/>
    <w:rsid w:val="00C9716F"/>
    <w:rsid w:val="00CA64DF"/>
    <w:rsid w:val="00CC0515"/>
    <w:rsid w:val="00CC1143"/>
    <w:rsid w:val="00CC3AE4"/>
    <w:rsid w:val="00CC6523"/>
    <w:rsid w:val="00CF1F8A"/>
    <w:rsid w:val="00D16F32"/>
    <w:rsid w:val="00D507A3"/>
    <w:rsid w:val="00D53F64"/>
    <w:rsid w:val="00D55DCF"/>
    <w:rsid w:val="00D609EC"/>
    <w:rsid w:val="00D70C4A"/>
    <w:rsid w:val="00D811D3"/>
    <w:rsid w:val="00DA5BAD"/>
    <w:rsid w:val="00DB2A60"/>
    <w:rsid w:val="00DE5373"/>
    <w:rsid w:val="00E037D6"/>
    <w:rsid w:val="00E038D1"/>
    <w:rsid w:val="00E07C6D"/>
    <w:rsid w:val="00E15685"/>
    <w:rsid w:val="00E45514"/>
    <w:rsid w:val="00E47C38"/>
    <w:rsid w:val="00E47E6E"/>
    <w:rsid w:val="00E777E8"/>
    <w:rsid w:val="00E80FDF"/>
    <w:rsid w:val="00E826F7"/>
    <w:rsid w:val="00E96C96"/>
    <w:rsid w:val="00EA1543"/>
    <w:rsid w:val="00EB7D5B"/>
    <w:rsid w:val="00EC1573"/>
    <w:rsid w:val="00ED115E"/>
    <w:rsid w:val="00ED3074"/>
    <w:rsid w:val="00EF6194"/>
    <w:rsid w:val="00F17705"/>
    <w:rsid w:val="00F963D5"/>
    <w:rsid w:val="00FC7C51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7F"/>
  </w:style>
  <w:style w:type="paragraph" w:styleId="Heading2">
    <w:name w:val="heading 2"/>
    <w:basedOn w:val="Caption"/>
    <w:next w:val="Normal"/>
    <w:link w:val="Heading2Char"/>
    <w:uiPriority w:val="9"/>
    <w:unhideWhenUsed/>
    <w:qFormat/>
    <w:rsid w:val="00C8537F"/>
    <w:pPr>
      <w:keepNext/>
      <w:spacing w:line="480" w:lineRule="auto"/>
      <w:jc w:val="both"/>
      <w:outlineLvl w:val="1"/>
    </w:pPr>
    <w:rPr>
      <w:rFonts w:ascii="Arial" w:hAnsi="Arial" w:cs="Arial"/>
      <w:b/>
      <w:i w:val="0"/>
      <w:color w:val="auto"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37F"/>
    <w:rPr>
      <w:rFonts w:ascii="Arial" w:hAnsi="Arial" w:cs="Arial"/>
      <w:b/>
      <w:iCs/>
      <w:spacing w:val="-2"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8537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537F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3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E7B3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4E7B3B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7F"/>
  </w:style>
  <w:style w:type="paragraph" w:styleId="Heading2">
    <w:name w:val="heading 2"/>
    <w:basedOn w:val="Caption"/>
    <w:next w:val="Normal"/>
    <w:link w:val="Heading2Char"/>
    <w:uiPriority w:val="9"/>
    <w:unhideWhenUsed/>
    <w:qFormat/>
    <w:rsid w:val="00C8537F"/>
    <w:pPr>
      <w:keepNext/>
      <w:spacing w:line="480" w:lineRule="auto"/>
      <w:jc w:val="both"/>
      <w:outlineLvl w:val="1"/>
    </w:pPr>
    <w:rPr>
      <w:rFonts w:ascii="Arial" w:hAnsi="Arial" w:cs="Arial"/>
      <w:b/>
      <w:i w:val="0"/>
      <w:color w:val="auto"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37F"/>
    <w:rPr>
      <w:rFonts w:ascii="Arial" w:hAnsi="Arial" w:cs="Arial"/>
      <w:b/>
      <w:iCs/>
      <w:spacing w:val="-2"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8537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537F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3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E7B3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4E7B3B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Lisa Hamilton (Inspur Worldwide Services Ltd)</cp:lastModifiedBy>
  <cp:revision>2</cp:revision>
  <dcterms:created xsi:type="dcterms:W3CDTF">2016-04-26T20:07:00Z</dcterms:created>
  <dcterms:modified xsi:type="dcterms:W3CDTF">2016-04-26T20:07:00Z</dcterms:modified>
</cp:coreProperties>
</file>