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974917" w14:textId="77777777" w:rsidR="009B642C" w:rsidRPr="001F3AE2" w:rsidRDefault="00D17233">
      <w:pPr>
        <w:pStyle w:val="normal0"/>
        <w:spacing w:line="480" w:lineRule="auto"/>
        <w:rPr>
          <w:sz w:val="36"/>
          <w:szCs w:val="36"/>
        </w:rPr>
      </w:pPr>
      <w:r w:rsidRPr="001F3AE2">
        <w:rPr>
          <w:rFonts w:ascii="Times New Roman" w:eastAsia="Times New Roman" w:hAnsi="Times New Roman" w:cs="Times New Roman"/>
          <w:b/>
          <w:sz w:val="36"/>
          <w:szCs w:val="36"/>
        </w:rPr>
        <w:t>Supplemental information:</w:t>
      </w:r>
    </w:p>
    <w:p w14:paraId="6FDBD683" w14:textId="77777777" w:rsidR="009B642C" w:rsidRDefault="009B642C">
      <w:pPr>
        <w:pStyle w:val="normal0"/>
        <w:spacing w:line="480" w:lineRule="auto"/>
      </w:pPr>
    </w:p>
    <w:p w14:paraId="5FC153A7" w14:textId="43F61B47" w:rsidR="009B642C" w:rsidRPr="001F3AE2" w:rsidRDefault="00C30D66">
      <w:pPr>
        <w:pStyle w:val="normal0"/>
        <w:spacing w:line="480" w:lineRule="auto"/>
        <w:rPr>
          <w:b/>
        </w:rPr>
      </w:pPr>
      <w:r>
        <w:rPr>
          <w:rFonts w:ascii="Times New Roman" w:eastAsia="Times New Roman" w:hAnsi="Times New Roman" w:cs="Times New Roman"/>
          <w:b/>
        </w:rPr>
        <w:t>S1</w:t>
      </w:r>
      <w:r w:rsidR="001D2C7B">
        <w:rPr>
          <w:rFonts w:ascii="Times New Roman" w:eastAsia="Times New Roman" w:hAnsi="Times New Roman" w:cs="Times New Roman"/>
          <w:b/>
        </w:rPr>
        <w:t xml:space="preserve"> Fig</w:t>
      </w:r>
      <w:r w:rsidR="00341C4D">
        <w:rPr>
          <w:rFonts w:ascii="Times New Roman" w:eastAsia="Times New Roman" w:hAnsi="Times New Roman" w:cs="Times New Roman"/>
          <w:b/>
        </w:rPr>
        <w:t>.</w:t>
      </w:r>
      <w:r w:rsidR="00D17233" w:rsidRPr="001F3AE2">
        <w:rPr>
          <w:rFonts w:ascii="Times New Roman" w:eastAsia="Times New Roman" w:hAnsi="Times New Roman" w:cs="Times New Roman"/>
          <w:b/>
        </w:rPr>
        <w:t xml:space="preserve"> Calculation of decay rates for HIV-1 and IFNα.</w:t>
      </w:r>
    </w:p>
    <w:p w14:paraId="16B31572" w14:textId="287E2B6C" w:rsidR="009B642C" w:rsidRDefault="00137E64">
      <w:pPr>
        <w:pStyle w:val="normal0"/>
        <w:spacing w:line="480" w:lineRule="auto"/>
      </w:pPr>
      <w:r>
        <w:rPr>
          <w:rFonts w:ascii="Times New Roman" w:eastAsia="Times New Roman" w:hAnsi="Times New Roman" w:cs="Times New Roman"/>
        </w:rPr>
        <w:t>(A)</w:t>
      </w:r>
      <w:r w:rsidR="00D17233">
        <w:rPr>
          <w:rFonts w:ascii="Times New Roman" w:eastAsia="Times New Roman" w:hAnsi="Times New Roman" w:cs="Times New Roman"/>
        </w:rPr>
        <w:t xml:space="preserve"> To determine the decay rate for HIV-1, a sample of HIV-1 was diluted into tissue culture media and incubated at 37C.  At indicated times, samples were removed and the concentration</w:t>
      </w:r>
      <w:r>
        <w:rPr>
          <w:rFonts w:ascii="Times New Roman" w:eastAsia="Times New Roman" w:hAnsi="Times New Roman" w:cs="Times New Roman"/>
        </w:rPr>
        <w:t xml:space="preserve"> of infectious HIV-1 was measured</w:t>
      </w:r>
      <w:r w:rsidR="00D17233">
        <w:rPr>
          <w:rFonts w:ascii="Times New Roman" w:eastAsia="Times New Roman" w:hAnsi="Times New Roman" w:cs="Times New Roman"/>
        </w:rPr>
        <w:t xml:space="preserve"> by focus-forming assay.  Y-axis values represent the infectivity of the experimental sample as a fraction of the original infectivity of the sample. (B) An assay to determine the biological activity of IFNα samples was established by adding different concentrations of IFNα to HEK293FT cells that had been transfected with an ISRE-GFP reporter plasmid. Flow </w:t>
      </w:r>
      <w:proofErr w:type="spellStart"/>
      <w:r w:rsidR="00D17233">
        <w:rPr>
          <w:rFonts w:ascii="Times New Roman" w:eastAsia="Times New Roman" w:hAnsi="Times New Roman" w:cs="Times New Roman"/>
        </w:rPr>
        <w:t>cytometry</w:t>
      </w:r>
      <w:proofErr w:type="spellEnd"/>
      <w:r w:rsidR="00D17233">
        <w:rPr>
          <w:rFonts w:ascii="Times New Roman" w:eastAsia="Times New Roman" w:hAnsi="Times New Roman" w:cs="Times New Roman"/>
        </w:rPr>
        <w:t xml:space="preserve"> of the HEK293FT cells at 24h post exposure was then performed.  Y-axis values represent the percentage of cells that were GFP+, indicating exposure to bioactive IFNα. (C) To determine the decay rate for IFNα, a sample of IFNα was diluted into tissue culture media at 20ng/mL and incubated at 37C.  At indicated times, samples were removed for analysis by adding aliquots to cultured HEK293FT cells that had been transfected with an ISRE-</w:t>
      </w:r>
      <w:proofErr w:type="gramStart"/>
      <w:r w:rsidR="00D17233">
        <w:rPr>
          <w:rFonts w:ascii="Times New Roman" w:eastAsia="Times New Roman" w:hAnsi="Times New Roman" w:cs="Times New Roman"/>
        </w:rPr>
        <w:t>GFP reporter plasmid.</w:t>
      </w:r>
      <w:proofErr w:type="gramEnd"/>
      <w:r w:rsidR="00D17233">
        <w:rPr>
          <w:rFonts w:ascii="Times New Roman" w:eastAsia="Times New Roman" w:hAnsi="Times New Roman" w:cs="Times New Roman"/>
        </w:rPr>
        <w:t xml:space="preserve">  At 24h post-exposure, the cells were analyzed by flow </w:t>
      </w:r>
      <w:proofErr w:type="spellStart"/>
      <w:r w:rsidR="00D17233">
        <w:rPr>
          <w:rFonts w:ascii="Times New Roman" w:eastAsia="Times New Roman" w:hAnsi="Times New Roman" w:cs="Times New Roman"/>
        </w:rPr>
        <w:t>cytometry</w:t>
      </w:r>
      <w:proofErr w:type="spellEnd"/>
      <w:r w:rsidR="00D17233">
        <w:rPr>
          <w:rFonts w:ascii="Times New Roman" w:eastAsia="Times New Roman" w:hAnsi="Times New Roman" w:cs="Times New Roman"/>
        </w:rPr>
        <w:t xml:space="preserve"> for the percentage of cells with GFP expression. (D) To analyze the decay of IFNα activity over a longer time scale, and to examine the impact of actively dividing CD4 T cells on the decay rate for IFNα, IFNα </w:t>
      </w:r>
      <w:r>
        <w:rPr>
          <w:rFonts w:ascii="Times New Roman" w:eastAsia="Times New Roman" w:hAnsi="Times New Roman" w:cs="Times New Roman"/>
        </w:rPr>
        <w:t xml:space="preserve">(20ng/mL) </w:t>
      </w:r>
      <w:r w:rsidR="00D17233">
        <w:rPr>
          <w:rFonts w:ascii="Times New Roman" w:eastAsia="Times New Roman" w:hAnsi="Times New Roman" w:cs="Times New Roman"/>
        </w:rPr>
        <w:t>was added to tissue culture media with or without CD4 T cells</w:t>
      </w:r>
      <w:r w:rsidR="00847D93">
        <w:rPr>
          <w:rFonts w:ascii="Times New Roman" w:eastAsia="Times New Roman" w:hAnsi="Times New Roman" w:cs="Times New Roman"/>
        </w:rPr>
        <w:t>,</w:t>
      </w:r>
      <w:r w:rsidR="001014A1">
        <w:rPr>
          <w:rFonts w:ascii="Times New Roman" w:eastAsia="Times New Roman" w:hAnsi="Times New Roman" w:cs="Times New Roman"/>
        </w:rPr>
        <w:t xml:space="preserve"> at 37C</w:t>
      </w:r>
      <w:r w:rsidR="00D17233">
        <w:rPr>
          <w:rFonts w:ascii="Times New Roman" w:eastAsia="Times New Roman" w:hAnsi="Times New Roman" w:cs="Times New Roman"/>
        </w:rPr>
        <w:t xml:space="preserve">.  At times indicated, supernatant samples were removed and added to HEK293FT cells that had been transfected with an ISRE-GFP reporter plasmid.  At 24h post-exposure, the GFP signal from the </w:t>
      </w:r>
      <w:r w:rsidR="00847D93">
        <w:rPr>
          <w:rFonts w:ascii="Times New Roman" w:eastAsia="Times New Roman" w:hAnsi="Times New Roman" w:cs="Times New Roman"/>
        </w:rPr>
        <w:t xml:space="preserve">293FT </w:t>
      </w:r>
      <w:r w:rsidR="00D17233">
        <w:rPr>
          <w:rFonts w:ascii="Times New Roman" w:eastAsia="Times New Roman" w:hAnsi="Times New Roman" w:cs="Times New Roman"/>
        </w:rPr>
        <w:t xml:space="preserve">cells </w:t>
      </w:r>
      <w:r w:rsidR="001014A1">
        <w:rPr>
          <w:rFonts w:ascii="Times New Roman" w:eastAsia="Times New Roman" w:hAnsi="Times New Roman" w:cs="Times New Roman"/>
        </w:rPr>
        <w:t xml:space="preserve">was </w:t>
      </w:r>
      <w:r w:rsidR="00D17233">
        <w:rPr>
          <w:rFonts w:ascii="Times New Roman" w:eastAsia="Times New Roman" w:hAnsi="Times New Roman" w:cs="Times New Roman"/>
        </w:rPr>
        <w:t>measured usin</w:t>
      </w:r>
      <w:r w:rsidR="009754D4">
        <w:rPr>
          <w:rFonts w:ascii="Times New Roman" w:eastAsia="Times New Roman" w:hAnsi="Times New Roman" w:cs="Times New Roman"/>
        </w:rPr>
        <w:t xml:space="preserve">g a </w:t>
      </w:r>
      <w:proofErr w:type="spellStart"/>
      <w:r w:rsidR="009754D4">
        <w:rPr>
          <w:rFonts w:ascii="Times New Roman" w:eastAsia="Times New Roman" w:hAnsi="Times New Roman" w:cs="Times New Roman"/>
        </w:rPr>
        <w:t>BioTek</w:t>
      </w:r>
      <w:proofErr w:type="spellEnd"/>
      <w:r w:rsidR="009754D4">
        <w:rPr>
          <w:rFonts w:ascii="Times New Roman" w:eastAsia="Times New Roman" w:hAnsi="Times New Roman" w:cs="Times New Roman"/>
        </w:rPr>
        <w:t xml:space="preserve"> plate reader.  The </w:t>
      </w:r>
      <w:proofErr w:type="gramStart"/>
      <w:r w:rsidR="009754D4">
        <w:rPr>
          <w:rFonts w:ascii="Times New Roman" w:eastAsia="Times New Roman" w:hAnsi="Times New Roman" w:cs="Times New Roman"/>
        </w:rPr>
        <w:t xml:space="preserve">Y </w:t>
      </w:r>
      <w:r w:rsidR="00D17233">
        <w:rPr>
          <w:rFonts w:ascii="Times New Roman" w:eastAsia="Times New Roman" w:hAnsi="Times New Roman" w:cs="Times New Roman"/>
        </w:rPr>
        <w:t>axis</w:t>
      </w:r>
      <w:proofErr w:type="gramEnd"/>
      <w:r w:rsidR="00D17233">
        <w:rPr>
          <w:rFonts w:ascii="Times New Roman" w:eastAsia="Times New Roman" w:hAnsi="Times New Roman" w:cs="Times New Roman"/>
        </w:rPr>
        <w:t xml:space="preserve"> represents arbitrary units of fluorescence</w:t>
      </w:r>
      <w:r w:rsidR="009754D4">
        <w:rPr>
          <w:rFonts w:ascii="Times New Roman" w:eastAsia="Times New Roman" w:hAnsi="Times New Roman" w:cs="Times New Roman"/>
        </w:rPr>
        <w:t xml:space="preserve"> that are </w:t>
      </w:r>
      <w:r w:rsidR="009754D4">
        <w:rPr>
          <w:rFonts w:ascii="Times New Roman" w:eastAsia="Times New Roman" w:hAnsi="Times New Roman" w:cs="Times New Roman"/>
        </w:rPr>
        <w:lastRenderedPageBreak/>
        <w:t>proportional to the mean fluorescent intensity of the cells in each well</w:t>
      </w:r>
      <w:r w:rsidR="00D17233">
        <w:rPr>
          <w:rFonts w:ascii="Times New Roman" w:eastAsia="Times New Roman" w:hAnsi="Times New Roman" w:cs="Times New Roman"/>
        </w:rPr>
        <w:t>.</w:t>
      </w:r>
      <w:r w:rsidR="009754D4">
        <w:rPr>
          <w:rFonts w:ascii="Times New Roman" w:eastAsia="Times New Roman" w:hAnsi="Times New Roman" w:cs="Times New Roman"/>
        </w:rPr>
        <w:t xml:space="preserve"> </w:t>
      </w:r>
      <w:r w:rsidR="00D17233">
        <w:rPr>
          <w:rFonts w:ascii="Times New Roman" w:eastAsia="Times New Roman" w:hAnsi="Times New Roman" w:cs="Times New Roman"/>
        </w:rPr>
        <w:t xml:space="preserve"> From these data the decay constants for HIV-1 (k</w:t>
      </w:r>
      <w:r w:rsidR="00D17233">
        <w:rPr>
          <w:rFonts w:ascii="Times New Roman" w:eastAsia="Times New Roman" w:hAnsi="Times New Roman" w:cs="Times New Roman"/>
          <w:vertAlign w:val="subscript"/>
        </w:rPr>
        <w:t>7</w:t>
      </w:r>
      <w:r w:rsidR="00D17233">
        <w:rPr>
          <w:rFonts w:ascii="Times New Roman" w:eastAsia="Times New Roman" w:hAnsi="Times New Roman" w:cs="Times New Roman"/>
        </w:rPr>
        <w:t>) and IFNα (k</w:t>
      </w:r>
      <w:r w:rsidR="00D17233">
        <w:rPr>
          <w:rFonts w:ascii="Times New Roman" w:eastAsia="Times New Roman" w:hAnsi="Times New Roman" w:cs="Times New Roman"/>
          <w:vertAlign w:val="subscript"/>
        </w:rPr>
        <w:t>9</w:t>
      </w:r>
      <w:r w:rsidR="00D17233">
        <w:rPr>
          <w:rFonts w:ascii="Times New Roman" w:eastAsia="Times New Roman" w:hAnsi="Times New Roman" w:cs="Times New Roman"/>
        </w:rPr>
        <w:t xml:space="preserve">) were determined to be 2.23 and 0 </w:t>
      </w:r>
      <w:r w:rsidR="00D17233" w:rsidRPr="001014A1">
        <w:rPr>
          <w:rFonts w:ascii="Times New Roman" w:eastAsia="Times New Roman" w:hAnsi="Times New Roman" w:cs="Times New Roman"/>
        </w:rPr>
        <w:t>day</w:t>
      </w:r>
      <w:r w:rsidR="00D17233" w:rsidRPr="001014A1">
        <w:rPr>
          <w:rFonts w:ascii="Times New Roman" w:eastAsia="Times New Roman" w:hAnsi="Times New Roman" w:cs="Times New Roman"/>
          <w:vertAlign w:val="superscript"/>
        </w:rPr>
        <w:t>-1</w:t>
      </w:r>
      <w:r w:rsidR="00D17233">
        <w:rPr>
          <w:rFonts w:ascii="Times New Roman" w:eastAsia="Times New Roman" w:hAnsi="Times New Roman" w:cs="Times New Roman"/>
        </w:rPr>
        <w:t xml:space="preserve"> respectively.</w:t>
      </w:r>
    </w:p>
    <w:p w14:paraId="6F4A7FD7" w14:textId="77777777" w:rsidR="009B642C" w:rsidRDefault="009B642C">
      <w:pPr>
        <w:pStyle w:val="normal0"/>
        <w:spacing w:line="480" w:lineRule="auto"/>
      </w:pPr>
    </w:p>
    <w:p w14:paraId="18175B9C" w14:textId="4147D8B8" w:rsidR="009B642C" w:rsidRPr="001F3AE2" w:rsidRDefault="00C30D66">
      <w:pPr>
        <w:pStyle w:val="normal0"/>
        <w:spacing w:line="480" w:lineRule="auto"/>
        <w:rPr>
          <w:b/>
        </w:rPr>
      </w:pPr>
      <w:r>
        <w:rPr>
          <w:rFonts w:ascii="Times New Roman" w:eastAsia="Times New Roman" w:hAnsi="Times New Roman" w:cs="Times New Roman"/>
          <w:b/>
        </w:rPr>
        <w:t>S2</w:t>
      </w:r>
      <w:r w:rsidR="001D2C7B">
        <w:rPr>
          <w:rFonts w:ascii="Times New Roman" w:eastAsia="Times New Roman" w:hAnsi="Times New Roman" w:cs="Times New Roman"/>
          <w:b/>
        </w:rPr>
        <w:t xml:space="preserve"> Fig</w:t>
      </w:r>
      <w:r w:rsidR="001F3AE2">
        <w:rPr>
          <w:rFonts w:ascii="Times New Roman" w:eastAsia="Times New Roman" w:hAnsi="Times New Roman" w:cs="Times New Roman"/>
          <w:b/>
        </w:rPr>
        <w:t>.</w:t>
      </w:r>
      <w:r w:rsidR="00D17233" w:rsidRPr="001F3AE2">
        <w:rPr>
          <w:rFonts w:ascii="Times New Roman" w:eastAsia="Times New Roman" w:hAnsi="Times New Roman" w:cs="Times New Roman"/>
          <w:b/>
        </w:rPr>
        <w:t xml:space="preserve"> </w:t>
      </w:r>
      <w:proofErr w:type="gramStart"/>
      <w:r w:rsidR="00D17233" w:rsidRPr="001F3AE2">
        <w:rPr>
          <w:rFonts w:ascii="Times New Roman" w:eastAsia="Times New Roman" w:hAnsi="Times New Roman" w:cs="Times New Roman"/>
          <w:b/>
        </w:rPr>
        <w:t>Alternative model configurations.</w:t>
      </w:r>
      <w:proofErr w:type="gramEnd"/>
    </w:p>
    <w:p w14:paraId="532236EE" w14:textId="77777777" w:rsidR="009B642C" w:rsidRDefault="00D17233">
      <w:pPr>
        <w:pStyle w:val="normal0"/>
        <w:spacing w:line="480" w:lineRule="auto"/>
      </w:pPr>
      <w:r>
        <w:rPr>
          <w:rFonts w:ascii="Times New Roman" w:eastAsia="Times New Roman" w:hAnsi="Times New Roman" w:cs="Times New Roman"/>
        </w:rPr>
        <w:t>In addition to the basic saturating model (Model 1) and linear model (Model 2), we examined the performance of additional models in which only uninfected susceptible cells divide (Model 3), in which IFNα only impacts uninfected cells (Model 4), in which IFNα-exposed infected cells have a separate death rate from infected cells (Model 5), and in which the conversion rates to IFNα-exposed state and reversion are separate for infected and uninfected cells (Model 6).</w:t>
      </w:r>
    </w:p>
    <w:p w14:paraId="62A21855" w14:textId="77777777" w:rsidR="009B642C" w:rsidRDefault="009B642C">
      <w:pPr>
        <w:pStyle w:val="normal0"/>
        <w:spacing w:line="480" w:lineRule="auto"/>
      </w:pPr>
    </w:p>
    <w:p w14:paraId="18F56424" w14:textId="67D37D19" w:rsidR="009B642C" w:rsidRPr="0081423F" w:rsidRDefault="006D7D7E">
      <w:pPr>
        <w:pStyle w:val="normal0"/>
        <w:spacing w:line="480" w:lineRule="auto"/>
        <w:rPr>
          <w:b/>
        </w:rPr>
      </w:pPr>
      <w:r>
        <w:rPr>
          <w:rFonts w:ascii="Times New Roman" w:eastAsia="Times New Roman" w:hAnsi="Times New Roman" w:cs="Times New Roman"/>
          <w:b/>
        </w:rPr>
        <w:t>Table</w:t>
      </w:r>
      <w:r w:rsidR="000259D5">
        <w:rPr>
          <w:rFonts w:ascii="Times New Roman" w:eastAsia="Times New Roman" w:hAnsi="Times New Roman" w:cs="Times New Roman"/>
          <w:b/>
        </w:rPr>
        <w:t xml:space="preserve"> A</w:t>
      </w:r>
      <w:r w:rsidR="0081423F">
        <w:rPr>
          <w:rFonts w:ascii="Times New Roman" w:eastAsia="Times New Roman" w:hAnsi="Times New Roman" w:cs="Times New Roman"/>
          <w:b/>
        </w:rPr>
        <w:t>.</w:t>
      </w:r>
      <w:r w:rsidR="00D17233" w:rsidRPr="0081423F">
        <w:rPr>
          <w:rFonts w:ascii="Times New Roman" w:eastAsia="Times New Roman" w:hAnsi="Times New Roman" w:cs="Times New Roman"/>
          <w:b/>
        </w:rPr>
        <w:t xml:space="preserve"> Parameter values for best fit from alternative model configurations.</w:t>
      </w: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606"/>
        <w:gridCol w:w="1183"/>
        <w:gridCol w:w="1236"/>
        <w:gridCol w:w="1236"/>
        <w:gridCol w:w="1344"/>
        <w:gridCol w:w="1344"/>
        <w:gridCol w:w="1235"/>
      </w:tblGrid>
      <w:tr w:rsidR="009B642C" w:rsidRPr="00137E64" w14:paraId="74E7C482" w14:textId="77777777">
        <w:trPr>
          <w:trHeight w:val="240"/>
        </w:trPr>
        <w:tc>
          <w:tcPr>
            <w:tcW w:w="672" w:type="dxa"/>
            <w:vAlign w:val="center"/>
          </w:tcPr>
          <w:p w14:paraId="190F667D" w14:textId="77777777" w:rsidR="009B642C" w:rsidRPr="00137E64" w:rsidRDefault="00D17233">
            <w:pPr>
              <w:pStyle w:val="normal0"/>
              <w:jc w:val="center"/>
              <w:rPr>
                <w:b/>
              </w:rPr>
            </w:pPr>
            <w:r w:rsidRPr="00137E64">
              <w:rPr>
                <w:rFonts w:ascii="Arial" w:eastAsia="Arial" w:hAnsi="Arial" w:cs="Arial"/>
                <w:b/>
                <w:sz w:val="14"/>
                <w:szCs w:val="14"/>
              </w:rPr>
              <w:t>Parameter</w:t>
            </w:r>
          </w:p>
        </w:tc>
        <w:tc>
          <w:tcPr>
            <w:tcW w:w="606" w:type="dxa"/>
          </w:tcPr>
          <w:p w14:paraId="7EDB7FBB" w14:textId="77777777" w:rsidR="009B642C" w:rsidRPr="00137E64" w:rsidRDefault="00D17233">
            <w:pPr>
              <w:pStyle w:val="normal0"/>
              <w:jc w:val="center"/>
              <w:rPr>
                <w:b/>
              </w:rPr>
            </w:pPr>
            <w:r w:rsidRPr="00137E64">
              <w:rPr>
                <w:rFonts w:ascii="Arial" w:eastAsia="Arial" w:hAnsi="Arial" w:cs="Arial"/>
                <w:b/>
                <w:sz w:val="14"/>
                <w:szCs w:val="14"/>
              </w:rPr>
              <w:t>Units</w:t>
            </w:r>
          </w:p>
        </w:tc>
        <w:tc>
          <w:tcPr>
            <w:tcW w:w="1183" w:type="dxa"/>
            <w:vAlign w:val="center"/>
          </w:tcPr>
          <w:p w14:paraId="45C01D39" w14:textId="77777777" w:rsidR="009B642C" w:rsidRPr="00137E64" w:rsidRDefault="00D17233">
            <w:pPr>
              <w:pStyle w:val="normal0"/>
              <w:jc w:val="center"/>
              <w:rPr>
                <w:b/>
              </w:rPr>
            </w:pPr>
            <w:r w:rsidRPr="00137E64">
              <w:rPr>
                <w:rFonts w:ascii="Arial" w:eastAsia="Arial" w:hAnsi="Arial" w:cs="Arial"/>
                <w:b/>
                <w:sz w:val="14"/>
                <w:szCs w:val="14"/>
              </w:rPr>
              <w:t>Model 1 value (95% CI)</w:t>
            </w:r>
          </w:p>
        </w:tc>
        <w:tc>
          <w:tcPr>
            <w:tcW w:w="1236" w:type="dxa"/>
            <w:vAlign w:val="center"/>
          </w:tcPr>
          <w:p w14:paraId="762DE9F2" w14:textId="77777777" w:rsidR="009B642C" w:rsidRPr="00137E64" w:rsidRDefault="00D17233">
            <w:pPr>
              <w:pStyle w:val="normal0"/>
              <w:jc w:val="center"/>
              <w:rPr>
                <w:b/>
              </w:rPr>
            </w:pPr>
            <w:r w:rsidRPr="00137E64">
              <w:rPr>
                <w:rFonts w:ascii="Arial" w:eastAsia="Arial" w:hAnsi="Arial" w:cs="Arial"/>
                <w:b/>
                <w:sz w:val="14"/>
                <w:szCs w:val="14"/>
              </w:rPr>
              <w:t>Model 2 value (95% CI)</w:t>
            </w:r>
          </w:p>
        </w:tc>
        <w:tc>
          <w:tcPr>
            <w:tcW w:w="1236" w:type="dxa"/>
            <w:vAlign w:val="center"/>
          </w:tcPr>
          <w:p w14:paraId="5A74EBBD" w14:textId="77777777" w:rsidR="009B642C" w:rsidRPr="00137E64" w:rsidRDefault="00D17233">
            <w:pPr>
              <w:pStyle w:val="normal0"/>
              <w:jc w:val="center"/>
              <w:rPr>
                <w:b/>
              </w:rPr>
            </w:pPr>
            <w:r w:rsidRPr="00137E64">
              <w:rPr>
                <w:rFonts w:ascii="Arial" w:eastAsia="Arial" w:hAnsi="Arial" w:cs="Arial"/>
                <w:b/>
                <w:sz w:val="14"/>
                <w:szCs w:val="14"/>
              </w:rPr>
              <w:t>Model 3 value (95% CI)</w:t>
            </w:r>
          </w:p>
        </w:tc>
        <w:tc>
          <w:tcPr>
            <w:tcW w:w="1344" w:type="dxa"/>
            <w:vAlign w:val="center"/>
          </w:tcPr>
          <w:p w14:paraId="52849131" w14:textId="77777777" w:rsidR="009B642C" w:rsidRPr="00137E64" w:rsidRDefault="00D17233">
            <w:pPr>
              <w:pStyle w:val="normal0"/>
              <w:jc w:val="center"/>
              <w:rPr>
                <w:b/>
              </w:rPr>
            </w:pPr>
            <w:r w:rsidRPr="00137E64">
              <w:rPr>
                <w:rFonts w:ascii="Arial" w:eastAsia="Arial" w:hAnsi="Arial" w:cs="Arial"/>
                <w:b/>
                <w:sz w:val="14"/>
                <w:szCs w:val="14"/>
              </w:rPr>
              <w:t>Model 4 value (95% CI)</w:t>
            </w:r>
          </w:p>
        </w:tc>
        <w:tc>
          <w:tcPr>
            <w:tcW w:w="1344" w:type="dxa"/>
            <w:vAlign w:val="center"/>
          </w:tcPr>
          <w:p w14:paraId="42C2F558" w14:textId="77777777" w:rsidR="009B642C" w:rsidRPr="00137E64" w:rsidRDefault="00D17233">
            <w:pPr>
              <w:pStyle w:val="normal0"/>
              <w:jc w:val="center"/>
              <w:rPr>
                <w:b/>
              </w:rPr>
            </w:pPr>
            <w:r w:rsidRPr="00137E64">
              <w:rPr>
                <w:rFonts w:ascii="Arial" w:eastAsia="Arial" w:hAnsi="Arial" w:cs="Arial"/>
                <w:b/>
                <w:sz w:val="14"/>
                <w:szCs w:val="14"/>
              </w:rPr>
              <w:t>Model 5 value (95% CI)</w:t>
            </w:r>
          </w:p>
        </w:tc>
        <w:tc>
          <w:tcPr>
            <w:tcW w:w="1235" w:type="dxa"/>
            <w:vAlign w:val="center"/>
          </w:tcPr>
          <w:p w14:paraId="4C4B0410" w14:textId="77777777" w:rsidR="009B642C" w:rsidRPr="00137E64" w:rsidRDefault="00D17233">
            <w:pPr>
              <w:pStyle w:val="normal0"/>
              <w:jc w:val="center"/>
              <w:rPr>
                <w:b/>
              </w:rPr>
            </w:pPr>
            <w:r w:rsidRPr="00137E64">
              <w:rPr>
                <w:rFonts w:ascii="Arial" w:eastAsia="Arial" w:hAnsi="Arial" w:cs="Arial"/>
                <w:b/>
                <w:sz w:val="14"/>
                <w:szCs w:val="14"/>
              </w:rPr>
              <w:t>Model 6 value (95% CI)</w:t>
            </w:r>
          </w:p>
        </w:tc>
      </w:tr>
      <w:tr w:rsidR="006472B5" w14:paraId="554017F2" w14:textId="77777777" w:rsidTr="00080B7E">
        <w:trPr>
          <w:trHeight w:val="240"/>
        </w:trPr>
        <w:tc>
          <w:tcPr>
            <w:tcW w:w="672" w:type="dxa"/>
            <w:vAlign w:val="center"/>
          </w:tcPr>
          <w:p w14:paraId="7A6AA23D" w14:textId="77777777" w:rsidR="006472B5" w:rsidRDefault="006472B5">
            <w:pPr>
              <w:pStyle w:val="normal0"/>
              <w:jc w:val="center"/>
            </w:pPr>
            <w:proofErr w:type="gramStart"/>
            <w:r>
              <w:rPr>
                <w:rFonts w:ascii="Arial" w:eastAsia="Arial" w:hAnsi="Arial" w:cs="Arial"/>
                <w:sz w:val="14"/>
                <w:szCs w:val="14"/>
              </w:rPr>
              <w:t>k1</w:t>
            </w:r>
            <w:proofErr w:type="gramEnd"/>
          </w:p>
        </w:tc>
        <w:tc>
          <w:tcPr>
            <w:tcW w:w="606" w:type="dxa"/>
            <w:vAlign w:val="center"/>
          </w:tcPr>
          <w:p w14:paraId="67DEF778" w14:textId="77777777" w:rsidR="006472B5" w:rsidRDefault="006472B5">
            <w:pPr>
              <w:pStyle w:val="normal0"/>
              <w:jc w:val="center"/>
            </w:pPr>
            <w:proofErr w:type="gramStart"/>
            <w:r>
              <w:rPr>
                <w:rFonts w:ascii="Arial" w:eastAsia="Arial" w:hAnsi="Arial" w:cs="Arial"/>
                <w:sz w:val="14"/>
                <w:szCs w:val="14"/>
              </w:rPr>
              <w:t>day</w:t>
            </w:r>
            <w:proofErr w:type="gramEnd"/>
            <w:r>
              <w:rPr>
                <w:rFonts w:ascii="Arial" w:eastAsia="Arial" w:hAnsi="Arial" w:cs="Arial"/>
                <w:sz w:val="14"/>
                <w:szCs w:val="14"/>
                <w:vertAlign w:val="superscript"/>
              </w:rPr>
              <w:t>-1</w:t>
            </w:r>
          </w:p>
        </w:tc>
        <w:tc>
          <w:tcPr>
            <w:tcW w:w="1183" w:type="dxa"/>
            <w:vAlign w:val="bottom"/>
          </w:tcPr>
          <w:p w14:paraId="6FC8936D" w14:textId="6FCDFED6" w:rsidR="006472B5" w:rsidRPr="006472B5" w:rsidRDefault="006472B5">
            <w:pPr>
              <w:pStyle w:val="normal0"/>
              <w:jc w:val="center"/>
              <w:rPr>
                <w:rFonts w:ascii="Arial" w:hAnsi="Arial" w:cs="Arial"/>
                <w:sz w:val="14"/>
                <w:szCs w:val="14"/>
              </w:rPr>
            </w:pPr>
            <w:r w:rsidRPr="006472B5">
              <w:rPr>
                <w:rFonts w:ascii="Arial" w:eastAsia="Calibri" w:hAnsi="Arial" w:cs="Arial"/>
                <w:sz w:val="14"/>
                <w:szCs w:val="14"/>
              </w:rPr>
              <w:t>0.886 (0.820-0.930)</w:t>
            </w:r>
          </w:p>
        </w:tc>
        <w:tc>
          <w:tcPr>
            <w:tcW w:w="1236" w:type="dxa"/>
            <w:vAlign w:val="bottom"/>
          </w:tcPr>
          <w:p w14:paraId="7CCCBED2" w14:textId="0B30470A" w:rsidR="006472B5" w:rsidRPr="006472B5" w:rsidRDefault="006472B5">
            <w:pPr>
              <w:pStyle w:val="normal0"/>
              <w:jc w:val="center"/>
              <w:rPr>
                <w:rFonts w:ascii="Arial" w:hAnsi="Arial" w:cs="Arial"/>
                <w:sz w:val="14"/>
                <w:szCs w:val="14"/>
              </w:rPr>
            </w:pPr>
            <w:r w:rsidRPr="006472B5">
              <w:rPr>
                <w:rFonts w:ascii="Arial" w:eastAsia="Calibri" w:hAnsi="Arial" w:cs="Arial"/>
                <w:sz w:val="14"/>
                <w:szCs w:val="14"/>
              </w:rPr>
              <w:t>0.910 (0.842-0.956)</w:t>
            </w:r>
          </w:p>
        </w:tc>
        <w:tc>
          <w:tcPr>
            <w:tcW w:w="1236" w:type="dxa"/>
            <w:vAlign w:val="center"/>
          </w:tcPr>
          <w:p w14:paraId="55C172CD" w14:textId="5CF41833" w:rsidR="006472B5" w:rsidRDefault="00B554DE">
            <w:pPr>
              <w:pStyle w:val="normal0"/>
              <w:jc w:val="center"/>
            </w:pPr>
            <w:r>
              <w:rPr>
                <w:rFonts w:ascii="Arial" w:eastAsia="Arial" w:hAnsi="Arial" w:cs="Arial"/>
                <w:sz w:val="14"/>
                <w:szCs w:val="14"/>
              </w:rPr>
              <w:t>0.973 (0.900-1.021</w:t>
            </w:r>
            <w:r w:rsidR="006472B5">
              <w:rPr>
                <w:rFonts w:ascii="Arial" w:eastAsia="Arial" w:hAnsi="Arial" w:cs="Arial"/>
                <w:sz w:val="14"/>
                <w:szCs w:val="14"/>
              </w:rPr>
              <w:t>)</w:t>
            </w:r>
          </w:p>
        </w:tc>
        <w:tc>
          <w:tcPr>
            <w:tcW w:w="1344" w:type="dxa"/>
            <w:vAlign w:val="center"/>
          </w:tcPr>
          <w:p w14:paraId="795E0DB1" w14:textId="10FAF77F" w:rsidR="006472B5" w:rsidRDefault="009F636F">
            <w:pPr>
              <w:pStyle w:val="normal0"/>
              <w:jc w:val="center"/>
            </w:pPr>
            <w:r>
              <w:rPr>
                <w:rFonts w:ascii="Arial" w:eastAsia="Arial" w:hAnsi="Arial" w:cs="Arial"/>
                <w:sz w:val="14"/>
                <w:szCs w:val="14"/>
              </w:rPr>
              <w:t>0.890 (0.824-0.937</w:t>
            </w:r>
            <w:r w:rsidR="006472B5">
              <w:rPr>
                <w:rFonts w:ascii="Arial" w:eastAsia="Arial" w:hAnsi="Arial" w:cs="Arial"/>
                <w:sz w:val="14"/>
                <w:szCs w:val="14"/>
              </w:rPr>
              <w:t>)</w:t>
            </w:r>
          </w:p>
        </w:tc>
        <w:tc>
          <w:tcPr>
            <w:tcW w:w="1344" w:type="dxa"/>
            <w:vAlign w:val="center"/>
          </w:tcPr>
          <w:p w14:paraId="28403CBC" w14:textId="36095997" w:rsidR="006472B5" w:rsidRDefault="00910F86">
            <w:pPr>
              <w:pStyle w:val="normal0"/>
              <w:jc w:val="center"/>
            </w:pPr>
            <w:r>
              <w:rPr>
                <w:rFonts w:ascii="Arial" w:eastAsia="Arial" w:hAnsi="Arial" w:cs="Arial"/>
                <w:sz w:val="14"/>
                <w:szCs w:val="14"/>
              </w:rPr>
              <w:t>0.921 (0.851-0.967</w:t>
            </w:r>
            <w:r w:rsidR="006472B5">
              <w:rPr>
                <w:rFonts w:ascii="Arial" w:eastAsia="Arial" w:hAnsi="Arial" w:cs="Arial"/>
                <w:sz w:val="14"/>
                <w:szCs w:val="14"/>
              </w:rPr>
              <w:t>)</w:t>
            </w:r>
          </w:p>
        </w:tc>
        <w:tc>
          <w:tcPr>
            <w:tcW w:w="1235" w:type="dxa"/>
            <w:vAlign w:val="center"/>
          </w:tcPr>
          <w:p w14:paraId="4366AE78" w14:textId="0B72FB3E" w:rsidR="006472B5" w:rsidRDefault="004D10D0">
            <w:pPr>
              <w:pStyle w:val="normal0"/>
              <w:jc w:val="center"/>
            </w:pPr>
            <w:r>
              <w:rPr>
                <w:rFonts w:ascii="Arial" w:eastAsia="Arial" w:hAnsi="Arial" w:cs="Arial"/>
                <w:sz w:val="14"/>
                <w:szCs w:val="14"/>
              </w:rPr>
              <w:t>0.911 (0.865-0.956</w:t>
            </w:r>
            <w:r w:rsidR="006472B5">
              <w:rPr>
                <w:rFonts w:ascii="Arial" w:eastAsia="Arial" w:hAnsi="Arial" w:cs="Arial"/>
                <w:sz w:val="14"/>
                <w:szCs w:val="14"/>
              </w:rPr>
              <w:t>)</w:t>
            </w:r>
          </w:p>
        </w:tc>
      </w:tr>
      <w:tr w:rsidR="006472B5" w14:paraId="034D017C" w14:textId="77777777" w:rsidTr="00080B7E">
        <w:trPr>
          <w:trHeight w:val="240"/>
        </w:trPr>
        <w:tc>
          <w:tcPr>
            <w:tcW w:w="672" w:type="dxa"/>
            <w:vAlign w:val="center"/>
          </w:tcPr>
          <w:p w14:paraId="16E37D67" w14:textId="77777777" w:rsidR="006472B5" w:rsidRDefault="006472B5">
            <w:pPr>
              <w:pStyle w:val="normal0"/>
              <w:jc w:val="center"/>
            </w:pPr>
            <w:proofErr w:type="gramStart"/>
            <w:r>
              <w:rPr>
                <w:rFonts w:ascii="Arial" w:eastAsia="Arial" w:hAnsi="Arial" w:cs="Arial"/>
                <w:sz w:val="14"/>
                <w:szCs w:val="14"/>
              </w:rPr>
              <w:t>k2</w:t>
            </w:r>
            <w:proofErr w:type="gramEnd"/>
          </w:p>
        </w:tc>
        <w:tc>
          <w:tcPr>
            <w:tcW w:w="606" w:type="dxa"/>
            <w:vAlign w:val="center"/>
          </w:tcPr>
          <w:p w14:paraId="304E8DC5" w14:textId="77777777" w:rsidR="006472B5" w:rsidRDefault="006472B5">
            <w:pPr>
              <w:pStyle w:val="normal0"/>
              <w:jc w:val="center"/>
            </w:pPr>
            <w:proofErr w:type="gramStart"/>
            <w:r>
              <w:rPr>
                <w:rFonts w:ascii="Arial" w:eastAsia="Arial" w:hAnsi="Arial" w:cs="Arial"/>
                <w:sz w:val="14"/>
                <w:szCs w:val="14"/>
              </w:rPr>
              <w:t>ng</w:t>
            </w:r>
            <w:proofErr w:type="gramEnd"/>
            <w:r>
              <w:rPr>
                <w:rFonts w:ascii="Arial" w:eastAsia="Arial" w:hAnsi="Arial" w:cs="Arial"/>
                <w:sz w:val="14"/>
                <w:szCs w:val="14"/>
                <w:vertAlign w:val="superscript"/>
              </w:rPr>
              <w:t>-1</w:t>
            </w:r>
            <w:r>
              <w:rPr>
                <w:rFonts w:ascii="Arial" w:eastAsia="Arial" w:hAnsi="Arial" w:cs="Arial"/>
                <w:sz w:val="14"/>
                <w:szCs w:val="14"/>
              </w:rPr>
              <w:t xml:space="preserve"> day</w:t>
            </w:r>
            <w:r>
              <w:rPr>
                <w:rFonts w:ascii="Arial" w:eastAsia="Arial" w:hAnsi="Arial" w:cs="Arial"/>
                <w:sz w:val="14"/>
                <w:szCs w:val="14"/>
                <w:vertAlign w:val="superscript"/>
              </w:rPr>
              <w:t>-1</w:t>
            </w:r>
          </w:p>
        </w:tc>
        <w:tc>
          <w:tcPr>
            <w:tcW w:w="1183" w:type="dxa"/>
            <w:vAlign w:val="bottom"/>
          </w:tcPr>
          <w:p w14:paraId="50A17EA1" w14:textId="72D05650" w:rsidR="006472B5" w:rsidRPr="006472B5" w:rsidRDefault="006472B5">
            <w:pPr>
              <w:pStyle w:val="normal0"/>
              <w:jc w:val="center"/>
              <w:rPr>
                <w:rFonts w:ascii="Arial" w:hAnsi="Arial" w:cs="Arial"/>
                <w:sz w:val="14"/>
                <w:szCs w:val="14"/>
              </w:rPr>
            </w:pPr>
            <w:r w:rsidRPr="006472B5">
              <w:rPr>
                <w:rFonts w:ascii="Arial" w:eastAsia="Calibri" w:hAnsi="Arial" w:cs="Arial"/>
                <w:sz w:val="14"/>
                <w:szCs w:val="14"/>
              </w:rPr>
              <w:t>45.2 (39.8-52.3)</w:t>
            </w:r>
          </w:p>
        </w:tc>
        <w:tc>
          <w:tcPr>
            <w:tcW w:w="1236" w:type="dxa"/>
            <w:vAlign w:val="bottom"/>
          </w:tcPr>
          <w:p w14:paraId="5E83CBF1" w14:textId="467460C4" w:rsidR="006472B5" w:rsidRPr="006472B5" w:rsidRDefault="006472B5">
            <w:pPr>
              <w:pStyle w:val="normal0"/>
              <w:jc w:val="center"/>
              <w:rPr>
                <w:rFonts w:ascii="Arial" w:hAnsi="Arial" w:cs="Arial"/>
                <w:sz w:val="14"/>
                <w:szCs w:val="14"/>
              </w:rPr>
            </w:pPr>
            <w:r w:rsidRPr="006472B5">
              <w:rPr>
                <w:rFonts w:ascii="Arial" w:eastAsia="Calibri" w:hAnsi="Arial" w:cs="Arial"/>
                <w:sz w:val="14"/>
                <w:szCs w:val="14"/>
              </w:rPr>
              <w:t>0.0763 (0.0544-0.1314)</w:t>
            </w:r>
          </w:p>
        </w:tc>
        <w:tc>
          <w:tcPr>
            <w:tcW w:w="1236" w:type="dxa"/>
            <w:vAlign w:val="center"/>
          </w:tcPr>
          <w:p w14:paraId="0133B425" w14:textId="68BA942C" w:rsidR="006472B5" w:rsidRDefault="00B554DE">
            <w:pPr>
              <w:pStyle w:val="normal0"/>
              <w:jc w:val="center"/>
            </w:pPr>
            <w:r>
              <w:rPr>
                <w:rFonts w:ascii="Arial" w:eastAsia="Arial" w:hAnsi="Arial" w:cs="Arial"/>
                <w:sz w:val="14"/>
                <w:szCs w:val="14"/>
              </w:rPr>
              <w:t>19.8 (16.5-22.9</w:t>
            </w:r>
            <w:r w:rsidR="006472B5">
              <w:rPr>
                <w:rFonts w:ascii="Arial" w:eastAsia="Arial" w:hAnsi="Arial" w:cs="Arial"/>
                <w:sz w:val="14"/>
                <w:szCs w:val="14"/>
              </w:rPr>
              <w:t>)</w:t>
            </w:r>
          </w:p>
        </w:tc>
        <w:tc>
          <w:tcPr>
            <w:tcW w:w="1344" w:type="dxa"/>
            <w:vAlign w:val="center"/>
          </w:tcPr>
          <w:p w14:paraId="3792AFE1" w14:textId="6DE48A75" w:rsidR="006472B5" w:rsidRDefault="009F636F">
            <w:pPr>
              <w:pStyle w:val="normal0"/>
              <w:jc w:val="center"/>
            </w:pPr>
            <w:r>
              <w:rPr>
                <w:rFonts w:ascii="Arial" w:eastAsia="Arial" w:hAnsi="Arial" w:cs="Arial"/>
                <w:sz w:val="14"/>
                <w:szCs w:val="14"/>
              </w:rPr>
              <w:t>9.27 (0.49-120.0</w:t>
            </w:r>
            <w:r w:rsidR="006472B5">
              <w:rPr>
                <w:rFonts w:ascii="Arial" w:eastAsia="Arial" w:hAnsi="Arial" w:cs="Arial"/>
                <w:sz w:val="14"/>
                <w:szCs w:val="14"/>
              </w:rPr>
              <w:t>)</w:t>
            </w:r>
          </w:p>
        </w:tc>
        <w:tc>
          <w:tcPr>
            <w:tcW w:w="1344" w:type="dxa"/>
            <w:vAlign w:val="center"/>
          </w:tcPr>
          <w:p w14:paraId="11722CAD" w14:textId="2A9691E8" w:rsidR="006472B5" w:rsidRDefault="003E380C">
            <w:pPr>
              <w:pStyle w:val="normal0"/>
              <w:jc w:val="center"/>
            </w:pPr>
            <w:r>
              <w:rPr>
                <w:rFonts w:ascii="Arial" w:eastAsia="Arial" w:hAnsi="Arial" w:cs="Arial"/>
                <w:sz w:val="14"/>
                <w:szCs w:val="14"/>
              </w:rPr>
              <w:t>0.000243 (0.00009-0.0065</w:t>
            </w:r>
            <w:r w:rsidR="006472B5">
              <w:rPr>
                <w:rFonts w:ascii="Arial" w:eastAsia="Arial" w:hAnsi="Arial" w:cs="Arial"/>
                <w:sz w:val="14"/>
                <w:szCs w:val="14"/>
              </w:rPr>
              <w:t>)</w:t>
            </w:r>
          </w:p>
        </w:tc>
        <w:tc>
          <w:tcPr>
            <w:tcW w:w="1235" w:type="dxa"/>
            <w:vAlign w:val="center"/>
          </w:tcPr>
          <w:p w14:paraId="642890EF" w14:textId="600CCE06" w:rsidR="006472B5" w:rsidRDefault="006472B5">
            <w:pPr>
              <w:pStyle w:val="normal0"/>
              <w:jc w:val="center"/>
            </w:pPr>
            <w:r>
              <w:rPr>
                <w:rFonts w:ascii="Arial" w:eastAsia="Arial" w:hAnsi="Arial" w:cs="Arial"/>
                <w:sz w:val="14"/>
                <w:szCs w:val="14"/>
              </w:rPr>
              <w:t>0</w:t>
            </w:r>
            <w:r w:rsidR="004D10D0">
              <w:rPr>
                <w:rFonts w:ascii="Arial" w:eastAsia="Arial" w:hAnsi="Arial" w:cs="Arial"/>
                <w:sz w:val="14"/>
                <w:szCs w:val="14"/>
              </w:rPr>
              <w:t>.000001 (0-0.608</w:t>
            </w:r>
            <w:r>
              <w:rPr>
                <w:rFonts w:ascii="Arial" w:eastAsia="Arial" w:hAnsi="Arial" w:cs="Arial"/>
                <w:sz w:val="14"/>
                <w:szCs w:val="14"/>
              </w:rPr>
              <w:t>)</w:t>
            </w:r>
          </w:p>
        </w:tc>
      </w:tr>
      <w:tr w:rsidR="006472B5" w14:paraId="65A51220" w14:textId="77777777" w:rsidTr="00080B7E">
        <w:trPr>
          <w:trHeight w:val="240"/>
        </w:trPr>
        <w:tc>
          <w:tcPr>
            <w:tcW w:w="672" w:type="dxa"/>
            <w:vAlign w:val="center"/>
          </w:tcPr>
          <w:p w14:paraId="3C3EB1A9" w14:textId="77777777" w:rsidR="006472B5" w:rsidRDefault="006472B5">
            <w:pPr>
              <w:pStyle w:val="normal0"/>
              <w:jc w:val="center"/>
            </w:pPr>
            <w:proofErr w:type="gramStart"/>
            <w:r>
              <w:rPr>
                <w:rFonts w:ascii="Arial" w:eastAsia="Arial" w:hAnsi="Arial" w:cs="Arial"/>
                <w:sz w:val="14"/>
                <w:szCs w:val="14"/>
              </w:rPr>
              <w:t>k3</w:t>
            </w:r>
            <w:proofErr w:type="gramEnd"/>
          </w:p>
        </w:tc>
        <w:tc>
          <w:tcPr>
            <w:tcW w:w="606" w:type="dxa"/>
            <w:vAlign w:val="center"/>
          </w:tcPr>
          <w:p w14:paraId="4C328267" w14:textId="77777777" w:rsidR="006472B5" w:rsidRDefault="006472B5">
            <w:pPr>
              <w:pStyle w:val="normal0"/>
              <w:jc w:val="center"/>
            </w:pPr>
            <w:proofErr w:type="gramStart"/>
            <w:r>
              <w:rPr>
                <w:rFonts w:ascii="Arial" w:eastAsia="Arial" w:hAnsi="Arial" w:cs="Arial"/>
                <w:sz w:val="14"/>
                <w:szCs w:val="14"/>
              </w:rPr>
              <w:t>day</w:t>
            </w:r>
            <w:proofErr w:type="gramEnd"/>
            <w:r>
              <w:rPr>
                <w:rFonts w:ascii="Arial" w:eastAsia="Arial" w:hAnsi="Arial" w:cs="Arial"/>
                <w:sz w:val="14"/>
                <w:szCs w:val="14"/>
                <w:vertAlign w:val="superscript"/>
              </w:rPr>
              <w:t>-1</w:t>
            </w:r>
          </w:p>
        </w:tc>
        <w:tc>
          <w:tcPr>
            <w:tcW w:w="1183" w:type="dxa"/>
            <w:vAlign w:val="bottom"/>
          </w:tcPr>
          <w:p w14:paraId="48C18A60" w14:textId="18CA3BCD" w:rsidR="006472B5" w:rsidRPr="006472B5" w:rsidRDefault="006472B5">
            <w:pPr>
              <w:pStyle w:val="normal0"/>
              <w:jc w:val="center"/>
              <w:rPr>
                <w:rFonts w:ascii="Arial" w:hAnsi="Arial" w:cs="Arial"/>
                <w:sz w:val="14"/>
                <w:szCs w:val="14"/>
              </w:rPr>
            </w:pPr>
            <w:r w:rsidRPr="006472B5">
              <w:rPr>
                <w:rFonts w:ascii="Arial" w:eastAsia="Calibri" w:hAnsi="Arial" w:cs="Arial"/>
                <w:sz w:val="14"/>
                <w:szCs w:val="14"/>
              </w:rPr>
              <w:t>261 (9.2-338)</w:t>
            </w:r>
          </w:p>
        </w:tc>
        <w:tc>
          <w:tcPr>
            <w:tcW w:w="1236" w:type="dxa"/>
            <w:vAlign w:val="bottom"/>
          </w:tcPr>
          <w:p w14:paraId="43E6605D" w14:textId="386688F6" w:rsidR="006472B5" w:rsidRPr="006472B5" w:rsidRDefault="006472B5">
            <w:pPr>
              <w:pStyle w:val="normal0"/>
              <w:jc w:val="center"/>
              <w:rPr>
                <w:rFonts w:ascii="Arial" w:hAnsi="Arial" w:cs="Arial"/>
                <w:sz w:val="14"/>
                <w:szCs w:val="14"/>
              </w:rPr>
            </w:pPr>
            <w:r w:rsidRPr="006472B5">
              <w:rPr>
                <w:rFonts w:ascii="Arial" w:eastAsia="Calibri" w:hAnsi="Arial" w:cs="Arial"/>
                <w:sz w:val="14"/>
                <w:szCs w:val="14"/>
              </w:rPr>
              <w:t>476 (0-29980)</w:t>
            </w:r>
          </w:p>
        </w:tc>
        <w:tc>
          <w:tcPr>
            <w:tcW w:w="1236" w:type="dxa"/>
            <w:vAlign w:val="center"/>
          </w:tcPr>
          <w:p w14:paraId="780BA14E" w14:textId="58311656" w:rsidR="006472B5" w:rsidRDefault="00B554DE">
            <w:pPr>
              <w:pStyle w:val="normal0"/>
              <w:jc w:val="center"/>
            </w:pPr>
            <w:r>
              <w:rPr>
                <w:rFonts w:ascii="Arial" w:eastAsia="Arial" w:hAnsi="Arial" w:cs="Arial"/>
                <w:sz w:val="14"/>
                <w:szCs w:val="14"/>
              </w:rPr>
              <w:t>247 (8.7-1724</w:t>
            </w:r>
            <w:r w:rsidR="006472B5">
              <w:rPr>
                <w:rFonts w:ascii="Arial" w:eastAsia="Arial" w:hAnsi="Arial" w:cs="Arial"/>
                <w:sz w:val="14"/>
                <w:szCs w:val="14"/>
              </w:rPr>
              <w:t>)</w:t>
            </w:r>
          </w:p>
        </w:tc>
        <w:tc>
          <w:tcPr>
            <w:tcW w:w="1344" w:type="dxa"/>
            <w:vAlign w:val="center"/>
          </w:tcPr>
          <w:p w14:paraId="71381F26" w14:textId="19EF863D" w:rsidR="006472B5" w:rsidRDefault="009F636F">
            <w:pPr>
              <w:pStyle w:val="normal0"/>
              <w:jc w:val="center"/>
            </w:pPr>
            <w:r>
              <w:rPr>
                <w:rFonts w:ascii="Arial" w:eastAsia="Arial" w:hAnsi="Arial" w:cs="Arial"/>
                <w:sz w:val="14"/>
                <w:szCs w:val="14"/>
              </w:rPr>
              <w:t>23.5</w:t>
            </w:r>
            <w:r w:rsidR="00766FEA">
              <w:rPr>
                <w:rFonts w:ascii="Arial" w:eastAsia="Arial" w:hAnsi="Arial" w:cs="Arial"/>
                <w:sz w:val="14"/>
                <w:szCs w:val="14"/>
              </w:rPr>
              <w:t xml:space="preserve"> (1.2-297.2</w:t>
            </w:r>
            <w:r w:rsidR="006472B5">
              <w:rPr>
                <w:rFonts w:ascii="Arial" w:eastAsia="Arial" w:hAnsi="Arial" w:cs="Arial"/>
                <w:sz w:val="14"/>
                <w:szCs w:val="14"/>
              </w:rPr>
              <w:t>)</w:t>
            </w:r>
          </w:p>
        </w:tc>
        <w:tc>
          <w:tcPr>
            <w:tcW w:w="1344" w:type="dxa"/>
            <w:vAlign w:val="center"/>
          </w:tcPr>
          <w:p w14:paraId="110FF1B7" w14:textId="0EEB7FCE" w:rsidR="006472B5" w:rsidRDefault="003E380C">
            <w:pPr>
              <w:pStyle w:val="normal0"/>
              <w:jc w:val="center"/>
            </w:pPr>
            <w:r>
              <w:rPr>
                <w:rFonts w:ascii="Arial" w:eastAsia="Arial" w:hAnsi="Arial" w:cs="Arial"/>
                <w:sz w:val="14"/>
                <w:szCs w:val="14"/>
              </w:rPr>
              <w:t>0.421 (0.0-295.6</w:t>
            </w:r>
            <w:r w:rsidR="006472B5">
              <w:rPr>
                <w:rFonts w:ascii="Arial" w:eastAsia="Arial" w:hAnsi="Arial" w:cs="Arial"/>
                <w:sz w:val="14"/>
                <w:szCs w:val="14"/>
              </w:rPr>
              <w:t>)</w:t>
            </w:r>
          </w:p>
        </w:tc>
        <w:tc>
          <w:tcPr>
            <w:tcW w:w="1235" w:type="dxa"/>
            <w:vAlign w:val="center"/>
          </w:tcPr>
          <w:p w14:paraId="2BB8A52A" w14:textId="0BC6B770" w:rsidR="006472B5" w:rsidRDefault="004D10D0">
            <w:pPr>
              <w:pStyle w:val="normal0"/>
              <w:jc w:val="center"/>
            </w:pPr>
            <w:r>
              <w:rPr>
                <w:rFonts w:ascii="Arial" w:eastAsia="Arial" w:hAnsi="Arial" w:cs="Arial"/>
                <w:sz w:val="14"/>
                <w:szCs w:val="14"/>
              </w:rPr>
              <w:t>34.9</w:t>
            </w:r>
            <w:r w:rsidR="006472B5">
              <w:rPr>
                <w:rFonts w:ascii="Arial" w:eastAsia="Arial" w:hAnsi="Arial" w:cs="Arial"/>
                <w:sz w:val="14"/>
                <w:szCs w:val="14"/>
              </w:rPr>
              <w:t xml:space="preserve"> (0-inf)</w:t>
            </w:r>
          </w:p>
        </w:tc>
      </w:tr>
      <w:tr w:rsidR="006472B5" w14:paraId="0C6C506E" w14:textId="77777777" w:rsidTr="00080B7E">
        <w:trPr>
          <w:trHeight w:val="240"/>
        </w:trPr>
        <w:tc>
          <w:tcPr>
            <w:tcW w:w="672" w:type="dxa"/>
            <w:vAlign w:val="center"/>
          </w:tcPr>
          <w:p w14:paraId="08B5359D" w14:textId="77777777" w:rsidR="006472B5" w:rsidRDefault="006472B5">
            <w:pPr>
              <w:pStyle w:val="normal0"/>
              <w:jc w:val="center"/>
            </w:pPr>
            <w:proofErr w:type="gramStart"/>
            <w:r>
              <w:rPr>
                <w:rFonts w:ascii="Arial" w:eastAsia="Arial" w:hAnsi="Arial" w:cs="Arial"/>
                <w:sz w:val="14"/>
                <w:szCs w:val="14"/>
              </w:rPr>
              <w:t>k4</w:t>
            </w:r>
            <w:proofErr w:type="gramEnd"/>
          </w:p>
        </w:tc>
        <w:tc>
          <w:tcPr>
            <w:tcW w:w="606" w:type="dxa"/>
            <w:vAlign w:val="center"/>
          </w:tcPr>
          <w:p w14:paraId="2AD66F4D" w14:textId="77777777" w:rsidR="006472B5" w:rsidRDefault="006472B5">
            <w:pPr>
              <w:pStyle w:val="normal0"/>
              <w:jc w:val="center"/>
            </w:pPr>
            <w:proofErr w:type="gramStart"/>
            <w:r>
              <w:rPr>
                <w:rFonts w:ascii="Arial" w:eastAsia="Arial" w:hAnsi="Arial" w:cs="Arial"/>
                <w:sz w:val="14"/>
                <w:szCs w:val="14"/>
              </w:rPr>
              <w:t>day</w:t>
            </w:r>
            <w:proofErr w:type="gramEnd"/>
            <w:r>
              <w:rPr>
                <w:rFonts w:ascii="Arial" w:eastAsia="Arial" w:hAnsi="Arial" w:cs="Arial"/>
                <w:sz w:val="14"/>
                <w:szCs w:val="14"/>
                <w:vertAlign w:val="superscript"/>
              </w:rPr>
              <w:t>-1</w:t>
            </w:r>
          </w:p>
        </w:tc>
        <w:tc>
          <w:tcPr>
            <w:tcW w:w="1183" w:type="dxa"/>
            <w:vAlign w:val="bottom"/>
          </w:tcPr>
          <w:p w14:paraId="7F789757" w14:textId="51BDF456" w:rsidR="006472B5" w:rsidRPr="006472B5" w:rsidRDefault="006472B5">
            <w:pPr>
              <w:pStyle w:val="normal0"/>
              <w:jc w:val="center"/>
              <w:rPr>
                <w:rFonts w:ascii="Arial" w:hAnsi="Arial" w:cs="Arial"/>
                <w:sz w:val="14"/>
                <w:szCs w:val="14"/>
              </w:rPr>
            </w:pPr>
            <w:r w:rsidRPr="006472B5">
              <w:rPr>
                <w:rFonts w:ascii="Arial" w:eastAsia="Calibri" w:hAnsi="Arial" w:cs="Arial"/>
                <w:sz w:val="14"/>
                <w:szCs w:val="14"/>
              </w:rPr>
              <w:t>5.92 (4.65-7.29)</w:t>
            </w:r>
          </w:p>
        </w:tc>
        <w:tc>
          <w:tcPr>
            <w:tcW w:w="1236" w:type="dxa"/>
            <w:vAlign w:val="bottom"/>
          </w:tcPr>
          <w:p w14:paraId="5052D18D" w14:textId="3EEDDB36" w:rsidR="006472B5" w:rsidRPr="006472B5" w:rsidRDefault="006472B5">
            <w:pPr>
              <w:pStyle w:val="normal0"/>
              <w:jc w:val="center"/>
              <w:rPr>
                <w:rFonts w:ascii="Arial" w:hAnsi="Arial" w:cs="Arial"/>
                <w:sz w:val="14"/>
                <w:szCs w:val="14"/>
              </w:rPr>
            </w:pPr>
            <w:r w:rsidRPr="006472B5">
              <w:rPr>
                <w:rFonts w:ascii="Arial" w:eastAsia="Calibri" w:hAnsi="Arial" w:cs="Arial"/>
                <w:sz w:val="14"/>
                <w:szCs w:val="14"/>
              </w:rPr>
              <w:t>8.75 (6.87-10.78)</w:t>
            </w:r>
          </w:p>
        </w:tc>
        <w:tc>
          <w:tcPr>
            <w:tcW w:w="1236" w:type="dxa"/>
            <w:vAlign w:val="center"/>
          </w:tcPr>
          <w:p w14:paraId="143DEC43" w14:textId="32414382" w:rsidR="006472B5" w:rsidRDefault="00B554DE">
            <w:pPr>
              <w:pStyle w:val="normal0"/>
              <w:jc w:val="center"/>
            </w:pPr>
            <w:r>
              <w:rPr>
                <w:rFonts w:ascii="Arial" w:eastAsia="Arial" w:hAnsi="Arial" w:cs="Arial"/>
                <w:sz w:val="14"/>
                <w:szCs w:val="14"/>
              </w:rPr>
              <w:t>6.60 (5.18-8.51</w:t>
            </w:r>
            <w:r w:rsidR="006472B5">
              <w:rPr>
                <w:rFonts w:ascii="Arial" w:eastAsia="Arial" w:hAnsi="Arial" w:cs="Arial"/>
                <w:sz w:val="14"/>
                <w:szCs w:val="14"/>
              </w:rPr>
              <w:t>)</w:t>
            </w:r>
          </w:p>
        </w:tc>
        <w:tc>
          <w:tcPr>
            <w:tcW w:w="1344" w:type="dxa"/>
            <w:vAlign w:val="center"/>
          </w:tcPr>
          <w:p w14:paraId="269D783E" w14:textId="0C2E8C58" w:rsidR="006472B5" w:rsidRDefault="009B1248">
            <w:pPr>
              <w:pStyle w:val="normal0"/>
              <w:jc w:val="center"/>
            </w:pPr>
            <w:r>
              <w:rPr>
                <w:rFonts w:ascii="Arial" w:eastAsia="Arial" w:hAnsi="Arial" w:cs="Arial"/>
                <w:sz w:val="14"/>
                <w:szCs w:val="14"/>
              </w:rPr>
              <w:t>5.42 (4.26-7.00</w:t>
            </w:r>
            <w:r w:rsidR="006472B5">
              <w:rPr>
                <w:rFonts w:ascii="Arial" w:eastAsia="Arial" w:hAnsi="Arial" w:cs="Arial"/>
                <w:sz w:val="14"/>
                <w:szCs w:val="14"/>
              </w:rPr>
              <w:t>)</w:t>
            </w:r>
          </w:p>
        </w:tc>
        <w:tc>
          <w:tcPr>
            <w:tcW w:w="1344" w:type="dxa"/>
            <w:vAlign w:val="center"/>
          </w:tcPr>
          <w:p w14:paraId="021ABB51" w14:textId="0B1691C6" w:rsidR="006472B5" w:rsidRDefault="003E380C">
            <w:pPr>
              <w:pStyle w:val="normal0"/>
              <w:jc w:val="center"/>
            </w:pPr>
            <w:r>
              <w:rPr>
                <w:rFonts w:ascii="Arial" w:eastAsia="Arial" w:hAnsi="Arial" w:cs="Arial"/>
                <w:sz w:val="14"/>
                <w:szCs w:val="14"/>
              </w:rPr>
              <w:t>8.92 (7.00-11.51</w:t>
            </w:r>
            <w:r w:rsidR="006472B5">
              <w:rPr>
                <w:rFonts w:ascii="Arial" w:eastAsia="Arial" w:hAnsi="Arial" w:cs="Arial"/>
                <w:sz w:val="14"/>
                <w:szCs w:val="14"/>
              </w:rPr>
              <w:t>)</w:t>
            </w:r>
          </w:p>
        </w:tc>
        <w:tc>
          <w:tcPr>
            <w:tcW w:w="1235" w:type="dxa"/>
            <w:vAlign w:val="center"/>
          </w:tcPr>
          <w:p w14:paraId="5690CF44" w14:textId="7D13AA83" w:rsidR="006472B5" w:rsidRDefault="004D10D0">
            <w:pPr>
              <w:pStyle w:val="normal0"/>
              <w:jc w:val="center"/>
            </w:pPr>
            <w:r>
              <w:rPr>
                <w:rFonts w:ascii="Arial" w:eastAsia="Arial" w:hAnsi="Arial" w:cs="Arial"/>
                <w:sz w:val="14"/>
                <w:szCs w:val="14"/>
              </w:rPr>
              <w:t>8.79 (6.90-10.82</w:t>
            </w:r>
            <w:r w:rsidR="006472B5">
              <w:rPr>
                <w:rFonts w:ascii="Arial" w:eastAsia="Arial" w:hAnsi="Arial" w:cs="Arial"/>
                <w:sz w:val="14"/>
                <w:szCs w:val="14"/>
              </w:rPr>
              <w:t>)</w:t>
            </w:r>
          </w:p>
        </w:tc>
      </w:tr>
      <w:tr w:rsidR="006472B5" w14:paraId="4780C549" w14:textId="77777777" w:rsidTr="00080B7E">
        <w:trPr>
          <w:trHeight w:val="240"/>
        </w:trPr>
        <w:tc>
          <w:tcPr>
            <w:tcW w:w="672" w:type="dxa"/>
            <w:vAlign w:val="center"/>
          </w:tcPr>
          <w:p w14:paraId="32564595" w14:textId="77777777" w:rsidR="006472B5" w:rsidRDefault="006472B5">
            <w:pPr>
              <w:pStyle w:val="normal0"/>
              <w:jc w:val="center"/>
            </w:pPr>
            <w:proofErr w:type="gramStart"/>
            <w:r>
              <w:rPr>
                <w:rFonts w:ascii="Arial" w:eastAsia="Arial" w:hAnsi="Arial" w:cs="Arial"/>
                <w:sz w:val="14"/>
                <w:szCs w:val="14"/>
              </w:rPr>
              <w:t>k5</w:t>
            </w:r>
            <w:proofErr w:type="gramEnd"/>
          </w:p>
        </w:tc>
        <w:tc>
          <w:tcPr>
            <w:tcW w:w="606" w:type="dxa"/>
            <w:vAlign w:val="center"/>
          </w:tcPr>
          <w:p w14:paraId="32B832C1" w14:textId="77777777" w:rsidR="006472B5" w:rsidRDefault="006472B5">
            <w:pPr>
              <w:pStyle w:val="normal0"/>
              <w:jc w:val="center"/>
            </w:pPr>
            <w:proofErr w:type="spellStart"/>
            <w:proofErr w:type="gramStart"/>
            <w:r>
              <w:rPr>
                <w:rFonts w:ascii="Arial" w:eastAsia="Arial" w:hAnsi="Arial" w:cs="Arial"/>
                <w:sz w:val="14"/>
                <w:szCs w:val="14"/>
              </w:rPr>
              <w:t>uL</w:t>
            </w:r>
            <w:proofErr w:type="spellEnd"/>
            <w:proofErr w:type="gramEnd"/>
            <w:r>
              <w:rPr>
                <w:rFonts w:ascii="Arial" w:eastAsia="Arial" w:hAnsi="Arial" w:cs="Arial"/>
                <w:sz w:val="14"/>
                <w:szCs w:val="14"/>
              </w:rPr>
              <w:t xml:space="preserve"> day</w:t>
            </w:r>
            <w:r>
              <w:rPr>
                <w:rFonts w:ascii="Arial" w:eastAsia="Arial" w:hAnsi="Arial" w:cs="Arial"/>
                <w:sz w:val="14"/>
                <w:szCs w:val="14"/>
                <w:vertAlign w:val="superscript"/>
              </w:rPr>
              <w:t xml:space="preserve">-1 </w:t>
            </w:r>
            <w:r>
              <w:rPr>
                <w:rFonts w:ascii="Arial" w:eastAsia="Arial" w:hAnsi="Arial" w:cs="Arial"/>
                <w:sz w:val="14"/>
                <w:szCs w:val="14"/>
              </w:rPr>
              <w:t>FFU</w:t>
            </w:r>
            <w:r>
              <w:rPr>
                <w:rFonts w:ascii="Arial" w:eastAsia="Arial" w:hAnsi="Arial" w:cs="Arial"/>
                <w:sz w:val="14"/>
                <w:szCs w:val="14"/>
                <w:vertAlign w:val="superscript"/>
              </w:rPr>
              <w:t>-1</w:t>
            </w:r>
          </w:p>
        </w:tc>
        <w:tc>
          <w:tcPr>
            <w:tcW w:w="1183" w:type="dxa"/>
            <w:vAlign w:val="bottom"/>
          </w:tcPr>
          <w:p w14:paraId="5F7FF6D8" w14:textId="76CA5058" w:rsidR="006472B5" w:rsidRPr="006472B5" w:rsidRDefault="006472B5">
            <w:pPr>
              <w:pStyle w:val="normal0"/>
              <w:jc w:val="center"/>
              <w:rPr>
                <w:rFonts w:ascii="Arial" w:hAnsi="Arial" w:cs="Arial"/>
                <w:sz w:val="14"/>
                <w:szCs w:val="14"/>
              </w:rPr>
            </w:pPr>
            <w:r w:rsidRPr="006472B5">
              <w:rPr>
                <w:rFonts w:ascii="Arial" w:eastAsia="Calibri" w:hAnsi="Arial" w:cs="Arial"/>
                <w:sz w:val="14"/>
                <w:szCs w:val="14"/>
              </w:rPr>
              <w:t>0.00991 (0.00850-0.0115)</w:t>
            </w:r>
          </w:p>
        </w:tc>
        <w:tc>
          <w:tcPr>
            <w:tcW w:w="1236" w:type="dxa"/>
            <w:vAlign w:val="bottom"/>
          </w:tcPr>
          <w:p w14:paraId="4B2DA96A" w14:textId="279CF55F" w:rsidR="006472B5" w:rsidRPr="006472B5" w:rsidRDefault="006472B5">
            <w:pPr>
              <w:pStyle w:val="normal0"/>
              <w:jc w:val="center"/>
              <w:rPr>
                <w:rFonts w:ascii="Arial" w:hAnsi="Arial" w:cs="Arial"/>
                <w:sz w:val="14"/>
                <w:szCs w:val="14"/>
              </w:rPr>
            </w:pPr>
            <w:r w:rsidRPr="006472B5">
              <w:rPr>
                <w:rFonts w:ascii="Arial" w:eastAsia="Calibri" w:hAnsi="Arial" w:cs="Arial"/>
                <w:sz w:val="14"/>
                <w:szCs w:val="14"/>
              </w:rPr>
              <w:t>0.0177 (0.0147-0.0208)</w:t>
            </w:r>
          </w:p>
        </w:tc>
        <w:tc>
          <w:tcPr>
            <w:tcW w:w="1236" w:type="dxa"/>
            <w:vAlign w:val="center"/>
          </w:tcPr>
          <w:p w14:paraId="31C92565" w14:textId="12F933AB" w:rsidR="006472B5" w:rsidRDefault="0094166B">
            <w:pPr>
              <w:pStyle w:val="normal0"/>
              <w:jc w:val="center"/>
            </w:pPr>
            <w:r>
              <w:rPr>
                <w:rFonts w:ascii="Arial" w:eastAsia="Arial" w:hAnsi="Arial" w:cs="Arial"/>
                <w:sz w:val="14"/>
                <w:szCs w:val="14"/>
              </w:rPr>
              <w:t>0.0121</w:t>
            </w:r>
            <w:r w:rsidR="006472B5">
              <w:rPr>
                <w:rFonts w:ascii="Arial" w:eastAsia="Arial" w:hAnsi="Arial" w:cs="Arial"/>
                <w:sz w:val="14"/>
                <w:szCs w:val="14"/>
              </w:rPr>
              <w:t xml:space="preserve"> </w:t>
            </w:r>
            <w:r>
              <w:rPr>
                <w:rFonts w:ascii="Arial" w:eastAsia="Arial" w:hAnsi="Arial" w:cs="Arial"/>
                <w:sz w:val="14"/>
                <w:szCs w:val="14"/>
              </w:rPr>
              <w:t>(0.0101-0.0142</w:t>
            </w:r>
            <w:r w:rsidR="006472B5">
              <w:rPr>
                <w:rFonts w:ascii="Arial" w:eastAsia="Arial" w:hAnsi="Arial" w:cs="Arial"/>
                <w:sz w:val="14"/>
                <w:szCs w:val="14"/>
              </w:rPr>
              <w:t>)</w:t>
            </w:r>
          </w:p>
        </w:tc>
        <w:tc>
          <w:tcPr>
            <w:tcW w:w="1344" w:type="dxa"/>
            <w:vAlign w:val="center"/>
          </w:tcPr>
          <w:p w14:paraId="0CAC5E06" w14:textId="3A0E25A0" w:rsidR="006472B5" w:rsidRDefault="004A690C">
            <w:pPr>
              <w:pStyle w:val="normal0"/>
              <w:jc w:val="center"/>
            </w:pPr>
            <w:r>
              <w:rPr>
                <w:rFonts w:ascii="Arial" w:eastAsia="Arial" w:hAnsi="Arial" w:cs="Arial"/>
                <w:sz w:val="14"/>
                <w:szCs w:val="14"/>
              </w:rPr>
              <w:t>0.0102 (0.0088-0.0118</w:t>
            </w:r>
            <w:r w:rsidR="006472B5">
              <w:rPr>
                <w:rFonts w:ascii="Arial" w:eastAsia="Arial" w:hAnsi="Arial" w:cs="Arial"/>
                <w:sz w:val="14"/>
                <w:szCs w:val="14"/>
              </w:rPr>
              <w:t>)</w:t>
            </w:r>
          </w:p>
        </w:tc>
        <w:tc>
          <w:tcPr>
            <w:tcW w:w="1344" w:type="dxa"/>
            <w:vAlign w:val="center"/>
          </w:tcPr>
          <w:p w14:paraId="4B9FC6D9" w14:textId="3B1BF741" w:rsidR="006472B5" w:rsidRDefault="003E380C">
            <w:pPr>
              <w:pStyle w:val="normal0"/>
              <w:jc w:val="center"/>
            </w:pPr>
            <w:r>
              <w:rPr>
                <w:rFonts w:ascii="Arial" w:eastAsia="Arial" w:hAnsi="Arial" w:cs="Arial"/>
                <w:sz w:val="14"/>
                <w:szCs w:val="14"/>
              </w:rPr>
              <w:t>0.0183</w:t>
            </w:r>
            <w:r w:rsidR="00FA28DE">
              <w:rPr>
                <w:rFonts w:ascii="Arial" w:eastAsia="Arial" w:hAnsi="Arial" w:cs="Arial"/>
                <w:sz w:val="14"/>
                <w:szCs w:val="14"/>
              </w:rPr>
              <w:t xml:space="preserve"> (0.0148-0.0226</w:t>
            </w:r>
            <w:r w:rsidR="006472B5">
              <w:rPr>
                <w:rFonts w:ascii="Arial" w:eastAsia="Arial" w:hAnsi="Arial" w:cs="Arial"/>
                <w:sz w:val="14"/>
                <w:szCs w:val="14"/>
              </w:rPr>
              <w:t>)</w:t>
            </w:r>
          </w:p>
        </w:tc>
        <w:tc>
          <w:tcPr>
            <w:tcW w:w="1235" w:type="dxa"/>
            <w:vAlign w:val="center"/>
          </w:tcPr>
          <w:p w14:paraId="4B9C554A" w14:textId="04FA916C" w:rsidR="006472B5" w:rsidRDefault="004D10D0">
            <w:pPr>
              <w:pStyle w:val="normal0"/>
              <w:jc w:val="center"/>
            </w:pPr>
            <w:r>
              <w:rPr>
                <w:rFonts w:ascii="Arial" w:eastAsia="Arial" w:hAnsi="Arial" w:cs="Arial"/>
                <w:sz w:val="14"/>
                <w:szCs w:val="14"/>
              </w:rPr>
              <w:t>0.0177 (0.0147-0.0218</w:t>
            </w:r>
            <w:r w:rsidR="006472B5">
              <w:rPr>
                <w:rFonts w:ascii="Arial" w:eastAsia="Arial" w:hAnsi="Arial" w:cs="Arial"/>
                <w:sz w:val="14"/>
                <w:szCs w:val="14"/>
              </w:rPr>
              <w:t>)</w:t>
            </w:r>
          </w:p>
        </w:tc>
      </w:tr>
      <w:tr w:rsidR="006472B5" w14:paraId="52B6FD17" w14:textId="77777777" w:rsidTr="00080B7E">
        <w:trPr>
          <w:trHeight w:val="240"/>
        </w:trPr>
        <w:tc>
          <w:tcPr>
            <w:tcW w:w="672" w:type="dxa"/>
            <w:vAlign w:val="center"/>
          </w:tcPr>
          <w:p w14:paraId="321D4D59" w14:textId="77777777" w:rsidR="006472B5" w:rsidRDefault="006472B5">
            <w:pPr>
              <w:pStyle w:val="normal0"/>
              <w:jc w:val="center"/>
            </w:pPr>
            <w:proofErr w:type="gramStart"/>
            <w:r>
              <w:rPr>
                <w:rFonts w:ascii="Arial" w:eastAsia="Arial" w:hAnsi="Arial" w:cs="Arial"/>
                <w:sz w:val="14"/>
                <w:szCs w:val="14"/>
              </w:rPr>
              <w:t>k6</w:t>
            </w:r>
            <w:proofErr w:type="gramEnd"/>
          </w:p>
        </w:tc>
        <w:tc>
          <w:tcPr>
            <w:tcW w:w="606" w:type="dxa"/>
            <w:vAlign w:val="center"/>
          </w:tcPr>
          <w:p w14:paraId="292D2248" w14:textId="77777777" w:rsidR="006472B5" w:rsidRDefault="006472B5">
            <w:pPr>
              <w:pStyle w:val="normal0"/>
              <w:jc w:val="center"/>
            </w:pPr>
            <w:r>
              <w:rPr>
                <w:rFonts w:ascii="Arial" w:eastAsia="Arial" w:hAnsi="Arial" w:cs="Arial"/>
                <w:sz w:val="14"/>
                <w:szCs w:val="14"/>
              </w:rPr>
              <w:t>FFU cell</w:t>
            </w:r>
            <w:r>
              <w:rPr>
                <w:rFonts w:ascii="Arial" w:eastAsia="Arial" w:hAnsi="Arial" w:cs="Arial"/>
                <w:sz w:val="14"/>
                <w:szCs w:val="14"/>
                <w:vertAlign w:val="superscript"/>
              </w:rPr>
              <w:t>-1</w:t>
            </w:r>
            <w:r>
              <w:rPr>
                <w:rFonts w:ascii="Arial" w:eastAsia="Arial" w:hAnsi="Arial" w:cs="Arial"/>
                <w:sz w:val="14"/>
                <w:szCs w:val="14"/>
              </w:rPr>
              <w:t xml:space="preserve"> day</w:t>
            </w:r>
            <w:r>
              <w:rPr>
                <w:rFonts w:ascii="Arial" w:eastAsia="Arial" w:hAnsi="Arial" w:cs="Arial"/>
                <w:sz w:val="14"/>
                <w:szCs w:val="14"/>
                <w:vertAlign w:val="superscript"/>
              </w:rPr>
              <w:t>-1</w:t>
            </w:r>
          </w:p>
        </w:tc>
        <w:tc>
          <w:tcPr>
            <w:tcW w:w="1183" w:type="dxa"/>
            <w:vAlign w:val="bottom"/>
          </w:tcPr>
          <w:p w14:paraId="4388DA8E" w14:textId="3E64141A" w:rsidR="006472B5" w:rsidRPr="006472B5" w:rsidRDefault="006472B5">
            <w:pPr>
              <w:pStyle w:val="normal0"/>
              <w:jc w:val="center"/>
              <w:rPr>
                <w:rFonts w:ascii="Arial" w:hAnsi="Arial" w:cs="Arial"/>
                <w:sz w:val="14"/>
                <w:szCs w:val="14"/>
              </w:rPr>
            </w:pPr>
            <w:r w:rsidRPr="006472B5">
              <w:rPr>
                <w:rFonts w:ascii="Arial" w:eastAsia="Calibri" w:hAnsi="Arial" w:cs="Arial"/>
                <w:sz w:val="14"/>
                <w:szCs w:val="14"/>
              </w:rPr>
              <w:t>19.0 (18.1-20.0)</w:t>
            </w:r>
          </w:p>
        </w:tc>
        <w:tc>
          <w:tcPr>
            <w:tcW w:w="1236" w:type="dxa"/>
            <w:vAlign w:val="bottom"/>
          </w:tcPr>
          <w:p w14:paraId="74354E7A" w14:textId="3751FF87" w:rsidR="006472B5" w:rsidRPr="006472B5" w:rsidRDefault="006472B5">
            <w:pPr>
              <w:pStyle w:val="normal0"/>
              <w:jc w:val="center"/>
              <w:rPr>
                <w:rFonts w:ascii="Arial" w:hAnsi="Arial" w:cs="Arial"/>
                <w:sz w:val="14"/>
                <w:szCs w:val="14"/>
              </w:rPr>
            </w:pPr>
            <w:r w:rsidRPr="006472B5">
              <w:rPr>
                <w:rFonts w:ascii="Arial" w:eastAsia="Calibri" w:hAnsi="Arial" w:cs="Arial"/>
                <w:sz w:val="14"/>
                <w:szCs w:val="14"/>
              </w:rPr>
              <w:t>12.9 (11.7-13.6)</w:t>
            </w:r>
          </w:p>
        </w:tc>
        <w:tc>
          <w:tcPr>
            <w:tcW w:w="1236" w:type="dxa"/>
            <w:vAlign w:val="center"/>
          </w:tcPr>
          <w:p w14:paraId="3C1096CE" w14:textId="4595E890" w:rsidR="006472B5" w:rsidRDefault="0094166B">
            <w:pPr>
              <w:pStyle w:val="normal0"/>
              <w:jc w:val="center"/>
            </w:pPr>
            <w:r>
              <w:rPr>
                <w:rFonts w:ascii="Arial" w:eastAsia="Arial" w:hAnsi="Arial" w:cs="Arial"/>
                <w:sz w:val="14"/>
                <w:szCs w:val="14"/>
              </w:rPr>
              <w:t>18.2 (16.4-20.1</w:t>
            </w:r>
            <w:r w:rsidR="006472B5">
              <w:rPr>
                <w:rFonts w:ascii="Arial" w:eastAsia="Arial" w:hAnsi="Arial" w:cs="Arial"/>
                <w:sz w:val="14"/>
                <w:szCs w:val="14"/>
              </w:rPr>
              <w:t>)</w:t>
            </w:r>
          </w:p>
        </w:tc>
        <w:tc>
          <w:tcPr>
            <w:tcW w:w="1344" w:type="dxa"/>
            <w:vAlign w:val="center"/>
          </w:tcPr>
          <w:p w14:paraId="637639AC" w14:textId="67FC7A9B" w:rsidR="006472B5" w:rsidRDefault="00DB001B">
            <w:pPr>
              <w:pStyle w:val="normal0"/>
              <w:jc w:val="center"/>
            </w:pPr>
            <w:r>
              <w:rPr>
                <w:rFonts w:ascii="Arial" w:eastAsia="Arial" w:hAnsi="Arial" w:cs="Arial"/>
                <w:sz w:val="14"/>
                <w:szCs w:val="14"/>
              </w:rPr>
              <w:t>17.3 (16.0-19.1</w:t>
            </w:r>
            <w:r w:rsidR="006472B5">
              <w:rPr>
                <w:rFonts w:ascii="Arial" w:eastAsia="Arial" w:hAnsi="Arial" w:cs="Arial"/>
                <w:sz w:val="14"/>
                <w:szCs w:val="14"/>
              </w:rPr>
              <w:t>)</w:t>
            </w:r>
          </w:p>
        </w:tc>
        <w:tc>
          <w:tcPr>
            <w:tcW w:w="1344" w:type="dxa"/>
            <w:vAlign w:val="center"/>
          </w:tcPr>
          <w:p w14:paraId="498F5759" w14:textId="7979F57B" w:rsidR="006472B5" w:rsidRDefault="00255536">
            <w:pPr>
              <w:pStyle w:val="normal0"/>
              <w:jc w:val="center"/>
            </w:pPr>
            <w:r>
              <w:rPr>
                <w:rFonts w:ascii="Arial" w:eastAsia="Arial" w:hAnsi="Arial" w:cs="Arial"/>
                <w:sz w:val="14"/>
                <w:szCs w:val="14"/>
              </w:rPr>
              <w:t>12.6 (11.4-14.0</w:t>
            </w:r>
            <w:r w:rsidR="006472B5">
              <w:rPr>
                <w:rFonts w:ascii="Arial" w:eastAsia="Arial" w:hAnsi="Arial" w:cs="Arial"/>
                <w:sz w:val="14"/>
                <w:szCs w:val="14"/>
              </w:rPr>
              <w:t>)</w:t>
            </w:r>
          </w:p>
        </w:tc>
        <w:tc>
          <w:tcPr>
            <w:tcW w:w="1235" w:type="dxa"/>
            <w:vAlign w:val="center"/>
          </w:tcPr>
          <w:p w14:paraId="1B16BF56" w14:textId="09286A02" w:rsidR="006472B5" w:rsidRDefault="00CC130F">
            <w:pPr>
              <w:pStyle w:val="normal0"/>
              <w:jc w:val="center"/>
            </w:pPr>
            <w:r>
              <w:rPr>
                <w:rFonts w:ascii="Arial" w:eastAsia="Arial" w:hAnsi="Arial" w:cs="Arial"/>
                <w:sz w:val="14"/>
                <w:szCs w:val="14"/>
              </w:rPr>
              <w:t>12.9 (11.7-14.3</w:t>
            </w:r>
            <w:r w:rsidR="006472B5">
              <w:rPr>
                <w:rFonts w:ascii="Arial" w:eastAsia="Arial" w:hAnsi="Arial" w:cs="Arial"/>
                <w:sz w:val="14"/>
                <w:szCs w:val="14"/>
              </w:rPr>
              <w:t>)</w:t>
            </w:r>
          </w:p>
        </w:tc>
      </w:tr>
      <w:tr w:rsidR="009B642C" w14:paraId="5CD348B1" w14:textId="77777777">
        <w:trPr>
          <w:trHeight w:val="240"/>
        </w:trPr>
        <w:tc>
          <w:tcPr>
            <w:tcW w:w="672" w:type="dxa"/>
            <w:vAlign w:val="center"/>
          </w:tcPr>
          <w:p w14:paraId="511833B2" w14:textId="77777777" w:rsidR="009B642C" w:rsidRDefault="00D17233">
            <w:pPr>
              <w:pStyle w:val="normal0"/>
              <w:jc w:val="center"/>
            </w:pPr>
            <w:proofErr w:type="gramStart"/>
            <w:r>
              <w:rPr>
                <w:rFonts w:ascii="Arial" w:eastAsia="Arial" w:hAnsi="Arial" w:cs="Arial"/>
                <w:sz w:val="14"/>
                <w:szCs w:val="14"/>
              </w:rPr>
              <w:t>k7</w:t>
            </w:r>
            <w:proofErr w:type="gramEnd"/>
          </w:p>
        </w:tc>
        <w:tc>
          <w:tcPr>
            <w:tcW w:w="606" w:type="dxa"/>
            <w:vAlign w:val="center"/>
          </w:tcPr>
          <w:p w14:paraId="2884136D" w14:textId="77777777" w:rsidR="009B642C" w:rsidRDefault="00D17233">
            <w:pPr>
              <w:pStyle w:val="normal0"/>
              <w:jc w:val="center"/>
            </w:pPr>
            <w:proofErr w:type="gramStart"/>
            <w:r>
              <w:rPr>
                <w:rFonts w:ascii="Arial" w:eastAsia="Arial" w:hAnsi="Arial" w:cs="Arial"/>
                <w:sz w:val="14"/>
                <w:szCs w:val="14"/>
              </w:rPr>
              <w:t>day</w:t>
            </w:r>
            <w:proofErr w:type="gramEnd"/>
            <w:r>
              <w:rPr>
                <w:rFonts w:ascii="Arial" w:eastAsia="Arial" w:hAnsi="Arial" w:cs="Arial"/>
                <w:sz w:val="14"/>
                <w:szCs w:val="14"/>
                <w:vertAlign w:val="superscript"/>
              </w:rPr>
              <w:t>-1</w:t>
            </w:r>
          </w:p>
        </w:tc>
        <w:tc>
          <w:tcPr>
            <w:tcW w:w="1183" w:type="dxa"/>
            <w:vAlign w:val="center"/>
          </w:tcPr>
          <w:p w14:paraId="6DE9F551" w14:textId="77777777" w:rsidR="009B642C" w:rsidRDefault="00D17233">
            <w:pPr>
              <w:pStyle w:val="normal0"/>
              <w:jc w:val="center"/>
            </w:pPr>
            <w:r>
              <w:rPr>
                <w:rFonts w:ascii="Arial" w:eastAsia="Arial" w:hAnsi="Arial" w:cs="Arial"/>
                <w:sz w:val="14"/>
                <w:szCs w:val="14"/>
              </w:rPr>
              <w:t>2.23</w:t>
            </w:r>
          </w:p>
        </w:tc>
        <w:tc>
          <w:tcPr>
            <w:tcW w:w="1236" w:type="dxa"/>
            <w:vAlign w:val="center"/>
          </w:tcPr>
          <w:p w14:paraId="43751186" w14:textId="77777777" w:rsidR="009B642C" w:rsidRDefault="00D17233">
            <w:pPr>
              <w:pStyle w:val="normal0"/>
              <w:jc w:val="center"/>
            </w:pPr>
            <w:r>
              <w:rPr>
                <w:rFonts w:ascii="Arial" w:eastAsia="Arial" w:hAnsi="Arial" w:cs="Arial"/>
                <w:sz w:val="14"/>
                <w:szCs w:val="14"/>
              </w:rPr>
              <w:t>2.23</w:t>
            </w:r>
          </w:p>
        </w:tc>
        <w:tc>
          <w:tcPr>
            <w:tcW w:w="1236" w:type="dxa"/>
            <w:vAlign w:val="center"/>
          </w:tcPr>
          <w:p w14:paraId="7D2E0723" w14:textId="77777777" w:rsidR="009B642C" w:rsidRDefault="00D17233">
            <w:pPr>
              <w:pStyle w:val="normal0"/>
              <w:jc w:val="center"/>
            </w:pPr>
            <w:r>
              <w:rPr>
                <w:rFonts w:ascii="Arial" w:eastAsia="Arial" w:hAnsi="Arial" w:cs="Arial"/>
                <w:sz w:val="14"/>
                <w:szCs w:val="14"/>
              </w:rPr>
              <w:t>2.23</w:t>
            </w:r>
          </w:p>
        </w:tc>
        <w:tc>
          <w:tcPr>
            <w:tcW w:w="1344" w:type="dxa"/>
            <w:vAlign w:val="center"/>
          </w:tcPr>
          <w:p w14:paraId="69D4B22A" w14:textId="77777777" w:rsidR="009B642C" w:rsidRDefault="00D17233">
            <w:pPr>
              <w:pStyle w:val="normal0"/>
              <w:jc w:val="center"/>
            </w:pPr>
            <w:r>
              <w:rPr>
                <w:rFonts w:ascii="Arial" w:eastAsia="Arial" w:hAnsi="Arial" w:cs="Arial"/>
                <w:sz w:val="14"/>
                <w:szCs w:val="14"/>
              </w:rPr>
              <w:t>2.23</w:t>
            </w:r>
          </w:p>
        </w:tc>
        <w:tc>
          <w:tcPr>
            <w:tcW w:w="1344" w:type="dxa"/>
            <w:vAlign w:val="center"/>
          </w:tcPr>
          <w:p w14:paraId="1FC3D731" w14:textId="77777777" w:rsidR="009B642C" w:rsidRDefault="00D17233">
            <w:pPr>
              <w:pStyle w:val="normal0"/>
              <w:jc w:val="center"/>
            </w:pPr>
            <w:r>
              <w:rPr>
                <w:rFonts w:ascii="Arial" w:eastAsia="Arial" w:hAnsi="Arial" w:cs="Arial"/>
                <w:sz w:val="14"/>
                <w:szCs w:val="14"/>
              </w:rPr>
              <w:t>2.23</w:t>
            </w:r>
          </w:p>
        </w:tc>
        <w:tc>
          <w:tcPr>
            <w:tcW w:w="1235" w:type="dxa"/>
            <w:vAlign w:val="center"/>
          </w:tcPr>
          <w:p w14:paraId="372335CA" w14:textId="77777777" w:rsidR="009B642C" w:rsidRDefault="00D17233">
            <w:pPr>
              <w:pStyle w:val="normal0"/>
              <w:jc w:val="center"/>
            </w:pPr>
            <w:r>
              <w:rPr>
                <w:rFonts w:ascii="Arial" w:eastAsia="Arial" w:hAnsi="Arial" w:cs="Arial"/>
                <w:sz w:val="14"/>
                <w:szCs w:val="14"/>
              </w:rPr>
              <w:t>2.23</w:t>
            </w:r>
          </w:p>
        </w:tc>
      </w:tr>
      <w:tr w:rsidR="009B642C" w14:paraId="15DCE10B" w14:textId="77777777">
        <w:trPr>
          <w:trHeight w:val="240"/>
        </w:trPr>
        <w:tc>
          <w:tcPr>
            <w:tcW w:w="672" w:type="dxa"/>
            <w:vAlign w:val="center"/>
          </w:tcPr>
          <w:p w14:paraId="3098A4FD" w14:textId="77777777" w:rsidR="009B642C" w:rsidRDefault="00D17233">
            <w:pPr>
              <w:pStyle w:val="normal0"/>
              <w:jc w:val="center"/>
            </w:pPr>
            <w:proofErr w:type="gramStart"/>
            <w:r>
              <w:rPr>
                <w:rFonts w:ascii="Arial" w:eastAsia="Arial" w:hAnsi="Arial" w:cs="Arial"/>
                <w:sz w:val="14"/>
                <w:szCs w:val="14"/>
              </w:rPr>
              <w:t>k8</w:t>
            </w:r>
            <w:proofErr w:type="gramEnd"/>
          </w:p>
        </w:tc>
        <w:tc>
          <w:tcPr>
            <w:tcW w:w="606" w:type="dxa"/>
            <w:vAlign w:val="center"/>
          </w:tcPr>
          <w:p w14:paraId="6AFE4CF5" w14:textId="77777777" w:rsidR="009B642C" w:rsidRDefault="00D17233">
            <w:pPr>
              <w:pStyle w:val="normal0"/>
              <w:jc w:val="center"/>
            </w:pPr>
            <w:proofErr w:type="spellStart"/>
            <w:proofErr w:type="gramStart"/>
            <w:r>
              <w:rPr>
                <w:rFonts w:ascii="Arial" w:eastAsia="Arial" w:hAnsi="Arial" w:cs="Arial"/>
                <w:sz w:val="14"/>
                <w:szCs w:val="14"/>
              </w:rPr>
              <w:t>ng</w:t>
            </w:r>
            <w:proofErr w:type="spellEnd"/>
            <w:proofErr w:type="gramEnd"/>
            <w:r>
              <w:rPr>
                <w:rFonts w:ascii="Arial" w:eastAsia="Arial" w:hAnsi="Arial" w:cs="Arial"/>
                <w:sz w:val="14"/>
                <w:szCs w:val="14"/>
              </w:rPr>
              <w:t xml:space="preserve"> mL</w:t>
            </w:r>
            <w:r>
              <w:rPr>
                <w:rFonts w:ascii="Arial" w:eastAsia="Arial" w:hAnsi="Arial" w:cs="Arial"/>
                <w:sz w:val="14"/>
                <w:szCs w:val="14"/>
                <w:vertAlign w:val="superscript"/>
              </w:rPr>
              <w:t>-1</w:t>
            </w:r>
          </w:p>
        </w:tc>
        <w:tc>
          <w:tcPr>
            <w:tcW w:w="1183" w:type="dxa"/>
            <w:vAlign w:val="center"/>
          </w:tcPr>
          <w:p w14:paraId="38DB450C" w14:textId="70242336" w:rsidR="009B642C" w:rsidRDefault="006472B5">
            <w:pPr>
              <w:pStyle w:val="normal0"/>
              <w:jc w:val="center"/>
            </w:pPr>
            <w:r w:rsidRPr="006472B5">
              <w:rPr>
                <w:rFonts w:ascii="Arial" w:eastAsia="Arial" w:hAnsi="Arial" w:cs="Arial"/>
                <w:sz w:val="14"/>
                <w:szCs w:val="14"/>
              </w:rPr>
              <w:t>0.191 (0.082-0.411)</w:t>
            </w:r>
          </w:p>
        </w:tc>
        <w:tc>
          <w:tcPr>
            <w:tcW w:w="1236" w:type="dxa"/>
            <w:vAlign w:val="center"/>
          </w:tcPr>
          <w:p w14:paraId="4EF4A285" w14:textId="77777777" w:rsidR="009B642C" w:rsidRDefault="00D17233">
            <w:pPr>
              <w:pStyle w:val="normal0"/>
              <w:jc w:val="center"/>
            </w:pPr>
            <w:r>
              <w:rPr>
                <w:rFonts w:ascii="Arial" w:eastAsia="Arial" w:hAnsi="Arial" w:cs="Arial"/>
                <w:sz w:val="14"/>
                <w:szCs w:val="14"/>
              </w:rPr>
              <w:t>NA</w:t>
            </w:r>
          </w:p>
        </w:tc>
        <w:tc>
          <w:tcPr>
            <w:tcW w:w="1236" w:type="dxa"/>
            <w:vAlign w:val="center"/>
          </w:tcPr>
          <w:p w14:paraId="1A0B94E5" w14:textId="768B58D9" w:rsidR="009B642C" w:rsidRDefault="0094166B">
            <w:pPr>
              <w:pStyle w:val="normal0"/>
              <w:jc w:val="center"/>
            </w:pPr>
            <w:r>
              <w:rPr>
                <w:rFonts w:ascii="Arial" w:eastAsia="Arial" w:hAnsi="Arial" w:cs="Arial"/>
                <w:sz w:val="14"/>
                <w:szCs w:val="14"/>
              </w:rPr>
              <w:t>0.142 (0.061-0.363</w:t>
            </w:r>
            <w:r w:rsidR="00D17233">
              <w:rPr>
                <w:rFonts w:ascii="Arial" w:eastAsia="Arial" w:hAnsi="Arial" w:cs="Arial"/>
                <w:sz w:val="14"/>
                <w:szCs w:val="14"/>
              </w:rPr>
              <w:t>)</w:t>
            </w:r>
          </w:p>
        </w:tc>
        <w:tc>
          <w:tcPr>
            <w:tcW w:w="1344" w:type="dxa"/>
            <w:vAlign w:val="center"/>
          </w:tcPr>
          <w:p w14:paraId="495BE118" w14:textId="79221CA4" w:rsidR="009B642C" w:rsidRDefault="00DB001B">
            <w:pPr>
              <w:pStyle w:val="normal0"/>
              <w:jc w:val="center"/>
            </w:pPr>
            <w:r>
              <w:rPr>
                <w:rFonts w:ascii="Arial" w:eastAsia="Arial" w:hAnsi="Arial" w:cs="Arial"/>
                <w:sz w:val="14"/>
                <w:szCs w:val="14"/>
              </w:rPr>
              <w:t>0.249 (0.107-0.532</w:t>
            </w:r>
            <w:r w:rsidR="00D17233">
              <w:rPr>
                <w:rFonts w:ascii="Arial" w:eastAsia="Arial" w:hAnsi="Arial" w:cs="Arial"/>
                <w:sz w:val="14"/>
                <w:szCs w:val="14"/>
              </w:rPr>
              <w:t>)</w:t>
            </w:r>
          </w:p>
        </w:tc>
        <w:tc>
          <w:tcPr>
            <w:tcW w:w="1344" w:type="dxa"/>
            <w:vAlign w:val="center"/>
          </w:tcPr>
          <w:p w14:paraId="64D72FA1" w14:textId="77777777" w:rsidR="009B642C" w:rsidRDefault="00D17233">
            <w:pPr>
              <w:pStyle w:val="normal0"/>
              <w:jc w:val="center"/>
            </w:pPr>
            <w:r>
              <w:rPr>
                <w:rFonts w:ascii="Arial" w:eastAsia="Arial" w:hAnsi="Arial" w:cs="Arial"/>
                <w:sz w:val="14"/>
                <w:szCs w:val="14"/>
              </w:rPr>
              <w:t>NA</w:t>
            </w:r>
          </w:p>
        </w:tc>
        <w:tc>
          <w:tcPr>
            <w:tcW w:w="1235" w:type="dxa"/>
            <w:vAlign w:val="center"/>
          </w:tcPr>
          <w:p w14:paraId="2E4B327E" w14:textId="77777777" w:rsidR="009B642C" w:rsidRDefault="00D17233">
            <w:pPr>
              <w:pStyle w:val="normal0"/>
              <w:jc w:val="center"/>
            </w:pPr>
            <w:r>
              <w:rPr>
                <w:rFonts w:ascii="Arial" w:eastAsia="Arial" w:hAnsi="Arial" w:cs="Arial"/>
                <w:sz w:val="14"/>
                <w:szCs w:val="14"/>
              </w:rPr>
              <w:t>NA</w:t>
            </w:r>
          </w:p>
        </w:tc>
      </w:tr>
      <w:tr w:rsidR="009B642C" w14:paraId="05730DC1" w14:textId="77777777">
        <w:trPr>
          <w:trHeight w:val="240"/>
        </w:trPr>
        <w:tc>
          <w:tcPr>
            <w:tcW w:w="672" w:type="dxa"/>
            <w:vAlign w:val="center"/>
          </w:tcPr>
          <w:p w14:paraId="55B23198" w14:textId="77777777" w:rsidR="009B642C" w:rsidRDefault="00D17233">
            <w:pPr>
              <w:pStyle w:val="normal0"/>
              <w:jc w:val="center"/>
            </w:pPr>
            <w:proofErr w:type="gramStart"/>
            <w:r>
              <w:rPr>
                <w:rFonts w:ascii="Arial" w:eastAsia="Arial" w:hAnsi="Arial" w:cs="Arial"/>
                <w:sz w:val="14"/>
                <w:szCs w:val="14"/>
              </w:rPr>
              <w:t>k9</w:t>
            </w:r>
            <w:proofErr w:type="gramEnd"/>
          </w:p>
        </w:tc>
        <w:tc>
          <w:tcPr>
            <w:tcW w:w="606" w:type="dxa"/>
            <w:vAlign w:val="center"/>
          </w:tcPr>
          <w:p w14:paraId="302582D0" w14:textId="5DB7F01B" w:rsidR="009B642C" w:rsidRDefault="00847D93">
            <w:pPr>
              <w:pStyle w:val="normal0"/>
              <w:jc w:val="center"/>
            </w:pPr>
            <w:proofErr w:type="gramStart"/>
            <w:r>
              <w:rPr>
                <w:rFonts w:ascii="Arial" w:eastAsia="Arial" w:hAnsi="Arial" w:cs="Arial"/>
                <w:sz w:val="14"/>
                <w:szCs w:val="14"/>
              </w:rPr>
              <w:t>day</w:t>
            </w:r>
            <w:proofErr w:type="gramEnd"/>
            <w:r w:rsidR="00D17233">
              <w:rPr>
                <w:rFonts w:ascii="Arial" w:eastAsia="Arial" w:hAnsi="Arial" w:cs="Arial"/>
                <w:sz w:val="14"/>
                <w:szCs w:val="14"/>
                <w:vertAlign w:val="superscript"/>
              </w:rPr>
              <w:t>-1</w:t>
            </w:r>
          </w:p>
        </w:tc>
        <w:tc>
          <w:tcPr>
            <w:tcW w:w="1183" w:type="dxa"/>
            <w:vAlign w:val="center"/>
          </w:tcPr>
          <w:p w14:paraId="2A18434D" w14:textId="77777777" w:rsidR="009B642C" w:rsidRDefault="00D17233">
            <w:pPr>
              <w:pStyle w:val="normal0"/>
              <w:jc w:val="center"/>
            </w:pPr>
            <w:r>
              <w:rPr>
                <w:rFonts w:ascii="Arial" w:eastAsia="Arial" w:hAnsi="Arial" w:cs="Arial"/>
                <w:sz w:val="14"/>
                <w:szCs w:val="14"/>
              </w:rPr>
              <w:t>0</w:t>
            </w:r>
          </w:p>
        </w:tc>
        <w:tc>
          <w:tcPr>
            <w:tcW w:w="1236" w:type="dxa"/>
            <w:vAlign w:val="center"/>
          </w:tcPr>
          <w:p w14:paraId="7FDA9D5C" w14:textId="77777777" w:rsidR="009B642C" w:rsidRDefault="00D17233">
            <w:pPr>
              <w:pStyle w:val="normal0"/>
              <w:jc w:val="center"/>
            </w:pPr>
            <w:r>
              <w:rPr>
                <w:rFonts w:ascii="Arial" w:eastAsia="Arial" w:hAnsi="Arial" w:cs="Arial"/>
                <w:sz w:val="14"/>
                <w:szCs w:val="14"/>
              </w:rPr>
              <w:t>0</w:t>
            </w:r>
          </w:p>
        </w:tc>
        <w:tc>
          <w:tcPr>
            <w:tcW w:w="1236" w:type="dxa"/>
            <w:vAlign w:val="center"/>
          </w:tcPr>
          <w:p w14:paraId="00D3E210" w14:textId="77777777" w:rsidR="009B642C" w:rsidRDefault="00D17233">
            <w:pPr>
              <w:pStyle w:val="normal0"/>
              <w:jc w:val="center"/>
            </w:pPr>
            <w:r>
              <w:rPr>
                <w:rFonts w:ascii="Arial" w:eastAsia="Arial" w:hAnsi="Arial" w:cs="Arial"/>
                <w:sz w:val="14"/>
                <w:szCs w:val="14"/>
              </w:rPr>
              <w:t>0</w:t>
            </w:r>
          </w:p>
        </w:tc>
        <w:tc>
          <w:tcPr>
            <w:tcW w:w="1344" w:type="dxa"/>
            <w:vAlign w:val="center"/>
          </w:tcPr>
          <w:p w14:paraId="5B943B3B" w14:textId="77777777" w:rsidR="009B642C" w:rsidRDefault="00D17233">
            <w:pPr>
              <w:pStyle w:val="normal0"/>
              <w:jc w:val="center"/>
            </w:pPr>
            <w:r>
              <w:rPr>
                <w:rFonts w:ascii="Arial" w:eastAsia="Arial" w:hAnsi="Arial" w:cs="Arial"/>
                <w:sz w:val="14"/>
                <w:szCs w:val="14"/>
              </w:rPr>
              <w:t>0</w:t>
            </w:r>
          </w:p>
        </w:tc>
        <w:tc>
          <w:tcPr>
            <w:tcW w:w="1344" w:type="dxa"/>
            <w:vAlign w:val="center"/>
          </w:tcPr>
          <w:p w14:paraId="60B121D8" w14:textId="77777777" w:rsidR="009B642C" w:rsidRDefault="00D17233">
            <w:pPr>
              <w:pStyle w:val="normal0"/>
              <w:jc w:val="center"/>
            </w:pPr>
            <w:r>
              <w:rPr>
                <w:rFonts w:ascii="Arial" w:eastAsia="Arial" w:hAnsi="Arial" w:cs="Arial"/>
                <w:sz w:val="14"/>
                <w:szCs w:val="14"/>
              </w:rPr>
              <w:t>0</w:t>
            </w:r>
          </w:p>
        </w:tc>
        <w:tc>
          <w:tcPr>
            <w:tcW w:w="1235" w:type="dxa"/>
            <w:vAlign w:val="center"/>
          </w:tcPr>
          <w:p w14:paraId="066C57DB" w14:textId="77777777" w:rsidR="009B642C" w:rsidRDefault="00D17233">
            <w:pPr>
              <w:pStyle w:val="normal0"/>
              <w:jc w:val="center"/>
            </w:pPr>
            <w:r>
              <w:rPr>
                <w:rFonts w:ascii="Arial" w:eastAsia="Arial" w:hAnsi="Arial" w:cs="Arial"/>
                <w:sz w:val="14"/>
                <w:szCs w:val="14"/>
              </w:rPr>
              <w:t>0</w:t>
            </w:r>
          </w:p>
        </w:tc>
      </w:tr>
      <w:tr w:rsidR="009B642C" w14:paraId="770985C5" w14:textId="77777777">
        <w:trPr>
          <w:trHeight w:val="240"/>
        </w:trPr>
        <w:tc>
          <w:tcPr>
            <w:tcW w:w="672" w:type="dxa"/>
            <w:vAlign w:val="center"/>
          </w:tcPr>
          <w:p w14:paraId="29E36A80" w14:textId="77777777" w:rsidR="009B642C" w:rsidRDefault="00D17233">
            <w:pPr>
              <w:pStyle w:val="normal0"/>
              <w:jc w:val="center"/>
            </w:pPr>
            <w:proofErr w:type="gramStart"/>
            <w:r>
              <w:rPr>
                <w:rFonts w:ascii="Arial" w:eastAsia="Arial" w:hAnsi="Arial" w:cs="Arial"/>
                <w:sz w:val="14"/>
                <w:szCs w:val="14"/>
              </w:rPr>
              <w:t>k10</w:t>
            </w:r>
            <w:proofErr w:type="gramEnd"/>
          </w:p>
        </w:tc>
        <w:tc>
          <w:tcPr>
            <w:tcW w:w="606" w:type="dxa"/>
            <w:vAlign w:val="center"/>
          </w:tcPr>
          <w:p w14:paraId="14796B9F" w14:textId="77777777" w:rsidR="009B642C" w:rsidRDefault="00D17233">
            <w:pPr>
              <w:pStyle w:val="normal0"/>
              <w:jc w:val="center"/>
            </w:pPr>
            <w:proofErr w:type="gramStart"/>
            <w:r>
              <w:rPr>
                <w:rFonts w:ascii="Arial" w:eastAsia="Arial" w:hAnsi="Arial" w:cs="Arial"/>
                <w:sz w:val="14"/>
                <w:szCs w:val="14"/>
              </w:rPr>
              <w:t>day</w:t>
            </w:r>
            <w:proofErr w:type="gramEnd"/>
            <w:r>
              <w:rPr>
                <w:rFonts w:ascii="Arial" w:eastAsia="Arial" w:hAnsi="Arial" w:cs="Arial"/>
                <w:sz w:val="14"/>
                <w:szCs w:val="14"/>
                <w:vertAlign w:val="superscript"/>
              </w:rPr>
              <w:t>-1</w:t>
            </w:r>
          </w:p>
        </w:tc>
        <w:tc>
          <w:tcPr>
            <w:tcW w:w="1183" w:type="dxa"/>
            <w:vAlign w:val="center"/>
          </w:tcPr>
          <w:p w14:paraId="1122724E" w14:textId="77777777" w:rsidR="009B642C" w:rsidRDefault="00D17233">
            <w:pPr>
              <w:pStyle w:val="normal0"/>
              <w:jc w:val="center"/>
            </w:pPr>
            <w:r>
              <w:rPr>
                <w:rFonts w:ascii="Arial" w:eastAsia="Arial" w:hAnsi="Arial" w:cs="Arial"/>
                <w:sz w:val="14"/>
                <w:szCs w:val="14"/>
              </w:rPr>
              <w:t>NA</w:t>
            </w:r>
          </w:p>
        </w:tc>
        <w:tc>
          <w:tcPr>
            <w:tcW w:w="1236" w:type="dxa"/>
            <w:vAlign w:val="center"/>
          </w:tcPr>
          <w:p w14:paraId="7187CF02" w14:textId="77777777" w:rsidR="009B642C" w:rsidRDefault="00D17233">
            <w:pPr>
              <w:pStyle w:val="normal0"/>
              <w:jc w:val="center"/>
            </w:pPr>
            <w:r>
              <w:rPr>
                <w:rFonts w:ascii="Arial" w:eastAsia="Arial" w:hAnsi="Arial" w:cs="Arial"/>
                <w:sz w:val="14"/>
                <w:szCs w:val="14"/>
              </w:rPr>
              <w:t>NA</w:t>
            </w:r>
          </w:p>
        </w:tc>
        <w:tc>
          <w:tcPr>
            <w:tcW w:w="1236" w:type="dxa"/>
            <w:vAlign w:val="center"/>
          </w:tcPr>
          <w:p w14:paraId="021D742B" w14:textId="77777777" w:rsidR="009B642C" w:rsidRDefault="00D17233">
            <w:pPr>
              <w:pStyle w:val="normal0"/>
              <w:jc w:val="center"/>
            </w:pPr>
            <w:r>
              <w:rPr>
                <w:rFonts w:ascii="Arial" w:eastAsia="Arial" w:hAnsi="Arial" w:cs="Arial"/>
                <w:sz w:val="14"/>
                <w:szCs w:val="14"/>
              </w:rPr>
              <w:t>NA</w:t>
            </w:r>
          </w:p>
        </w:tc>
        <w:tc>
          <w:tcPr>
            <w:tcW w:w="1344" w:type="dxa"/>
            <w:vAlign w:val="center"/>
          </w:tcPr>
          <w:p w14:paraId="3EFE5396" w14:textId="77777777" w:rsidR="009B642C" w:rsidRDefault="00D17233">
            <w:pPr>
              <w:pStyle w:val="normal0"/>
              <w:jc w:val="center"/>
            </w:pPr>
            <w:r>
              <w:rPr>
                <w:rFonts w:ascii="Arial" w:eastAsia="Arial" w:hAnsi="Arial" w:cs="Arial"/>
                <w:sz w:val="14"/>
                <w:szCs w:val="14"/>
              </w:rPr>
              <w:t>NA</w:t>
            </w:r>
          </w:p>
        </w:tc>
        <w:tc>
          <w:tcPr>
            <w:tcW w:w="1344" w:type="dxa"/>
            <w:vAlign w:val="center"/>
          </w:tcPr>
          <w:p w14:paraId="3DD983A7" w14:textId="77777777" w:rsidR="009B642C" w:rsidRDefault="00D17233">
            <w:pPr>
              <w:pStyle w:val="normal0"/>
              <w:jc w:val="center"/>
            </w:pPr>
            <w:r>
              <w:rPr>
                <w:rFonts w:ascii="Arial" w:eastAsia="Arial" w:hAnsi="Arial" w:cs="Arial"/>
                <w:sz w:val="14"/>
                <w:szCs w:val="14"/>
              </w:rPr>
              <w:t>0.0 (0.0-inf)</w:t>
            </w:r>
          </w:p>
        </w:tc>
        <w:tc>
          <w:tcPr>
            <w:tcW w:w="1235" w:type="dxa"/>
            <w:vAlign w:val="center"/>
          </w:tcPr>
          <w:p w14:paraId="5C9C6632" w14:textId="77777777" w:rsidR="009B642C" w:rsidRDefault="00D17233">
            <w:pPr>
              <w:pStyle w:val="normal0"/>
              <w:jc w:val="center"/>
            </w:pPr>
            <w:r>
              <w:rPr>
                <w:rFonts w:ascii="Arial" w:eastAsia="Arial" w:hAnsi="Arial" w:cs="Arial"/>
                <w:sz w:val="14"/>
                <w:szCs w:val="14"/>
              </w:rPr>
              <w:t>NA</w:t>
            </w:r>
          </w:p>
        </w:tc>
      </w:tr>
      <w:tr w:rsidR="009B642C" w14:paraId="0C928D69" w14:textId="77777777">
        <w:trPr>
          <w:trHeight w:val="240"/>
        </w:trPr>
        <w:tc>
          <w:tcPr>
            <w:tcW w:w="672" w:type="dxa"/>
            <w:vAlign w:val="center"/>
          </w:tcPr>
          <w:p w14:paraId="435DCF33" w14:textId="77777777" w:rsidR="009B642C" w:rsidRDefault="00D17233">
            <w:pPr>
              <w:pStyle w:val="normal0"/>
              <w:jc w:val="center"/>
            </w:pPr>
            <w:proofErr w:type="gramStart"/>
            <w:r>
              <w:rPr>
                <w:rFonts w:ascii="Arial" w:eastAsia="Arial" w:hAnsi="Arial" w:cs="Arial"/>
                <w:sz w:val="14"/>
                <w:szCs w:val="14"/>
              </w:rPr>
              <w:t>k11</w:t>
            </w:r>
            <w:proofErr w:type="gramEnd"/>
          </w:p>
        </w:tc>
        <w:tc>
          <w:tcPr>
            <w:tcW w:w="606" w:type="dxa"/>
            <w:vAlign w:val="center"/>
          </w:tcPr>
          <w:p w14:paraId="00E2C274" w14:textId="77777777" w:rsidR="009B642C" w:rsidRDefault="00D17233">
            <w:pPr>
              <w:pStyle w:val="normal0"/>
              <w:jc w:val="center"/>
            </w:pPr>
            <w:proofErr w:type="gramStart"/>
            <w:r>
              <w:rPr>
                <w:rFonts w:ascii="Arial" w:eastAsia="Arial" w:hAnsi="Arial" w:cs="Arial"/>
                <w:sz w:val="14"/>
                <w:szCs w:val="14"/>
              </w:rPr>
              <w:t>ng</w:t>
            </w:r>
            <w:proofErr w:type="gramEnd"/>
            <w:r>
              <w:rPr>
                <w:rFonts w:ascii="Arial" w:eastAsia="Arial" w:hAnsi="Arial" w:cs="Arial"/>
                <w:sz w:val="14"/>
                <w:szCs w:val="14"/>
                <w:vertAlign w:val="superscript"/>
              </w:rPr>
              <w:t>-1</w:t>
            </w:r>
            <w:r>
              <w:rPr>
                <w:rFonts w:ascii="Arial" w:eastAsia="Arial" w:hAnsi="Arial" w:cs="Arial"/>
                <w:sz w:val="14"/>
                <w:szCs w:val="14"/>
              </w:rPr>
              <w:t xml:space="preserve"> day</w:t>
            </w:r>
            <w:r>
              <w:rPr>
                <w:rFonts w:ascii="Arial" w:eastAsia="Arial" w:hAnsi="Arial" w:cs="Arial"/>
                <w:sz w:val="14"/>
                <w:szCs w:val="14"/>
                <w:vertAlign w:val="superscript"/>
              </w:rPr>
              <w:t>-1</w:t>
            </w:r>
          </w:p>
        </w:tc>
        <w:tc>
          <w:tcPr>
            <w:tcW w:w="1183" w:type="dxa"/>
            <w:vAlign w:val="center"/>
          </w:tcPr>
          <w:p w14:paraId="164A9756" w14:textId="77777777" w:rsidR="009B642C" w:rsidRDefault="00D17233">
            <w:pPr>
              <w:pStyle w:val="normal0"/>
              <w:jc w:val="center"/>
            </w:pPr>
            <w:r>
              <w:rPr>
                <w:rFonts w:ascii="Arial" w:eastAsia="Arial" w:hAnsi="Arial" w:cs="Arial"/>
                <w:sz w:val="14"/>
                <w:szCs w:val="14"/>
              </w:rPr>
              <w:t>NA</w:t>
            </w:r>
          </w:p>
        </w:tc>
        <w:tc>
          <w:tcPr>
            <w:tcW w:w="1236" w:type="dxa"/>
            <w:vAlign w:val="center"/>
          </w:tcPr>
          <w:p w14:paraId="469C84C0" w14:textId="77777777" w:rsidR="009B642C" w:rsidRDefault="00D17233">
            <w:pPr>
              <w:pStyle w:val="normal0"/>
              <w:jc w:val="center"/>
            </w:pPr>
            <w:r>
              <w:rPr>
                <w:rFonts w:ascii="Arial" w:eastAsia="Arial" w:hAnsi="Arial" w:cs="Arial"/>
                <w:sz w:val="14"/>
                <w:szCs w:val="14"/>
              </w:rPr>
              <w:t>NA</w:t>
            </w:r>
          </w:p>
        </w:tc>
        <w:tc>
          <w:tcPr>
            <w:tcW w:w="1236" w:type="dxa"/>
            <w:vAlign w:val="center"/>
          </w:tcPr>
          <w:p w14:paraId="7D9D9C2A" w14:textId="77777777" w:rsidR="009B642C" w:rsidRDefault="00D17233">
            <w:pPr>
              <w:pStyle w:val="normal0"/>
              <w:jc w:val="center"/>
            </w:pPr>
            <w:r>
              <w:rPr>
                <w:rFonts w:ascii="Arial" w:eastAsia="Arial" w:hAnsi="Arial" w:cs="Arial"/>
                <w:sz w:val="14"/>
                <w:szCs w:val="14"/>
              </w:rPr>
              <w:t>NA</w:t>
            </w:r>
          </w:p>
        </w:tc>
        <w:tc>
          <w:tcPr>
            <w:tcW w:w="1344" w:type="dxa"/>
            <w:vAlign w:val="center"/>
          </w:tcPr>
          <w:p w14:paraId="227CFAAF" w14:textId="77777777" w:rsidR="009B642C" w:rsidRDefault="00D17233">
            <w:pPr>
              <w:pStyle w:val="normal0"/>
              <w:jc w:val="center"/>
            </w:pPr>
            <w:r>
              <w:rPr>
                <w:rFonts w:ascii="Arial" w:eastAsia="Arial" w:hAnsi="Arial" w:cs="Arial"/>
                <w:sz w:val="14"/>
                <w:szCs w:val="14"/>
              </w:rPr>
              <w:t>NA</w:t>
            </w:r>
          </w:p>
        </w:tc>
        <w:tc>
          <w:tcPr>
            <w:tcW w:w="1344" w:type="dxa"/>
            <w:vAlign w:val="center"/>
          </w:tcPr>
          <w:p w14:paraId="2FA9D621" w14:textId="77777777" w:rsidR="009B642C" w:rsidRDefault="00D17233">
            <w:pPr>
              <w:pStyle w:val="normal0"/>
              <w:jc w:val="center"/>
            </w:pPr>
            <w:r>
              <w:rPr>
                <w:rFonts w:ascii="Arial" w:eastAsia="Arial" w:hAnsi="Arial" w:cs="Arial"/>
                <w:sz w:val="14"/>
                <w:szCs w:val="14"/>
              </w:rPr>
              <w:t>NA</w:t>
            </w:r>
          </w:p>
        </w:tc>
        <w:tc>
          <w:tcPr>
            <w:tcW w:w="1235" w:type="dxa"/>
            <w:vAlign w:val="center"/>
          </w:tcPr>
          <w:p w14:paraId="21887F90" w14:textId="49FB69C7" w:rsidR="009B642C" w:rsidRDefault="00E44C89">
            <w:pPr>
              <w:pStyle w:val="normal0"/>
              <w:jc w:val="center"/>
            </w:pPr>
            <w:r>
              <w:rPr>
                <w:rFonts w:ascii="Arial" w:eastAsia="Arial" w:hAnsi="Arial" w:cs="Arial"/>
                <w:sz w:val="14"/>
                <w:szCs w:val="14"/>
              </w:rPr>
              <w:t>0.151 (0-0.214</w:t>
            </w:r>
            <w:r w:rsidR="00D17233">
              <w:rPr>
                <w:rFonts w:ascii="Arial" w:eastAsia="Arial" w:hAnsi="Arial" w:cs="Arial"/>
                <w:sz w:val="14"/>
                <w:szCs w:val="14"/>
              </w:rPr>
              <w:t>)</w:t>
            </w:r>
          </w:p>
        </w:tc>
      </w:tr>
      <w:tr w:rsidR="009B642C" w14:paraId="58377A4E" w14:textId="77777777">
        <w:trPr>
          <w:trHeight w:val="240"/>
        </w:trPr>
        <w:tc>
          <w:tcPr>
            <w:tcW w:w="672" w:type="dxa"/>
            <w:vAlign w:val="center"/>
          </w:tcPr>
          <w:p w14:paraId="6D479D4E" w14:textId="77777777" w:rsidR="009B642C" w:rsidRDefault="00D17233">
            <w:pPr>
              <w:pStyle w:val="normal0"/>
              <w:jc w:val="center"/>
            </w:pPr>
            <w:proofErr w:type="gramStart"/>
            <w:r>
              <w:rPr>
                <w:rFonts w:ascii="Arial" w:eastAsia="Arial" w:hAnsi="Arial" w:cs="Arial"/>
                <w:sz w:val="14"/>
                <w:szCs w:val="14"/>
              </w:rPr>
              <w:t>k12</w:t>
            </w:r>
            <w:proofErr w:type="gramEnd"/>
          </w:p>
        </w:tc>
        <w:tc>
          <w:tcPr>
            <w:tcW w:w="606" w:type="dxa"/>
            <w:vAlign w:val="center"/>
          </w:tcPr>
          <w:p w14:paraId="6F6AA0F6" w14:textId="77777777" w:rsidR="009B642C" w:rsidRDefault="00D17233">
            <w:pPr>
              <w:pStyle w:val="normal0"/>
              <w:jc w:val="center"/>
            </w:pPr>
            <w:proofErr w:type="gramStart"/>
            <w:r>
              <w:rPr>
                <w:rFonts w:ascii="Arial" w:eastAsia="Arial" w:hAnsi="Arial" w:cs="Arial"/>
                <w:sz w:val="14"/>
                <w:szCs w:val="14"/>
              </w:rPr>
              <w:t>day</w:t>
            </w:r>
            <w:proofErr w:type="gramEnd"/>
            <w:r>
              <w:rPr>
                <w:rFonts w:ascii="Arial" w:eastAsia="Arial" w:hAnsi="Arial" w:cs="Arial"/>
                <w:sz w:val="14"/>
                <w:szCs w:val="14"/>
                <w:vertAlign w:val="superscript"/>
              </w:rPr>
              <w:t>-1</w:t>
            </w:r>
          </w:p>
        </w:tc>
        <w:tc>
          <w:tcPr>
            <w:tcW w:w="1183" w:type="dxa"/>
            <w:vAlign w:val="center"/>
          </w:tcPr>
          <w:p w14:paraId="68ADDF4C" w14:textId="77777777" w:rsidR="009B642C" w:rsidRDefault="00D17233">
            <w:pPr>
              <w:pStyle w:val="normal0"/>
              <w:jc w:val="center"/>
            </w:pPr>
            <w:r>
              <w:rPr>
                <w:rFonts w:ascii="Arial" w:eastAsia="Arial" w:hAnsi="Arial" w:cs="Arial"/>
                <w:sz w:val="14"/>
                <w:szCs w:val="14"/>
              </w:rPr>
              <w:t>NA</w:t>
            </w:r>
          </w:p>
        </w:tc>
        <w:tc>
          <w:tcPr>
            <w:tcW w:w="1236" w:type="dxa"/>
            <w:vAlign w:val="center"/>
          </w:tcPr>
          <w:p w14:paraId="715C5008" w14:textId="77777777" w:rsidR="009B642C" w:rsidRDefault="00D17233">
            <w:pPr>
              <w:pStyle w:val="normal0"/>
              <w:jc w:val="center"/>
            </w:pPr>
            <w:r>
              <w:rPr>
                <w:rFonts w:ascii="Arial" w:eastAsia="Arial" w:hAnsi="Arial" w:cs="Arial"/>
                <w:sz w:val="14"/>
                <w:szCs w:val="14"/>
              </w:rPr>
              <w:t>NA</w:t>
            </w:r>
          </w:p>
        </w:tc>
        <w:tc>
          <w:tcPr>
            <w:tcW w:w="1236" w:type="dxa"/>
            <w:vAlign w:val="center"/>
          </w:tcPr>
          <w:p w14:paraId="7D77328C" w14:textId="77777777" w:rsidR="009B642C" w:rsidRDefault="00D17233">
            <w:pPr>
              <w:pStyle w:val="normal0"/>
              <w:jc w:val="center"/>
            </w:pPr>
            <w:r>
              <w:rPr>
                <w:rFonts w:ascii="Arial" w:eastAsia="Arial" w:hAnsi="Arial" w:cs="Arial"/>
                <w:sz w:val="14"/>
                <w:szCs w:val="14"/>
              </w:rPr>
              <w:t>NA</w:t>
            </w:r>
          </w:p>
        </w:tc>
        <w:tc>
          <w:tcPr>
            <w:tcW w:w="1344" w:type="dxa"/>
            <w:vAlign w:val="center"/>
          </w:tcPr>
          <w:p w14:paraId="60DB1793" w14:textId="77777777" w:rsidR="009B642C" w:rsidRDefault="00D17233">
            <w:pPr>
              <w:pStyle w:val="normal0"/>
              <w:jc w:val="center"/>
            </w:pPr>
            <w:r>
              <w:rPr>
                <w:rFonts w:ascii="Arial" w:eastAsia="Arial" w:hAnsi="Arial" w:cs="Arial"/>
                <w:sz w:val="14"/>
                <w:szCs w:val="14"/>
              </w:rPr>
              <w:t>NA</w:t>
            </w:r>
          </w:p>
        </w:tc>
        <w:tc>
          <w:tcPr>
            <w:tcW w:w="1344" w:type="dxa"/>
            <w:vAlign w:val="center"/>
          </w:tcPr>
          <w:p w14:paraId="50243FD6" w14:textId="77777777" w:rsidR="009B642C" w:rsidRDefault="00D17233">
            <w:pPr>
              <w:pStyle w:val="normal0"/>
              <w:jc w:val="center"/>
            </w:pPr>
            <w:r>
              <w:rPr>
                <w:rFonts w:ascii="Arial" w:eastAsia="Arial" w:hAnsi="Arial" w:cs="Arial"/>
                <w:sz w:val="14"/>
                <w:szCs w:val="14"/>
              </w:rPr>
              <w:t>NA</w:t>
            </w:r>
          </w:p>
        </w:tc>
        <w:tc>
          <w:tcPr>
            <w:tcW w:w="1235" w:type="dxa"/>
            <w:vAlign w:val="center"/>
          </w:tcPr>
          <w:p w14:paraId="19B1E1FE" w14:textId="5B383DAD" w:rsidR="009B642C" w:rsidRDefault="00E44C89">
            <w:pPr>
              <w:pStyle w:val="normal0"/>
              <w:jc w:val="center"/>
            </w:pPr>
            <w:r>
              <w:rPr>
                <w:rFonts w:ascii="Arial" w:eastAsia="Arial" w:hAnsi="Arial" w:cs="Arial"/>
                <w:sz w:val="14"/>
                <w:szCs w:val="14"/>
              </w:rPr>
              <w:t>426</w:t>
            </w:r>
            <w:r w:rsidR="00D17233">
              <w:rPr>
                <w:rFonts w:ascii="Arial" w:eastAsia="Arial" w:hAnsi="Arial" w:cs="Arial"/>
                <w:sz w:val="14"/>
                <w:szCs w:val="14"/>
              </w:rPr>
              <w:t xml:space="preserve"> (0-inf)</w:t>
            </w:r>
          </w:p>
        </w:tc>
      </w:tr>
      <w:tr w:rsidR="009B642C" w14:paraId="08B738C9" w14:textId="77777777" w:rsidTr="00137E64">
        <w:trPr>
          <w:trHeight w:val="240"/>
        </w:trPr>
        <w:tc>
          <w:tcPr>
            <w:tcW w:w="672" w:type="dxa"/>
            <w:vAlign w:val="center"/>
          </w:tcPr>
          <w:p w14:paraId="635BE28B" w14:textId="77777777" w:rsidR="009B642C" w:rsidRDefault="00D17233">
            <w:pPr>
              <w:pStyle w:val="normal0"/>
              <w:jc w:val="center"/>
            </w:pPr>
            <w:r>
              <w:rPr>
                <w:rFonts w:ascii="Arial" w:eastAsia="Arial" w:hAnsi="Arial" w:cs="Arial"/>
                <w:sz w:val="14"/>
                <w:szCs w:val="14"/>
              </w:rPr>
              <w:t>C</w:t>
            </w:r>
            <w:r w:rsidRPr="00137E64">
              <w:rPr>
                <w:rFonts w:ascii="Arial" w:eastAsia="Arial" w:hAnsi="Arial" w:cs="Arial"/>
                <w:sz w:val="14"/>
                <w:szCs w:val="14"/>
                <w:vertAlign w:val="subscript"/>
              </w:rPr>
              <w:t>0</w:t>
            </w:r>
          </w:p>
        </w:tc>
        <w:tc>
          <w:tcPr>
            <w:tcW w:w="606" w:type="dxa"/>
          </w:tcPr>
          <w:p w14:paraId="570ED107" w14:textId="74832A7A" w:rsidR="009B642C" w:rsidRDefault="00137E64" w:rsidP="00137E64">
            <w:pPr>
              <w:pStyle w:val="normal0"/>
              <w:jc w:val="center"/>
            </w:pPr>
            <w:proofErr w:type="gramStart"/>
            <w:r>
              <w:rPr>
                <w:rFonts w:ascii="Arial" w:eastAsia="Arial" w:hAnsi="Arial" w:cs="Arial"/>
                <w:sz w:val="14"/>
                <w:szCs w:val="14"/>
              </w:rPr>
              <w:t>c</w:t>
            </w:r>
            <w:r w:rsidR="00847D93">
              <w:rPr>
                <w:rFonts w:ascii="Arial" w:eastAsia="Arial" w:hAnsi="Arial" w:cs="Arial"/>
                <w:sz w:val="14"/>
                <w:szCs w:val="14"/>
              </w:rPr>
              <w:t>e</w:t>
            </w:r>
            <w:r w:rsidR="00D17233">
              <w:rPr>
                <w:rFonts w:ascii="Arial" w:eastAsia="Arial" w:hAnsi="Arial" w:cs="Arial"/>
                <w:sz w:val="14"/>
                <w:szCs w:val="14"/>
              </w:rPr>
              <w:t>lls</w:t>
            </w:r>
            <w:proofErr w:type="gramEnd"/>
            <w:r w:rsidR="00D17233">
              <w:rPr>
                <w:rFonts w:ascii="Arial" w:eastAsia="Arial" w:hAnsi="Arial" w:cs="Arial"/>
                <w:sz w:val="14"/>
                <w:szCs w:val="14"/>
              </w:rPr>
              <w:t xml:space="preserve"> ul</w:t>
            </w:r>
            <w:r w:rsidR="00D17233">
              <w:rPr>
                <w:rFonts w:ascii="Arial" w:eastAsia="Arial" w:hAnsi="Arial" w:cs="Arial"/>
                <w:sz w:val="14"/>
                <w:szCs w:val="14"/>
                <w:vertAlign w:val="superscript"/>
              </w:rPr>
              <w:t>-1</w:t>
            </w:r>
          </w:p>
        </w:tc>
        <w:tc>
          <w:tcPr>
            <w:tcW w:w="1183" w:type="dxa"/>
          </w:tcPr>
          <w:p w14:paraId="6E75CDE9" w14:textId="0B3E8A0A" w:rsidR="009B642C" w:rsidRDefault="006472B5" w:rsidP="00137E64">
            <w:pPr>
              <w:pStyle w:val="normal0"/>
              <w:jc w:val="center"/>
            </w:pPr>
            <w:r>
              <w:rPr>
                <w:rFonts w:ascii="Arial" w:eastAsia="Arial" w:hAnsi="Arial" w:cs="Arial"/>
                <w:sz w:val="14"/>
                <w:szCs w:val="14"/>
              </w:rPr>
              <w:t>32.1 (25.2-37.2</w:t>
            </w:r>
            <w:r w:rsidR="00D17233">
              <w:rPr>
                <w:rFonts w:ascii="Arial" w:eastAsia="Arial" w:hAnsi="Arial" w:cs="Arial"/>
                <w:sz w:val="14"/>
                <w:szCs w:val="14"/>
              </w:rPr>
              <w:t>)</w:t>
            </w:r>
          </w:p>
        </w:tc>
        <w:tc>
          <w:tcPr>
            <w:tcW w:w="1236" w:type="dxa"/>
            <w:vAlign w:val="center"/>
          </w:tcPr>
          <w:p w14:paraId="386951B7" w14:textId="2BA433B8" w:rsidR="009B642C" w:rsidRDefault="006472B5">
            <w:pPr>
              <w:pStyle w:val="normal0"/>
              <w:jc w:val="center"/>
            </w:pPr>
            <w:r>
              <w:rPr>
                <w:rFonts w:ascii="Arial" w:eastAsia="Arial" w:hAnsi="Arial" w:cs="Arial"/>
                <w:sz w:val="14"/>
                <w:szCs w:val="14"/>
              </w:rPr>
              <w:t>33.3 (29.0-39.1</w:t>
            </w:r>
            <w:r w:rsidR="00D17233">
              <w:rPr>
                <w:rFonts w:ascii="Arial" w:eastAsia="Arial" w:hAnsi="Arial" w:cs="Arial"/>
                <w:sz w:val="14"/>
                <w:szCs w:val="14"/>
              </w:rPr>
              <w:t>)</w:t>
            </w:r>
          </w:p>
        </w:tc>
        <w:tc>
          <w:tcPr>
            <w:tcW w:w="1236" w:type="dxa"/>
            <w:vAlign w:val="center"/>
          </w:tcPr>
          <w:p w14:paraId="3B70ACE0" w14:textId="3FDD83B9" w:rsidR="009B642C" w:rsidRDefault="00D17233">
            <w:pPr>
              <w:pStyle w:val="normal0"/>
              <w:jc w:val="center"/>
            </w:pPr>
            <w:r>
              <w:rPr>
                <w:rFonts w:ascii="Arial" w:eastAsia="Arial" w:hAnsi="Arial" w:cs="Arial"/>
                <w:sz w:val="14"/>
                <w:szCs w:val="14"/>
              </w:rPr>
              <w:t>29</w:t>
            </w:r>
            <w:r w:rsidR="00080B7E">
              <w:rPr>
                <w:rFonts w:ascii="Arial" w:eastAsia="Arial" w:hAnsi="Arial" w:cs="Arial"/>
                <w:sz w:val="14"/>
                <w:szCs w:val="14"/>
              </w:rPr>
              <w:t>.4 (22.4-36.2</w:t>
            </w:r>
            <w:r>
              <w:rPr>
                <w:rFonts w:ascii="Arial" w:eastAsia="Arial" w:hAnsi="Arial" w:cs="Arial"/>
                <w:sz w:val="14"/>
                <w:szCs w:val="14"/>
              </w:rPr>
              <w:t>)</w:t>
            </w:r>
          </w:p>
        </w:tc>
        <w:tc>
          <w:tcPr>
            <w:tcW w:w="1344" w:type="dxa"/>
            <w:vAlign w:val="center"/>
          </w:tcPr>
          <w:p w14:paraId="6CA4ED95" w14:textId="5D180686" w:rsidR="009B642C" w:rsidRDefault="00DB001B">
            <w:pPr>
              <w:pStyle w:val="normal0"/>
              <w:jc w:val="center"/>
            </w:pPr>
            <w:r>
              <w:rPr>
                <w:rFonts w:ascii="Arial" w:eastAsia="Arial" w:hAnsi="Arial" w:cs="Arial"/>
                <w:sz w:val="14"/>
                <w:szCs w:val="14"/>
              </w:rPr>
              <w:t>31.4 (24.6-38.7</w:t>
            </w:r>
            <w:r w:rsidR="00D17233">
              <w:rPr>
                <w:rFonts w:ascii="Arial" w:eastAsia="Arial" w:hAnsi="Arial" w:cs="Arial"/>
                <w:sz w:val="14"/>
                <w:szCs w:val="14"/>
              </w:rPr>
              <w:t>)</w:t>
            </w:r>
          </w:p>
        </w:tc>
        <w:tc>
          <w:tcPr>
            <w:tcW w:w="1344" w:type="dxa"/>
            <w:vAlign w:val="center"/>
          </w:tcPr>
          <w:p w14:paraId="0E3B4FAA" w14:textId="2D80E142" w:rsidR="009B642C" w:rsidRDefault="008F1AB6">
            <w:pPr>
              <w:pStyle w:val="normal0"/>
              <w:jc w:val="center"/>
            </w:pPr>
            <w:r>
              <w:rPr>
                <w:rFonts w:ascii="Arial" w:eastAsia="Arial" w:hAnsi="Arial" w:cs="Arial"/>
                <w:sz w:val="14"/>
                <w:szCs w:val="14"/>
              </w:rPr>
              <w:t>33.1 (26.7-38.8</w:t>
            </w:r>
            <w:r w:rsidR="00D17233">
              <w:rPr>
                <w:rFonts w:ascii="Arial" w:eastAsia="Arial" w:hAnsi="Arial" w:cs="Arial"/>
                <w:sz w:val="14"/>
                <w:szCs w:val="14"/>
              </w:rPr>
              <w:t>)</w:t>
            </w:r>
          </w:p>
        </w:tc>
        <w:tc>
          <w:tcPr>
            <w:tcW w:w="1235" w:type="dxa"/>
            <w:vAlign w:val="center"/>
          </w:tcPr>
          <w:p w14:paraId="146BDAD7" w14:textId="1076995A" w:rsidR="009B642C" w:rsidRDefault="00E44C89">
            <w:pPr>
              <w:pStyle w:val="normal0"/>
              <w:jc w:val="center"/>
            </w:pPr>
            <w:r>
              <w:rPr>
                <w:rFonts w:ascii="Arial" w:eastAsia="Arial" w:hAnsi="Arial" w:cs="Arial"/>
                <w:sz w:val="14"/>
                <w:szCs w:val="14"/>
              </w:rPr>
              <w:t>33.4</w:t>
            </w:r>
            <w:r w:rsidR="00AD7589">
              <w:rPr>
                <w:rFonts w:ascii="Arial" w:eastAsia="Arial" w:hAnsi="Arial" w:cs="Arial"/>
                <w:sz w:val="14"/>
                <w:szCs w:val="14"/>
              </w:rPr>
              <w:t xml:space="preserve"> (26.2-38.7</w:t>
            </w:r>
            <w:r w:rsidR="00D17233">
              <w:rPr>
                <w:rFonts w:ascii="Arial" w:eastAsia="Arial" w:hAnsi="Arial" w:cs="Arial"/>
                <w:sz w:val="14"/>
                <w:szCs w:val="14"/>
              </w:rPr>
              <w:t>)</w:t>
            </w:r>
          </w:p>
        </w:tc>
      </w:tr>
    </w:tbl>
    <w:p w14:paraId="374C1677" w14:textId="77777777" w:rsidR="0081423F" w:rsidRDefault="0081423F" w:rsidP="0081423F">
      <w:pPr>
        <w:pStyle w:val="normal0"/>
        <w:spacing w:line="480" w:lineRule="auto"/>
      </w:pPr>
      <w:r>
        <w:rPr>
          <w:rFonts w:ascii="Times New Roman" w:eastAsia="Times New Roman" w:hAnsi="Times New Roman" w:cs="Times New Roman"/>
        </w:rPr>
        <w:lastRenderedPageBreak/>
        <w:t xml:space="preserve">A weighted nonlinear least squares method was used to fit experimental data to six different model configurations shown in Fig S2.  For each model, parameter estimates and </w:t>
      </w:r>
      <w:proofErr w:type="gramStart"/>
      <w:r>
        <w:rPr>
          <w:rFonts w:ascii="Times New Roman" w:eastAsia="Times New Roman" w:hAnsi="Times New Roman" w:cs="Times New Roman"/>
        </w:rPr>
        <w:t>a 95% confidence intervals</w:t>
      </w:r>
      <w:proofErr w:type="gramEnd"/>
      <w:r>
        <w:rPr>
          <w:rFonts w:ascii="Times New Roman" w:eastAsia="Times New Roman" w:hAnsi="Times New Roman" w:cs="Times New Roman"/>
        </w:rPr>
        <w:t xml:space="preserve"> (95% CI) were determined.</w:t>
      </w:r>
    </w:p>
    <w:p w14:paraId="780A1FDA" w14:textId="77777777" w:rsidR="009B642C" w:rsidRDefault="009B642C">
      <w:pPr>
        <w:pStyle w:val="normal0"/>
      </w:pPr>
    </w:p>
    <w:p w14:paraId="3774EE2C" w14:textId="77777777" w:rsidR="009B642C" w:rsidRDefault="009B642C">
      <w:pPr>
        <w:pStyle w:val="normal0"/>
        <w:spacing w:line="480" w:lineRule="auto"/>
      </w:pPr>
    </w:p>
    <w:p w14:paraId="1BE1F11E" w14:textId="6E195F0E" w:rsidR="009B642C" w:rsidRPr="0081423F" w:rsidRDefault="00C30D66">
      <w:pPr>
        <w:pStyle w:val="normal0"/>
        <w:spacing w:line="480" w:lineRule="auto"/>
        <w:rPr>
          <w:b/>
        </w:rPr>
      </w:pPr>
      <w:r>
        <w:rPr>
          <w:b/>
        </w:rPr>
        <w:t>S3</w:t>
      </w:r>
      <w:r w:rsidR="001D2C7B">
        <w:rPr>
          <w:b/>
        </w:rPr>
        <w:t xml:space="preserve"> Fig</w:t>
      </w:r>
      <w:r w:rsidR="0081423F">
        <w:rPr>
          <w:b/>
        </w:rPr>
        <w:t>.</w:t>
      </w:r>
      <w:r w:rsidR="00D17233" w:rsidRPr="0081423F">
        <w:rPr>
          <w:b/>
        </w:rPr>
        <w:t xml:space="preserve"> Best fits for different model configurations.</w:t>
      </w:r>
    </w:p>
    <w:p w14:paraId="45EBCB4A" w14:textId="77777777" w:rsidR="009B642C" w:rsidRDefault="00D17233">
      <w:pPr>
        <w:pStyle w:val="normal0"/>
        <w:spacing w:line="480" w:lineRule="auto"/>
      </w:pPr>
      <w:r>
        <w:rPr>
          <w:rFonts w:ascii="Times New Roman" w:eastAsia="Times New Roman" w:hAnsi="Times New Roman" w:cs="Times New Roman"/>
        </w:rPr>
        <w:t xml:space="preserve">Experimental data for the concentration of uninfected (GFP-) cells (A), infected (GFP+) cells (B), and infectious HIV-1 (C) was fitted with Models 2, 3 and 4.  Open circles represent independent experimental data points, while for each </w:t>
      </w:r>
      <w:proofErr w:type="gramStart"/>
      <w:r>
        <w:rPr>
          <w:rFonts w:ascii="Times New Roman" w:eastAsia="Times New Roman" w:hAnsi="Times New Roman" w:cs="Times New Roman"/>
        </w:rPr>
        <w:t>species,</w:t>
      </w:r>
      <w:proofErr w:type="gramEnd"/>
      <w:r>
        <w:rPr>
          <w:rFonts w:ascii="Times New Roman" w:eastAsia="Times New Roman" w:hAnsi="Times New Roman" w:cs="Times New Roman"/>
        </w:rPr>
        <w:t xml:space="preserve"> the solid black lines represent the model’s best fit.</w:t>
      </w:r>
    </w:p>
    <w:p w14:paraId="01E2A2FD" w14:textId="77777777" w:rsidR="009B642C" w:rsidRDefault="009B642C">
      <w:pPr>
        <w:pStyle w:val="normal0"/>
      </w:pPr>
    </w:p>
    <w:p w14:paraId="29D0C8B8" w14:textId="1BD5D14B" w:rsidR="009B642C" w:rsidRPr="0081423F" w:rsidRDefault="00C30D66">
      <w:pPr>
        <w:pStyle w:val="normal0"/>
        <w:spacing w:line="480" w:lineRule="auto"/>
        <w:rPr>
          <w:b/>
        </w:rPr>
      </w:pPr>
      <w:r>
        <w:rPr>
          <w:b/>
        </w:rPr>
        <w:t>S4</w:t>
      </w:r>
      <w:r w:rsidR="001D2C7B">
        <w:rPr>
          <w:b/>
        </w:rPr>
        <w:t xml:space="preserve"> Fig</w:t>
      </w:r>
      <w:r w:rsidR="0081423F">
        <w:rPr>
          <w:b/>
        </w:rPr>
        <w:t>.</w:t>
      </w:r>
      <w:r w:rsidR="00D17233" w:rsidRPr="0081423F">
        <w:rPr>
          <w:b/>
        </w:rPr>
        <w:t xml:space="preserve"> Estimated concentrations for individual cell species during </w:t>
      </w:r>
      <w:proofErr w:type="spellStart"/>
      <w:r w:rsidR="00D17233" w:rsidRPr="0081423F">
        <w:rPr>
          <w:b/>
        </w:rPr>
        <w:t>timecourse</w:t>
      </w:r>
      <w:proofErr w:type="spellEnd"/>
      <w:r w:rsidR="00D17233" w:rsidRPr="0081423F">
        <w:rPr>
          <w:b/>
        </w:rPr>
        <w:t xml:space="preserve"> infection.</w:t>
      </w:r>
    </w:p>
    <w:p w14:paraId="49B106BF" w14:textId="6249904C" w:rsidR="009B642C" w:rsidRDefault="00D17233">
      <w:pPr>
        <w:pStyle w:val="normal0"/>
        <w:spacing w:line="480" w:lineRule="auto"/>
      </w:pPr>
      <w:bookmarkStart w:id="0" w:name="h.gjdgxs" w:colFirst="0" w:colLast="0"/>
      <w:bookmarkEnd w:id="0"/>
      <w:r>
        <w:t>The estimated concentrations for individual cell specie</w:t>
      </w:r>
      <w:r w:rsidR="001014A1">
        <w:t>s CI (A), C (B), CHI (C) and CH</w:t>
      </w:r>
      <w:r>
        <w:t xml:space="preserve"> (D) over the </w:t>
      </w:r>
      <w:proofErr w:type="spellStart"/>
      <w:r>
        <w:t>timecourse</w:t>
      </w:r>
      <w:proofErr w:type="spellEnd"/>
      <w:r>
        <w:t xml:space="preserve"> of infection were calculated for each </w:t>
      </w:r>
      <w:proofErr w:type="spellStart"/>
      <w:r>
        <w:t>timepoint</w:t>
      </w:r>
      <w:proofErr w:type="spellEnd"/>
      <w:r>
        <w:t xml:space="preserve"> f</w:t>
      </w:r>
      <w:r w:rsidR="00167131">
        <w:t>rom the best fits for Model 1 (b</w:t>
      </w:r>
      <w:r>
        <w:t xml:space="preserve">lue lines) and Model 2 (red lines). </w:t>
      </w:r>
    </w:p>
    <w:p w14:paraId="275CA74D" w14:textId="77777777" w:rsidR="001014A1" w:rsidRDefault="001014A1">
      <w:pPr>
        <w:pStyle w:val="normal0"/>
        <w:spacing w:line="480" w:lineRule="auto"/>
      </w:pPr>
    </w:p>
    <w:p w14:paraId="6CC87712" w14:textId="77777777" w:rsidR="008239F7" w:rsidRDefault="008239F7">
      <w:pPr>
        <w:pStyle w:val="normal0"/>
        <w:spacing w:line="480" w:lineRule="auto"/>
      </w:pPr>
    </w:p>
    <w:p w14:paraId="0DBC1FF0" w14:textId="52EC8318" w:rsidR="001014A1" w:rsidRPr="0081423F" w:rsidRDefault="006D7D7E">
      <w:pPr>
        <w:pStyle w:val="normal0"/>
        <w:spacing w:line="480" w:lineRule="auto"/>
        <w:rPr>
          <w:b/>
        </w:rPr>
      </w:pPr>
      <w:r>
        <w:rPr>
          <w:b/>
        </w:rPr>
        <w:t>Table</w:t>
      </w:r>
      <w:r w:rsidR="000259D5">
        <w:rPr>
          <w:b/>
        </w:rPr>
        <w:t xml:space="preserve"> B</w:t>
      </w:r>
      <w:r w:rsidR="0081423F">
        <w:rPr>
          <w:b/>
        </w:rPr>
        <w:t>.</w:t>
      </w:r>
      <w:r w:rsidR="001014A1" w:rsidRPr="0081423F">
        <w:rPr>
          <w:b/>
        </w:rPr>
        <w:t xml:space="preserve"> Fit error with non-zero IFNα decay value.</w:t>
      </w:r>
    </w:p>
    <w:tbl>
      <w:tblPr>
        <w:tblStyle w:val="TableGrid"/>
        <w:tblW w:w="0" w:type="auto"/>
        <w:tblLook w:val="04A0" w:firstRow="1" w:lastRow="0" w:firstColumn="1" w:lastColumn="0" w:noHBand="0" w:noVBand="1"/>
      </w:tblPr>
      <w:tblGrid>
        <w:gridCol w:w="2952"/>
        <w:gridCol w:w="2952"/>
        <w:gridCol w:w="2952"/>
      </w:tblGrid>
      <w:tr w:rsidR="001014A1" w:rsidRPr="00137E64" w14:paraId="6180C84A" w14:textId="77777777" w:rsidTr="001014A1">
        <w:tc>
          <w:tcPr>
            <w:tcW w:w="2952" w:type="dxa"/>
          </w:tcPr>
          <w:p w14:paraId="0522027F" w14:textId="77777777" w:rsidR="001014A1" w:rsidRPr="00137E64" w:rsidRDefault="001014A1" w:rsidP="00080B7E">
            <w:pPr>
              <w:rPr>
                <w:b/>
              </w:rPr>
            </w:pPr>
          </w:p>
        </w:tc>
        <w:tc>
          <w:tcPr>
            <w:tcW w:w="2952" w:type="dxa"/>
          </w:tcPr>
          <w:p w14:paraId="04C6807B" w14:textId="77777777" w:rsidR="001014A1" w:rsidRPr="00137E64" w:rsidRDefault="001014A1" w:rsidP="00080B7E">
            <w:pPr>
              <w:rPr>
                <w:b/>
              </w:rPr>
            </w:pPr>
            <w:r w:rsidRPr="00137E64">
              <w:rPr>
                <w:b/>
              </w:rPr>
              <w:t>Model 1</w:t>
            </w:r>
          </w:p>
        </w:tc>
        <w:tc>
          <w:tcPr>
            <w:tcW w:w="2952" w:type="dxa"/>
          </w:tcPr>
          <w:p w14:paraId="4E3BA6F4" w14:textId="77777777" w:rsidR="001014A1" w:rsidRPr="00137E64" w:rsidRDefault="001014A1" w:rsidP="00080B7E">
            <w:pPr>
              <w:rPr>
                <w:b/>
              </w:rPr>
            </w:pPr>
            <w:r w:rsidRPr="00137E64">
              <w:rPr>
                <w:b/>
              </w:rPr>
              <w:t>Model 2</w:t>
            </w:r>
          </w:p>
        </w:tc>
      </w:tr>
      <w:tr w:rsidR="001014A1" w14:paraId="5015EAF9" w14:textId="77777777" w:rsidTr="001014A1">
        <w:tc>
          <w:tcPr>
            <w:tcW w:w="2952" w:type="dxa"/>
          </w:tcPr>
          <w:p w14:paraId="24909D12" w14:textId="77777777" w:rsidR="001014A1" w:rsidRPr="00AD38C3" w:rsidRDefault="001014A1" w:rsidP="00080B7E">
            <w:r w:rsidRPr="00AD38C3">
              <w:t>Fit error</w:t>
            </w:r>
          </w:p>
        </w:tc>
        <w:tc>
          <w:tcPr>
            <w:tcW w:w="2952" w:type="dxa"/>
          </w:tcPr>
          <w:p w14:paraId="5AE67B60" w14:textId="2308F36B" w:rsidR="001014A1" w:rsidRPr="00AD38C3" w:rsidRDefault="00997F33" w:rsidP="00080B7E">
            <w:r>
              <w:t>278</w:t>
            </w:r>
            <w:r w:rsidR="001014A1" w:rsidRPr="00AD38C3">
              <w:t>.</w:t>
            </w:r>
            <w:r>
              <w:t>3</w:t>
            </w:r>
          </w:p>
        </w:tc>
        <w:tc>
          <w:tcPr>
            <w:tcW w:w="2952" w:type="dxa"/>
          </w:tcPr>
          <w:p w14:paraId="571808C9" w14:textId="78657666" w:rsidR="001014A1" w:rsidRDefault="00997F33" w:rsidP="00080B7E">
            <w:r>
              <w:t>1368</w:t>
            </w:r>
            <w:r w:rsidR="001014A1" w:rsidRPr="00AD38C3">
              <w:t>.</w:t>
            </w:r>
            <w:r>
              <w:t>0</w:t>
            </w:r>
          </w:p>
        </w:tc>
      </w:tr>
    </w:tbl>
    <w:p w14:paraId="7BF699E1" w14:textId="77777777" w:rsidR="0081423F" w:rsidRDefault="0081423F" w:rsidP="0081423F">
      <w:pPr>
        <w:pStyle w:val="normal0"/>
        <w:spacing w:line="480" w:lineRule="auto"/>
      </w:pPr>
      <w:r>
        <w:t xml:space="preserve">To determine whether our assumption of zero decay rate for IFNα influenced the conclusions of our study, we performed fitting with the half-life for IFNα arbitrarily set to one day and compared the fit errors between Model 1 and Model 2.  We determined that Model 1 provided a significantly more accurate fit than Model 2, </w:t>
      </w:r>
      <w:r>
        <w:lastRenderedPageBreak/>
        <w:t>similar to our fit with zero decay for IFNα.  This demonstrates that the superior performance of Model 1 is not dependent on the assumption of a negligible decay rate for IFNα.</w:t>
      </w:r>
    </w:p>
    <w:p w14:paraId="7F9B5F62" w14:textId="77777777" w:rsidR="005F25A2" w:rsidRDefault="005F25A2" w:rsidP="0081423F">
      <w:pPr>
        <w:pStyle w:val="normal0"/>
        <w:spacing w:line="480" w:lineRule="auto"/>
      </w:pPr>
    </w:p>
    <w:p w14:paraId="4CCCEDB8" w14:textId="77777777" w:rsidR="008239F7" w:rsidRDefault="008239F7" w:rsidP="0081423F">
      <w:pPr>
        <w:pStyle w:val="normal0"/>
        <w:spacing w:line="480" w:lineRule="auto"/>
      </w:pPr>
    </w:p>
    <w:p w14:paraId="06A7246C" w14:textId="57E733CF" w:rsidR="005F25A2" w:rsidRDefault="000259D5" w:rsidP="0081423F">
      <w:pPr>
        <w:pStyle w:val="normal0"/>
        <w:spacing w:line="480" w:lineRule="auto"/>
        <w:rPr>
          <w:b/>
        </w:rPr>
      </w:pPr>
      <w:r>
        <w:rPr>
          <w:b/>
        </w:rPr>
        <w:t>Table C</w:t>
      </w:r>
      <w:r w:rsidR="005F25A2" w:rsidRPr="005F25A2">
        <w:rPr>
          <w:b/>
        </w:rPr>
        <w:t xml:space="preserve">.  </w:t>
      </w:r>
      <w:proofErr w:type="gramStart"/>
      <w:r w:rsidR="005F25A2" w:rsidRPr="005F25A2">
        <w:rPr>
          <w:b/>
        </w:rPr>
        <w:t>Fit error with virus consumption by cells.</w:t>
      </w:r>
      <w:proofErr w:type="gramEnd"/>
    </w:p>
    <w:tbl>
      <w:tblPr>
        <w:tblStyle w:val="TableGrid"/>
        <w:tblW w:w="0" w:type="auto"/>
        <w:tblLook w:val="04A0" w:firstRow="1" w:lastRow="0" w:firstColumn="1" w:lastColumn="0" w:noHBand="0" w:noVBand="1"/>
      </w:tblPr>
      <w:tblGrid>
        <w:gridCol w:w="2952"/>
        <w:gridCol w:w="2952"/>
        <w:gridCol w:w="2952"/>
      </w:tblGrid>
      <w:tr w:rsidR="005F25A2" w:rsidRPr="00137E64" w14:paraId="3BF8AD39" w14:textId="77777777" w:rsidTr="005F25A2">
        <w:tc>
          <w:tcPr>
            <w:tcW w:w="2952" w:type="dxa"/>
          </w:tcPr>
          <w:p w14:paraId="7017EEF3" w14:textId="77777777" w:rsidR="005F25A2" w:rsidRPr="00137E64" w:rsidRDefault="005F25A2" w:rsidP="005F25A2">
            <w:pPr>
              <w:rPr>
                <w:b/>
              </w:rPr>
            </w:pPr>
          </w:p>
        </w:tc>
        <w:tc>
          <w:tcPr>
            <w:tcW w:w="2952" w:type="dxa"/>
          </w:tcPr>
          <w:p w14:paraId="6136D7A3" w14:textId="5EF67AA2" w:rsidR="005F25A2" w:rsidRPr="00137E64" w:rsidRDefault="005F25A2" w:rsidP="005F25A2">
            <w:pPr>
              <w:rPr>
                <w:b/>
              </w:rPr>
            </w:pPr>
            <w:r>
              <w:rPr>
                <w:b/>
              </w:rPr>
              <w:t>No virus consumption</w:t>
            </w:r>
          </w:p>
        </w:tc>
        <w:tc>
          <w:tcPr>
            <w:tcW w:w="2952" w:type="dxa"/>
          </w:tcPr>
          <w:p w14:paraId="0FFB6FB2" w14:textId="1B948E66" w:rsidR="005F25A2" w:rsidRPr="00137E64" w:rsidRDefault="005F25A2" w:rsidP="005F25A2">
            <w:pPr>
              <w:rPr>
                <w:b/>
              </w:rPr>
            </w:pPr>
            <w:r>
              <w:rPr>
                <w:b/>
              </w:rPr>
              <w:t>With virus consumption</w:t>
            </w:r>
          </w:p>
        </w:tc>
      </w:tr>
      <w:tr w:rsidR="005F25A2" w14:paraId="714F94EF" w14:textId="77777777" w:rsidTr="005F25A2">
        <w:tc>
          <w:tcPr>
            <w:tcW w:w="2952" w:type="dxa"/>
          </w:tcPr>
          <w:p w14:paraId="4E1A27F7" w14:textId="77777777" w:rsidR="005F25A2" w:rsidRPr="00AD38C3" w:rsidRDefault="005F25A2" w:rsidP="005F25A2">
            <w:r w:rsidRPr="00AD38C3">
              <w:t>Fit error</w:t>
            </w:r>
          </w:p>
        </w:tc>
        <w:tc>
          <w:tcPr>
            <w:tcW w:w="2952" w:type="dxa"/>
          </w:tcPr>
          <w:p w14:paraId="5C7C1AC7" w14:textId="5A223C63" w:rsidR="005F25A2" w:rsidRPr="00AD38C3" w:rsidRDefault="005F25A2" w:rsidP="005F25A2">
            <w:pPr>
              <w:jc w:val="center"/>
            </w:pPr>
            <w:r>
              <w:t>276.6</w:t>
            </w:r>
          </w:p>
        </w:tc>
        <w:tc>
          <w:tcPr>
            <w:tcW w:w="2952" w:type="dxa"/>
          </w:tcPr>
          <w:p w14:paraId="201C1B49" w14:textId="64666378" w:rsidR="005F25A2" w:rsidRDefault="005F25A2" w:rsidP="005F25A2">
            <w:pPr>
              <w:jc w:val="center"/>
            </w:pPr>
            <w:r>
              <w:t>290.22</w:t>
            </w:r>
          </w:p>
        </w:tc>
      </w:tr>
    </w:tbl>
    <w:p w14:paraId="3F57459C" w14:textId="40541436" w:rsidR="005F25A2" w:rsidRPr="005F25A2" w:rsidRDefault="005F25A2" w:rsidP="0081423F">
      <w:pPr>
        <w:pStyle w:val="normal0"/>
        <w:spacing w:line="480" w:lineRule="auto"/>
      </w:pPr>
      <w:r>
        <w:t>To determine whether virus consumption could significantly affect the outcome o</w:t>
      </w:r>
      <w:r w:rsidR="00194B81">
        <w:t>f model fitting, the fir error</w:t>
      </w:r>
      <w:r>
        <w:t xml:space="preserve"> of Model 1 was compared to a variant that included cell-dependent consumption of HIV </w:t>
      </w:r>
      <w:proofErr w:type="spellStart"/>
      <w:r>
        <w:t>virions</w:t>
      </w:r>
      <w:proofErr w:type="spellEnd"/>
      <w:r>
        <w:t xml:space="preserve"> (by adding the term </w:t>
      </w:r>
      <w:r w:rsidRPr="005F25A2">
        <w:t>-k5*(C+CH)*H</w:t>
      </w:r>
      <w:r w:rsidR="00194B81">
        <w:t xml:space="preserve"> to the </w:t>
      </w:r>
      <w:bookmarkStart w:id="1" w:name="_GoBack"/>
      <w:bookmarkEnd w:id="1"/>
      <w:proofErr w:type="spellStart"/>
      <w:r w:rsidR="00194B81">
        <w:t>dH</w:t>
      </w:r>
      <w:proofErr w:type="spellEnd"/>
      <w:r w:rsidR="00194B81">
        <w:t>/</w:t>
      </w:r>
      <w:proofErr w:type="spellStart"/>
      <w:r w:rsidR="00194B81">
        <w:t>dT</w:t>
      </w:r>
      <w:proofErr w:type="spellEnd"/>
      <w:r w:rsidR="00194B81">
        <w:t xml:space="preserve"> equation).  The fit error in this case was found to be similar to the fit error for Model 1 and other saturating model variants.</w:t>
      </w:r>
    </w:p>
    <w:p w14:paraId="73E43822" w14:textId="77777777" w:rsidR="001014A1" w:rsidRDefault="001014A1">
      <w:pPr>
        <w:pStyle w:val="normal0"/>
        <w:spacing w:line="480" w:lineRule="auto"/>
      </w:pPr>
    </w:p>
    <w:p w14:paraId="154A5CDA" w14:textId="77777777" w:rsidR="001014A1" w:rsidRDefault="001014A1">
      <w:pPr>
        <w:pStyle w:val="normal0"/>
        <w:spacing w:line="480" w:lineRule="auto"/>
      </w:pPr>
    </w:p>
    <w:p w14:paraId="60D8CB45" w14:textId="77777777" w:rsidR="001014A1" w:rsidRDefault="001014A1">
      <w:pPr>
        <w:pStyle w:val="normal0"/>
        <w:spacing w:line="480" w:lineRule="auto"/>
      </w:pPr>
    </w:p>
    <w:p w14:paraId="77FAF91E" w14:textId="77777777" w:rsidR="001014A1" w:rsidRDefault="001014A1">
      <w:pPr>
        <w:pStyle w:val="normal0"/>
        <w:spacing w:line="480" w:lineRule="auto"/>
      </w:pPr>
    </w:p>
    <w:p w14:paraId="7233F90B" w14:textId="77777777" w:rsidR="001014A1" w:rsidRDefault="001014A1">
      <w:pPr>
        <w:pStyle w:val="normal0"/>
        <w:spacing w:line="480" w:lineRule="auto"/>
      </w:pPr>
    </w:p>
    <w:p w14:paraId="4EE612A8" w14:textId="77777777" w:rsidR="009B642C" w:rsidRDefault="009B642C">
      <w:pPr>
        <w:pStyle w:val="normal0"/>
        <w:spacing w:line="480" w:lineRule="auto"/>
      </w:pPr>
    </w:p>
    <w:sectPr w:rsidR="009B642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B642C"/>
    <w:rsid w:val="000259D5"/>
    <w:rsid w:val="00080B7E"/>
    <w:rsid w:val="001014A1"/>
    <w:rsid w:val="00137E64"/>
    <w:rsid w:val="00167131"/>
    <w:rsid w:val="00194B81"/>
    <w:rsid w:val="001D2C7B"/>
    <w:rsid w:val="001D3CAB"/>
    <w:rsid w:val="001F3AE2"/>
    <w:rsid w:val="00255536"/>
    <w:rsid w:val="00341C4D"/>
    <w:rsid w:val="003E380C"/>
    <w:rsid w:val="004A690C"/>
    <w:rsid w:val="004D10D0"/>
    <w:rsid w:val="005F25A2"/>
    <w:rsid w:val="006472B5"/>
    <w:rsid w:val="006D7D7E"/>
    <w:rsid w:val="00766FEA"/>
    <w:rsid w:val="0081423F"/>
    <w:rsid w:val="008239F7"/>
    <w:rsid w:val="00847D93"/>
    <w:rsid w:val="008F1AB6"/>
    <w:rsid w:val="00910F86"/>
    <w:rsid w:val="0094166B"/>
    <w:rsid w:val="009754D4"/>
    <w:rsid w:val="00997F33"/>
    <w:rsid w:val="009B1248"/>
    <w:rsid w:val="009B642C"/>
    <w:rsid w:val="009F636F"/>
    <w:rsid w:val="00AD7589"/>
    <w:rsid w:val="00B554DE"/>
    <w:rsid w:val="00C30D66"/>
    <w:rsid w:val="00CC130F"/>
    <w:rsid w:val="00D17233"/>
    <w:rsid w:val="00D653C1"/>
    <w:rsid w:val="00DB001B"/>
    <w:rsid w:val="00E44C89"/>
    <w:rsid w:val="00F82E9B"/>
    <w:rsid w:val="00FA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9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101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101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55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877</Words>
  <Characters>5003</Characters>
  <Application>Microsoft Macintosh Word</Application>
  <DocSecurity>0</DocSecurity>
  <Lines>41</Lines>
  <Paragraphs>11</Paragraphs>
  <ScaleCrop>false</ScaleCrop>
  <Company>MIT</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Browne</cp:lastModifiedBy>
  <cp:revision>5</cp:revision>
  <dcterms:created xsi:type="dcterms:W3CDTF">2016-02-26T14:43:00Z</dcterms:created>
  <dcterms:modified xsi:type="dcterms:W3CDTF">2016-03-16T22:29:00Z</dcterms:modified>
</cp:coreProperties>
</file>