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83868" w14:textId="38D6C1C1" w:rsidR="00A8399A" w:rsidRPr="00084AF2" w:rsidRDefault="00FD3DEF" w:rsidP="00FD3DEF">
      <w:pPr>
        <w:pStyle w:val="berschrift1"/>
        <w:ind w:left="0" w:firstLine="0"/>
        <w:rPr>
          <w:noProof w:val="0"/>
          <w:lang w:val="en-US"/>
        </w:rPr>
      </w:pPr>
      <w:r>
        <w:rPr>
          <w:noProof w:val="0"/>
          <w:lang w:val="en-US"/>
        </w:rPr>
        <w:t>S8 Table</w:t>
      </w:r>
      <w:r w:rsidR="00D2451B" w:rsidRPr="00084AF2">
        <w:rPr>
          <w:noProof w:val="0"/>
          <w:lang w:val="en-US"/>
        </w:rPr>
        <w:t>: Additional estimates</w:t>
      </w:r>
      <w:r>
        <w:rPr>
          <w:noProof w:val="0"/>
          <w:lang w:val="en-US"/>
        </w:rPr>
        <w:t xml:space="preserve"> – </w:t>
      </w:r>
      <w:r w:rsidRPr="00947619">
        <w:rPr>
          <w:noProof w:val="0"/>
          <w:lang w:val="en-US"/>
        </w:rPr>
        <w:t>Matching estimates for non-cognitive skills (</w:t>
      </w:r>
      <w:proofErr w:type="spellStart"/>
      <w:r w:rsidRPr="00947619">
        <w:rPr>
          <w:noProof w:val="0"/>
          <w:lang w:val="en-US"/>
        </w:rPr>
        <w:t>KiGGS</w:t>
      </w:r>
      <w:proofErr w:type="spellEnd"/>
      <w:r w:rsidRPr="00947619">
        <w:rPr>
          <w:noProof w:val="0"/>
          <w:lang w:val="en-US"/>
        </w:rPr>
        <w:t xml:space="preserve"> - cognitive sam</w:t>
      </w:r>
      <w:r w:rsidRPr="00947619">
        <w:rPr>
          <w:noProof w:val="0"/>
          <w:lang w:val="en-US"/>
        </w:rPr>
        <w:softHyphen/>
        <w:t>ple)</w:t>
      </w:r>
      <w:r>
        <w:rPr>
          <w:noProof w:val="0"/>
          <w:lang w:val="en-US"/>
        </w:rPr>
        <w:t xml:space="preserve">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370"/>
        <w:gridCol w:w="1370"/>
        <w:gridCol w:w="1370"/>
        <w:gridCol w:w="1370"/>
      </w:tblGrid>
      <w:tr w:rsidR="00794D9A" w:rsidRPr="00084AF2" w14:paraId="2D108D23" w14:textId="77777777" w:rsidTr="00794D9A">
        <w:trPr>
          <w:trHeight w:val="330"/>
        </w:trPr>
        <w:tc>
          <w:tcPr>
            <w:tcW w:w="30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C479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 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35DD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Y</w:t>
            </w:r>
            <w:r w:rsidRPr="00084AF2">
              <w:rPr>
                <w:noProof w:val="0"/>
                <w:vertAlign w:val="subscript"/>
              </w:rPr>
              <w:t>1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4C4F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Y</w:t>
            </w:r>
            <w:r w:rsidRPr="00084AF2">
              <w:rPr>
                <w:noProof w:val="0"/>
                <w:vertAlign w:val="subscript"/>
              </w:rPr>
              <w:t>0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3131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θ (ATE)</w:t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CEB03" w14:textId="77777777" w:rsidR="00794D9A" w:rsidRPr="00084AF2" w:rsidRDefault="00794D9A" w:rsidP="00724E75">
            <w:pPr>
              <w:pStyle w:val="Tabelle"/>
              <w:rPr>
                <w:noProof w:val="0"/>
              </w:rPr>
            </w:pPr>
            <w:r w:rsidRPr="00084AF2">
              <w:rPr>
                <w:noProof w:val="0"/>
              </w:rPr>
              <w:t>p-val. %</w:t>
            </w:r>
          </w:p>
        </w:tc>
      </w:tr>
      <w:tr w:rsidR="00A8399A" w:rsidRPr="00084AF2" w14:paraId="0513536A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33048" w14:textId="77777777" w:rsidR="00A8399A" w:rsidRPr="00084AF2" w:rsidRDefault="00A8399A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>Non-cognitive Skills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03FAD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7C410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6916" w14:textId="77777777" w:rsidR="00A8399A" w:rsidRPr="00084AF2" w:rsidRDefault="00A8399A" w:rsidP="00A8399A">
            <w:pPr>
              <w:pStyle w:val="Tabelle"/>
              <w:rPr>
                <w:b/>
                <w:noProof w:val="0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15193" w14:textId="77777777" w:rsidR="00A8399A" w:rsidRPr="00084AF2" w:rsidRDefault="00A8399A" w:rsidP="00A8399A">
            <w:pPr>
              <w:pStyle w:val="Tabelle"/>
              <w:rPr>
                <w:b/>
                <w:i/>
                <w:iCs/>
                <w:noProof w:val="0"/>
                <w:color w:val="000000"/>
              </w:rPr>
            </w:pPr>
          </w:p>
        </w:tc>
      </w:tr>
      <w:tr w:rsidR="00947619" w:rsidRPr="00084AF2" w14:paraId="1515D6F6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3C945" w14:textId="77777777" w:rsidR="00947619" w:rsidRPr="00084AF2" w:rsidRDefault="00947619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Emotional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4C02" w14:textId="77777777" w:rsidR="00947619" w:rsidRDefault="00947619" w:rsidP="00947619">
            <w:pPr>
              <w:pStyle w:val="Tabelle"/>
            </w:pPr>
            <w:r>
              <w:t>0.03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D0CD" w14:textId="77777777" w:rsidR="00947619" w:rsidRDefault="00947619" w:rsidP="00947619">
            <w:pPr>
              <w:pStyle w:val="Tabelle"/>
            </w:pPr>
            <w:r>
              <w:t>0.15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2DC8" w14:textId="77777777" w:rsidR="00947619" w:rsidRDefault="00947619" w:rsidP="00947619">
            <w:pPr>
              <w:pStyle w:val="Tabelle"/>
            </w:pPr>
            <w:r>
              <w:t>-0.12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4F4F3" w14:textId="77777777" w:rsidR="00947619" w:rsidRDefault="00947619" w:rsidP="00947619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47619" w:rsidRPr="00084AF2" w14:paraId="2C062C3D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5631" w14:textId="77777777" w:rsidR="00947619" w:rsidRPr="00084AF2" w:rsidRDefault="00947619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Behavioral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B3978" w14:textId="77777777" w:rsidR="00947619" w:rsidRDefault="00947619" w:rsidP="00947619">
            <w:pPr>
              <w:pStyle w:val="Tabelle"/>
            </w:pPr>
            <w:r>
              <w:t>-0.15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75C2" w14:textId="77777777" w:rsidR="00947619" w:rsidRDefault="00947619" w:rsidP="00947619">
            <w:pPr>
              <w:pStyle w:val="Tabelle"/>
            </w:pPr>
            <w:r>
              <w:t>-0.10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A50B2" w14:textId="77777777" w:rsidR="00947619" w:rsidRDefault="00947619" w:rsidP="00947619">
            <w:pPr>
              <w:pStyle w:val="Tabelle"/>
            </w:pPr>
            <w:r>
              <w:t>-0.05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67F81" w14:textId="77777777" w:rsidR="00947619" w:rsidRDefault="00947619" w:rsidP="00947619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947619" w:rsidRPr="00084AF2" w14:paraId="18D2D578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F8BB" w14:textId="77777777" w:rsidR="00947619" w:rsidRPr="00084AF2" w:rsidRDefault="00947619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Hyperactivity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1C5DF" w14:textId="77777777" w:rsidR="00947619" w:rsidRDefault="00947619" w:rsidP="00947619">
            <w:pPr>
              <w:pStyle w:val="Tabelle"/>
            </w:pPr>
            <w:r>
              <w:t>-0.08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CEBB" w14:textId="77777777" w:rsidR="00947619" w:rsidRDefault="00947619" w:rsidP="00947619">
            <w:pPr>
              <w:pStyle w:val="Tabelle"/>
            </w:pPr>
            <w:r>
              <w:t>-0.06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CA28" w14:textId="77777777" w:rsidR="00947619" w:rsidRDefault="00947619" w:rsidP="00947619">
            <w:pPr>
              <w:pStyle w:val="Tabelle"/>
            </w:pPr>
            <w:r>
              <w:t>-0.02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31B81" w14:textId="77777777" w:rsidR="00947619" w:rsidRDefault="00947619" w:rsidP="00947619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947619" w:rsidRPr="00084AF2" w14:paraId="168CFBE2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1982" w14:textId="77777777" w:rsidR="00947619" w:rsidRPr="00084AF2" w:rsidRDefault="00947619" w:rsidP="00A8399A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Peer Problems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83EB" w14:textId="77777777" w:rsidR="00947619" w:rsidRDefault="00947619" w:rsidP="00947619">
            <w:pPr>
              <w:pStyle w:val="Tabelle"/>
            </w:pPr>
            <w:r>
              <w:t>-0.05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933B" w14:textId="77777777" w:rsidR="00947619" w:rsidRDefault="00947619" w:rsidP="00947619">
            <w:pPr>
              <w:pStyle w:val="Tabelle"/>
            </w:pPr>
            <w:r>
              <w:t>0.18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1580" w14:textId="77777777" w:rsidR="00947619" w:rsidRDefault="00947619" w:rsidP="00947619">
            <w:pPr>
              <w:pStyle w:val="Tabelle"/>
            </w:pPr>
            <w:r>
              <w:t>-0.23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ABE4" w14:textId="77777777" w:rsidR="00947619" w:rsidRDefault="00947619" w:rsidP="00947619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947619" w:rsidRPr="00084AF2" w14:paraId="7AA94BD1" w14:textId="77777777" w:rsidTr="00794D9A">
        <w:trPr>
          <w:trHeight w:val="255"/>
        </w:trPr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7CD77" w14:textId="77777777" w:rsidR="00947619" w:rsidRPr="00084AF2" w:rsidRDefault="00947619" w:rsidP="00A8399A">
            <w:pPr>
              <w:pStyle w:val="Tabelle"/>
              <w:jc w:val="left"/>
              <w:rPr>
                <w:b/>
                <w:noProof w:val="0"/>
              </w:rPr>
            </w:pPr>
            <w:r w:rsidRPr="00084AF2">
              <w:rPr>
                <w:b/>
                <w:noProof w:val="0"/>
              </w:rPr>
              <w:t xml:space="preserve">   Overall Score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22931" w14:textId="77777777" w:rsidR="00947619" w:rsidRDefault="00947619" w:rsidP="00947619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t>-0.09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32A46" w14:textId="77777777" w:rsidR="00947619" w:rsidRDefault="00947619" w:rsidP="00947619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t>0.05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8171" w14:textId="77777777" w:rsidR="00947619" w:rsidRDefault="00947619" w:rsidP="00947619">
            <w:pPr>
              <w:pStyle w:val="Tabelle"/>
              <w:rPr>
                <w:b/>
                <w:bCs/>
              </w:rPr>
            </w:pPr>
            <w:r>
              <w:rPr>
                <w:b/>
                <w:bCs/>
              </w:rPr>
              <w:t>-0.14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A6DD" w14:textId="77777777" w:rsidR="00947619" w:rsidRDefault="00947619" w:rsidP="00947619">
            <w:pPr>
              <w:pStyle w:val="Tabell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947619" w:rsidRPr="00084AF2" w14:paraId="355F9BD9" w14:textId="77777777" w:rsidTr="00794D9A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E8178" w14:textId="77777777" w:rsidR="00947619" w:rsidRPr="00084AF2" w:rsidRDefault="00947619" w:rsidP="009C0864">
            <w:pPr>
              <w:pStyle w:val="Tabelle"/>
              <w:jc w:val="left"/>
              <w:rPr>
                <w:noProof w:val="0"/>
              </w:rPr>
            </w:pPr>
            <w:r w:rsidRPr="00084AF2">
              <w:rPr>
                <w:noProof w:val="0"/>
              </w:rPr>
              <w:t xml:space="preserve">   </w:t>
            </w:r>
            <w:r>
              <w:rPr>
                <w:noProof w:val="0"/>
              </w:rPr>
              <w:t>Anti</w:t>
            </w:r>
            <w:r w:rsidRPr="00084AF2">
              <w:rPr>
                <w:noProof w:val="0"/>
              </w:rPr>
              <w:t>social Behavior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ABD7" w14:textId="77777777" w:rsidR="00947619" w:rsidRDefault="00947619" w:rsidP="00947619">
            <w:pPr>
              <w:pStyle w:val="Tabelle"/>
            </w:pPr>
            <w:r>
              <w:t>-0.21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22961" w14:textId="77777777" w:rsidR="00947619" w:rsidRDefault="00947619" w:rsidP="00947619">
            <w:pPr>
              <w:pStyle w:val="Tabelle"/>
            </w:pPr>
            <w:r>
              <w:t>-0.06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A32A7" w14:textId="77777777" w:rsidR="00947619" w:rsidRDefault="00947619" w:rsidP="00947619">
            <w:pPr>
              <w:pStyle w:val="Tabelle"/>
            </w:pPr>
            <w:r>
              <w:t>-0.16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5DDEE" w14:textId="77777777" w:rsidR="00947619" w:rsidRDefault="00947619" w:rsidP="00947619">
            <w:pPr>
              <w:pStyle w:val="Tabelle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FEAAA00" w14:textId="77777777" w:rsidR="00724E75" w:rsidRDefault="00A8399A" w:rsidP="00724E75">
      <w:pPr>
        <w:pStyle w:val="Note"/>
        <w:tabs>
          <w:tab w:val="left" w:pos="7797"/>
        </w:tabs>
        <w:ind w:right="-1"/>
        <w:rPr>
          <w:lang w:val="en-US"/>
        </w:rPr>
      </w:pPr>
      <w:r w:rsidRPr="00084AF2">
        <w:rPr>
          <w:lang w:val="en-US"/>
        </w:rPr>
        <w:t xml:space="preserve">Note: </w:t>
      </w:r>
      <w:r w:rsidR="00855522">
        <w:rPr>
          <w:lang w:val="en-US"/>
        </w:rPr>
        <w:tab/>
      </w:r>
      <w:r w:rsidRPr="00084AF2">
        <w:rPr>
          <w:lang w:val="en-US"/>
        </w:rPr>
        <w:t xml:space="preserve">The results presented for non-cognitive skills stem from estimations based on the same sample for </w:t>
      </w:r>
      <w:r w:rsidR="001E7A6C" w:rsidRPr="00084AF2">
        <w:rPr>
          <w:lang w:val="en-US"/>
        </w:rPr>
        <w:t xml:space="preserve">which school grades are available. </w:t>
      </w:r>
      <w:r w:rsidR="00855522">
        <w:rPr>
          <w:lang w:val="en-US"/>
        </w:rPr>
        <w:t>p</w:t>
      </w:r>
      <w:r w:rsidRPr="00084AF2">
        <w:rPr>
          <w:lang w:val="en-US"/>
        </w:rPr>
        <w:t>-values are com</w:t>
      </w:r>
      <w:r w:rsidR="00E1706B">
        <w:rPr>
          <w:lang w:val="en-US"/>
        </w:rPr>
        <w:softHyphen/>
      </w:r>
      <w:r w:rsidRPr="00084AF2">
        <w:rPr>
          <w:lang w:val="en-US"/>
        </w:rPr>
        <w:t>puted by bootstrapping p-values of the t-statistic with 4999 replications.</w:t>
      </w:r>
      <w:bookmarkStart w:id="0" w:name="_GoBack"/>
      <w:bookmarkEnd w:id="0"/>
    </w:p>
    <w:sectPr w:rsidR="00724E75" w:rsidSect="00DC62B9">
      <w:footerReference w:type="even" r:id="rId10"/>
      <w:footerReference w:type="default" r:id="rId11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77777777" w:rsidR="00840032" w:rsidRDefault="00840032" w:rsidP="00C260CD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3DEF">
      <w:rPr>
        <w:rStyle w:val="Seitenzahl"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3DEF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DCE4D224-7DD3-9C42-8C2E-EB74B4A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2016-04-04T15:05:00Z</dcterms:created>
  <dcterms:modified xsi:type="dcterms:W3CDTF">2016-04-04T15:05:00Z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