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1E5A" w14:textId="32E9B8CA" w:rsidR="00A8399A" w:rsidRPr="00084AF2" w:rsidRDefault="00F476F0" w:rsidP="00DE6DE2">
      <w:pPr>
        <w:pStyle w:val="berschrift1"/>
        <w:ind w:left="0" w:firstLine="0"/>
        <w:rPr>
          <w:noProof w:val="0"/>
          <w:lang w:val="en-US"/>
        </w:rPr>
      </w:pPr>
      <w:r>
        <w:rPr>
          <w:noProof w:val="0"/>
          <w:lang w:val="en-US"/>
        </w:rPr>
        <w:t>S</w:t>
      </w:r>
      <w:r w:rsidR="00DE6DE2">
        <w:rPr>
          <w:noProof w:val="0"/>
          <w:lang w:val="en-US"/>
        </w:rPr>
        <w:t>7 Table</w:t>
      </w:r>
      <w:r w:rsidR="00D2451B" w:rsidRPr="00084AF2">
        <w:rPr>
          <w:noProof w:val="0"/>
          <w:lang w:val="en-US"/>
        </w:rPr>
        <w:t xml:space="preserve">: </w:t>
      </w:r>
      <w:r w:rsidR="00DE6DE2" w:rsidRPr="00084AF2">
        <w:rPr>
          <w:noProof w:val="0"/>
          <w:lang w:val="en-US"/>
        </w:rPr>
        <w:t>Matching estimates for cognitive and non-cognitive skills using different propensity score specification</w:t>
      </w:r>
      <w:r w:rsidR="00DE6DE2">
        <w:rPr>
          <w:noProof w:val="0"/>
          <w:lang w:val="en-US"/>
        </w:rPr>
        <w:t>s</w:t>
      </w:r>
      <w:bookmarkStart w:id="0" w:name="_GoBack"/>
      <w:bookmarkEnd w:id="0"/>
      <w:r w:rsidR="00DE6DE2" w:rsidRPr="00084AF2">
        <w:rPr>
          <w:noProof w:val="0"/>
          <w:lang w:val="en-US"/>
        </w:rPr>
        <w:t xml:space="preserve"> (</w:t>
      </w:r>
      <w:proofErr w:type="spellStart"/>
      <w:r w:rsidR="00DE6DE2" w:rsidRPr="00084AF2">
        <w:rPr>
          <w:noProof w:val="0"/>
          <w:lang w:val="en-US"/>
        </w:rPr>
        <w:t>KiGGS</w:t>
      </w:r>
      <w:proofErr w:type="spellEnd"/>
      <w:r w:rsidR="00DE6DE2" w:rsidRPr="00084AF2">
        <w:rPr>
          <w:noProof w:val="0"/>
          <w:lang w:val="en-US"/>
        </w:rPr>
        <w:t>)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370"/>
        <w:gridCol w:w="1370"/>
        <w:gridCol w:w="1370"/>
        <w:gridCol w:w="1370"/>
      </w:tblGrid>
      <w:tr w:rsidR="00794D9A" w:rsidRPr="00084AF2" w14:paraId="7BCEABA0" w14:textId="77777777" w:rsidTr="00794D9A">
        <w:trPr>
          <w:trHeight w:val="330"/>
        </w:trPr>
        <w:tc>
          <w:tcPr>
            <w:tcW w:w="30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1D97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 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FADA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Average Outcome</w:t>
            </w:r>
            <w:r>
              <w:rPr>
                <w:noProof w:val="0"/>
              </w:rPr>
              <w:t xml:space="preserve"> </w:t>
            </w:r>
            <w:r w:rsidRPr="00084AF2">
              <w:rPr>
                <w:noProof w:val="0"/>
              </w:rPr>
              <w:t>if Participating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D649A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Average Outcome</w:t>
            </w:r>
            <w:r>
              <w:rPr>
                <w:noProof w:val="0"/>
              </w:rPr>
              <w:t xml:space="preserve"> </w:t>
            </w:r>
            <w:r w:rsidRPr="00084AF2">
              <w:rPr>
                <w:noProof w:val="0"/>
              </w:rPr>
              <w:t>if Not Participating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90E88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Average Effect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6627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p-val. %</w:t>
            </w:r>
          </w:p>
        </w:tc>
      </w:tr>
      <w:tr w:rsidR="00A8399A" w:rsidRPr="00084AF2" w14:paraId="5F44ED2A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B0193" w14:textId="77777777" w:rsidR="00A8399A" w:rsidRPr="00084AF2" w:rsidRDefault="00A8399A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>Cognitive Skills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4655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F143B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DDBE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B8B5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</w:tr>
      <w:tr w:rsidR="00A8399A" w:rsidRPr="00084AF2" w14:paraId="24A2333F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565F" w14:textId="77777777" w:rsidR="00A8399A" w:rsidRPr="00D44914" w:rsidRDefault="00A8399A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 xml:space="preserve">   </w:t>
            </w:r>
            <w:r w:rsidRPr="00D44914">
              <w:rPr>
                <w:b/>
                <w:noProof w:val="0"/>
              </w:rPr>
              <w:t>Overall Grade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D6CDA" w14:textId="77777777" w:rsidR="00A8399A" w:rsidRPr="00D44914" w:rsidRDefault="002F19D0" w:rsidP="00A8399A">
            <w:pPr>
              <w:pStyle w:val="Tabelle"/>
              <w:rPr>
                <w:b/>
                <w:noProof w:val="0"/>
              </w:rPr>
            </w:pPr>
            <w:r w:rsidRPr="00D44914">
              <w:rPr>
                <w:b/>
                <w:noProof w:val="0"/>
              </w:rPr>
              <w:t>-0.05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5C83B" w14:textId="77777777" w:rsidR="00A8399A" w:rsidRPr="00D44914" w:rsidRDefault="002F19D0" w:rsidP="00A8399A">
            <w:pPr>
              <w:pStyle w:val="Tabelle"/>
              <w:rPr>
                <w:b/>
                <w:noProof w:val="0"/>
              </w:rPr>
            </w:pPr>
            <w:r w:rsidRPr="00D44914">
              <w:rPr>
                <w:b/>
                <w:noProof w:val="0"/>
              </w:rPr>
              <w:t>0.13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F3B86" w14:textId="77777777" w:rsidR="00A8399A" w:rsidRPr="00D44914" w:rsidRDefault="002F19D0" w:rsidP="00A8399A">
            <w:pPr>
              <w:pStyle w:val="Tabelle"/>
              <w:rPr>
                <w:b/>
                <w:noProof w:val="0"/>
              </w:rPr>
            </w:pPr>
            <w:r w:rsidRPr="00D44914">
              <w:rPr>
                <w:b/>
                <w:noProof w:val="0"/>
              </w:rPr>
              <w:t>-0.18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B7773" w14:textId="77777777" w:rsidR="00A8399A" w:rsidRPr="00084AF2" w:rsidRDefault="0062674A" w:rsidP="00A8399A">
            <w:pPr>
              <w:pStyle w:val="Tabelle"/>
              <w:rPr>
                <w:b/>
                <w:i/>
                <w:iCs/>
                <w:noProof w:val="0"/>
                <w:color w:val="000000"/>
              </w:rPr>
            </w:pPr>
            <w:r w:rsidRPr="00D44914">
              <w:rPr>
                <w:b/>
                <w:i/>
                <w:iCs/>
                <w:noProof w:val="0"/>
                <w:color w:val="000000"/>
              </w:rPr>
              <w:t>1</w:t>
            </w:r>
          </w:p>
        </w:tc>
      </w:tr>
      <w:tr w:rsidR="00A8399A" w:rsidRPr="00084AF2" w14:paraId="76C95B54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C1C3" w14:textId="77777777" w:rsidR="00A8399A" w:rsidRPr="00084AF2" w:rsidRDefault="00A8399A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>Non-cognitive Skills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A59CA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36F47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0C8EA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895D7" w14:textId="77777777" w:rsidR="00A8399A" w:rsidRPr="00084AF2" w:rsidRDefault="00A8399A" w:rsidP="00A8399A">
            <w:pPr>
              <w:pStyle w:val="Tabelle"/>
              <w:rPr>
                <w:b/>
                <w:i/>
                <w:iCs/>
                <w:noProof w:val="0"/>
                <w:color w:val="000000"/>
              </w:rPr>
            </w:pPr>
          </w:p>
        </w:tc>
      </w:tr>
      <w:tr w:rsidR="00A8399A" w:rsidRPr="00084AF2" w14:paraId="4AB87242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9A08" w14:textId="77777777" w:rsidR="00A8399A" w:rsidRPr="00084AF2" w:rsidRDefault="00A8399A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Emotional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E9C5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ADB44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0.07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AC273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2B4A2" w14:textId="77777777" w:rsidR="00A8399A" w:rsidRPr="00084AF2" w:rsidRDefault="00A8399A" w:rsidP="00A8399A">
            <w:pPr>
              <w:pStyle w:val="Tabelle"/>
              <w:rPr>
                <w:i/>
                <w:iCs/>
                <w:noProof w:val="0"/>
                <w:color w:val="000000"/>
              </w:rPr>
            </w:pPr>
            <w:r w:rsidRPr="00084AF2">
              <w:rPr>
                <w:i/>
                <w:iCs/>
                <w:noProof w:val="0"/>
                <w:color w:val="000000"/>
              </w:rPr>
              <w:t>0</w:t>
            </w:r>
          </w:p>
        </w:tc>
      </w:tr>
      <w:tr w:rsidR="00A8399A" w:rsidRPr="00084AF2" w14:paraId="19AF0768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42BCA" w14:textId="77777777" w:rsidR="00A8399A" w:rsidRPr="00084AF2" w:rsidRDefault="00A8399A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Behavioral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A7BF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0092D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E56F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A7DF6" w14:textId="77777777" w:rsidR="00A8399A" w:rsidRPr="00084AF2" w:rsidRDefault="00A8399A" w:rsidP="00A8399A">
            <w:pPr>
              <w:pStyle w:val="Tabelle"/>
              <w:rPr>
                <w:i/>
                <w:iCs/>
                <w:noProof w:val="0"/>
                <w:color w:val="000000"/>
              </w:rPr>
            </w:pPr>
            <w:r w:rsidRPr="00084AF2">
              <w:rPr>
                <w:i/>
                <w:iCs/>
                <w:noProof w:val="0"/>
                <w:color w:val="000000"/>
              </w:rPr>
              <w:t>49</w:t>
            </w:r>
          </w:p>
        </w:tc>
      </w:tr>
      <w:tr w:rsidR="00A8399A" w:rsidRPr="00084AF2" w14:paraId="4BCCCA4C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EDBB" w14:textId="77777777" w:rsidR="00A8399A" w:rsidRPr="00084AF2" w:rsidRDefault="00A8399A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Hyperactivity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0DAD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9184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C75D5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13009" w14:textId="77777777" w:rsidR="00A8399A" w:rsidRPr="00084AF2" w:rsidRDefault="00A8399A" w:rsidP="00A8399A">
            <w:pPr>
              <w:pStyle w:val="Tabelle"/>
              <w:rPr>
                <w:i/>
                <w:iCs/>
                <w:noProof w:val="0"/>
                <w:color w:val="000000"/>
              </w:rPr>
            </w:pPr>
            <w:r w:rsidRPr="00084AF2">
              <w:rPr>
                <w:i/>
                <w:iCs/>
                <w:noProof w:val="0"/>
                <w:color w:val="000000"/>
              </w:rPr>
              <w:t>44</w:t>
            </w:r>
          </w:p>
        </w:tc>
      </w:tr>
      <w:tr w:rsidR="00A8399A" w:rsidRPr="00084AF2" w14:paraId="57593677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9975C" w14:textId="77777777" w:rsidR="00A8399A" w:rsidRPr="00084AF2" w:rsidRDefault="00A8399A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Peer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5E6A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2F8FB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0.11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65B05" w14:textId="77777777" w:rsidR="00A8399A" w:rsidRPr="00084AF2" w:rsidRDefault="00A8399A" w:rsidP="00A8399A">
            <w:pPr>
              <w:pStyle w:val="Tabelle"/>
              <w:rPr>
                <w:noProof w:val="0"/>
                <w:color w:val="000000"/>
              </w:rPr>
            </w:pPr>
            <w:r w:rsidRPr="00084AF2">
              <w:rPr>
                <w:noProof w:val="0"/>
                <w:color w:val="000000"/>
              </w:rPr>
              <w:t>-0.19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C49B" w14:textId="77777777" w:rsidR="00A8399A" w:rsidRPr="00084AF2" w:rsidRDefault="00A8399A" w:rsidP="00A8399A">
            <w:pPr>
              <w:pStyle w:val="Tabelle"/>
              <w:rPr>
                <w:i/>
                <w:iCs/>
                <w:noProof w:val="0"/>
                <w:color w:val="000000"/>
              </w:rPr>
            </w:pPr>
            <w:r w:rsidRPr="00084AF2">
              <w:rPr>
                <w:i/>
                <w:iCs/>
                <w:noProof w:val="0"/>
                <w:color w:val="000000"/>
              </w:rPr>
              <w:t>0</w:t>
            </w:r>
          </w:p>
        </w:tc>
      </w:tr>
      <w:tr w:rsidR="00A8399A" w:rsidRPr="00084AF2" w14:paraId="0AC6DDE5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4A00" w14:textId="77777777" w:rsidR="00A8399A" w:rsidRPr="00084AF2" w:rsidRDefault="00A8399A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 xml:space="preserve">   Overall Score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A283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  <w:r w:rsidRPr="00084AF2">
              <w:rPr>
                <w:b/>
                <w:noProof w:val="0"/>
                <w:color w:val="000000"/>
              </w:rPr>
              <w:t>-0.04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647E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  <w:r w:rsidRPr="00084AF2">
              <w:rPr>
                <w:b/>
                <w:noProof w:val="0"/>
                <w:color w:val="000000"/>
              </w:rPr>
              <w:t>0.07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F4A3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  <w:r w:rsidRPr="00084AF2">
              <w:rPr>
                <w:b/>
                <w:noProof w:val="0"/>
                <w:color w:val="000000"/>
              </w:rPr>
              <w:t>-0.11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DFA44" w14:textId="77777777" w:rsidR="00A8399A" w:rsidRPr="00084AF2" w:rsidRDefault="00A8399A" w:rsidP="00A8399A">
            <w:pPr>
              <w:pStyle w:val="Tabelle"/>
              <w:rPr>
                <w:b/>
                <w:i/>
                <w:iCs/>
                <w:noProof w:val="0"/>
                <w:color w:val="000000"/>
              </w:rPr>
            </w:pPr>
            <w:r w:rsidRPr="00084AF2">
              <w:rPr>
                <w:b/>
                <w:i/>
                <w:iCs/>
                <w:noProof w:val="0"/>
                <w:color w:val="000000"/>
              </w:rPr>
              <w:t>0</w:t>
            </w:r>
          </w:p>
        </w:tc>
      </w:tr>
      <w:tr w:rsidR="00A8399A" w:rsidRPr="00084AF2" w14:paraId="4C1EE478" w14:textId="77777777" w:rsidTr="00794D9A">
        <w:trPr>
          <w:trHeight w:val="65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4FD8" w14:textId="77777777" w:rsidR="00A8399A" w:rsidRPr="00084AF2" w:rsidRDefault="00A8399A" w:rsidP="00F2332E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</w:t>
            </w:r>
            <w:r w:rsidR="009C0864">
              <w:rPr>
                <w:noProof w:val="0"/>
              </w:rPr>
              <w:t>A</w:t>
            </w:r>
            <w:r w:rsidR="00F2332E">
              <w:rPr>
                <w:noProof w:val="0"/>
              </w:rPr>
              <w:t>n</w:t>
            </w:r>
            <w:r w:rsidR="009C0864">
              <w:rPr>
                <w:noProof w:val="0"/>
              </w:rPr>
              <w:t>t</w:t>
            </w:r>
            <w:r w:rsidR="00F2332E">
              <w:rPr>
                <w:noProof w:val="0"/>
              </w:rPr>
              <w:t>i</w:t>
            </w:r>
            <w:r w:rsidRPr="00084AF2">
              <w:rPr>
                <w:noProof w:val="0"/>
              </w:rPr>
              <w:t>social Behavior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2C70B" w14:textId="77777777" w:rsidR="00A8399A" w:rsidRPr="00084AF2" w:rsidRDefault="00A8399A" w:rsidP="00D44914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AC5F6" w14:textId="77777777" w:rsidR="00A8399A" w:rsidRPr="00084AF2" w:rsidRDefault="00A8399A" w:rsidP="00D44914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0.02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6DD2" w14:textId="77777777" w:rsidR="00A8399A" w:rsidRPr="00084AF2" w:rsidRDefault="00A8399A" w:rsidP="00D44914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-0.03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6EA15" w14:textId="77777777" w:rsidR="00A8399A" w:rsidRPr="00084AF2" w:rsidRDefault="00A8399A" w:rsidP="00D44914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38</w:t>
            </w:r>
          </w:p>
        </w:tc>
      </w:tr>
    </w:tbl>
    <w:p w14:paraId="582FBC50" w14:textId="77777777" w:rsidR="00A8399A" w:rsidRPr="00084AF2" w:rsidRDefault="00A8399A" w:rsidP="00724E75">
      <w:pPr>
        <w:pStyle w:val="Note"/>
        <w:ind w:right="-568"/>
        <w:rPr>
          <w:lang w:val="en-US"/>
        </w:rPr>
      </w:pPr>
      <w:r w:rsidRPr="00084AF2">
        <w:rPr>
          <w:lang w:val="en-US"/>
        </w:rPr>
        <w:t xml:space="preserve">Note: </w:t>
      </w:r>
      <w:r w:rsidR="00855522">
        <w:rPr>
          <w:lang w:val="en-US"/>
        </w:rPr>
        <w:tab/>
      </w:r>
      <w:r w:rsidR="001E7A6C" w:rsidRPr="00084AF2">
        <w:rPr>
          <w:lang w:val="en-US"/>
        </w:rPr>
        <w:t>Results presented in this table resemble our main results but from an estima</w:t>
      </w:r>
      <w:r w:rsidR="00E1706B">
        <w:rPr>
          <w:lang w:val="en-US"/>
        </w:rPr>
        <w:softHyphen/>
      </w:r>
      <w:r w:rsidR="001E7A6C" w:rsidRPr="00084AF2">
        <w:rPr>
          <w:lang w:val="en-US"/>
        </w:rPr>
        <w:t>tion with an alternative specification of the propensity score</w:t>
      </w:r>
      <w:r w:rsidR="00855522">
        <w:rPr>
          <w:lang w:val="en-US"/>
        </w:rPr>
        <w:t>.</w:t>
      </w:r>
      <w:r w:rsidR="001E7A6C" w:rsidRPr="00084AF2">
        <w:rPr>
          <w:lang w:val="en-US"/>
        </w:rPr>
        <w:t xml:space="preserve"> In particu</w:t>
      </w:r>
      <w:r w:rsidR="00E1706B">
        <w:rPr>
          <w:lang w:val="en-US"/>
        </w:rPr>
        <w:softHyphen/>
      </w:r>
      <w:r w:rsidR="001E7A6C" w:rsidRPr="00084AF2">
        <w:rPr>
          <w:lang w:val="en-US"/>
        </w:rPr>
        <w:t xml:space="preserve">lar we include interaction terms between the child's sex and age and dropped the variable height. </w:t>
      </w:r>
      <w:r w:rsidR="00855522">
        <w:rPr>
          <w:lang w:val="en-US"/>
        </w:rPr>
        <w:t>p</w:t>
      </w:r>
      <w:r w:rsidRPr="00084AF2">
        <w:rPr>
          <w:lang w:val="en-US"/>
        </w:rPr>
        <w:t>-values are computed by bootstrapping p-val</w:t>
      </w:r>
      <w:r w:rsidR="00E1706B">
        <w:rPr>
          <w:lang w:val="en-US"/>
        </w:rPr>
        <w:softHyphen/>
      </w:r>
      <w:r w:rsidRPr="00084AF2">
        <w:rPr>
          <w:lang w:val="en-US"/>
        </w:rPr>
        <w:t>ues of the t-statistic with 4999 replications.</w:t>
      </w:r>
    </w:p>
    <w:sectPr w:rsidR="00A8399A" w:rsidRPr="00084AF2" w:rsidSect="00DC62B9">
      <w:footerReference w:type="even" r:id="rId10"/>
      <w:footerReference w:type="default" r:id="rId11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77777777" w:rsidR="00840032" w:rsidRDefault="00840032" w:rsidP="00C260CD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6DE2">
      <w:rPr>
        <w:rStyle w:val="Seitenzahl"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6DE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C85E03C2-44A8-3044-8C08-03ACAA96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2016-04-04T15:01:00Z</dcterms:created>
  <dcterms:modified xsi:type="dcterms:W3CDTF">2016-04-04T15:01:00Z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