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S1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Table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Sequences use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d in the resistome and toxome pseudomolecules that were mapped with t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he MiSeq da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ta.</w:t>
      </w:r>
    </w:p>
    <w:tbl>
      <w:tblPr>
        <w:tblStyle w:val="3"/>
        <w:tblW w:w="568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2841" w:type="dxa"/>
            <w:vAlign w:val="top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Accession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number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spacing w:line="480" w:lineRule="auto"/>
              <w:rPr>
                <w:rFonts w:hint="eastAsia" w:ascii="Arial-ItalicMT" w:hAnsi="Arial-ItalicMT"/>
                <w:color w:val="000000"/>
                <w:sz w:val="24"/>
                <w:szCs w:val="24"/>
              </w:rPr>
            </w:pPr>
            <w:r>
              <w:rPr>
                <w:rFonts w:ascii="Arial-ItalicMT" w:hAnsi="Arial-ItalicMT"/>
                <w:color w:val="000000"/>
                <w:sz w:val="24"/>
                <w:szCs w:val="24"/>
              </w:rPr>
              <w:t>mecA</w:t>
            </w:r>
          </w:p>
          <w:p>
            <w:pPr>
              <w:spacing w:line="480" w:lineRule="auto"/>
              <w:rPr>
                <w:rFonts w:hint="eastAsia" w:ascii="Arial-ItalicMT" w:hAnsi="Arial-ItalicMT"/>
                <w:color w:val="000000"/>
                <w:sz w:val="24"/>
                <w:szCs w:val="24"/>
              </w:rPr>
            </w:pPr>
            <w:r>
              <w:rPr>
                <w:rFonts w:ascii="Arial-ItalicMT" w:hAnsi="Arial-ItalicMT"/>
                <w:color w:val="000000"/>
                <w:sz w:val="24"/>
                <w:szCs w:val="24"/>
              </w:rPr>
              <w:t>ermA</w:t>
            </w:r>
          </w:p>
          <w:p>
            <w:pPr>
              <w:spacing w:line="480" w:lineRule="auto"/>
              <w:rPr>
                <w:rFonts w:hint="eastAsia" w:ascii="Arial-ItalicMT" w:hAnsi="Arial-ItalicMT"/>
                <w:color w:val="000000"/>
                <w:sz w:val="24"/>
                <w:szCs w:val="24"/>
              </w:rPr>
            </w:pPr>
            <w:r>
              <w:rPr>
                <w:rFonts w:ascii="Arial-ItalicMT" w:hAnsi="Arial-ItalicMT"/>
                <w:color w:val="000000"/>
                <w:sz w:val="24"/>
                <w:szCs w:val="24"/>
              </w:rPr>
              <w:t>ermC</w:t>
            </w:r>
          </w:p>
          <w:p>
            <w:pPr>
              <w:spacing w:line="480" w:lineRule="auto"/>
              <w:rPr>
                <w:rFonts w:hint="eastAsia" w:ascii="Arial-ItalicMT" w:hAnsi="Arial-ItalicMT"/>
                <w:color w:val="000000"/>
                <w:sz w:val="24"/>
                <w:szCs w:val="24"/>
              </w:rPr>
            </w:pPr>
            <w:r>
              <w:rPr>
                <w:rFonts w:ascii="Arial-ItalicMT" w:hAnsi="Arial-ItalicMT"/>
                <w:color w:val="000000"/>
                <w:sz w:val="24"/>
                <w:szCs w:val="24"/>
              </w:rPr>
              <w:t>aacA-aphD</w:t>
            </w:r>
          </w:p>
          <w:p>
            <w:pPr>
              <w:spacing w:line="480" w:lineRule="auto"/>
              <w:rPr>
                <w:rFonts w:hint="eastAsia" w:ascii="Arial-ItalicMT" w:hAnsi="Arial-ItalicMT"/>
                <w:color w:val="000000"/>
                <w:sz w:val="24"/>
                <w:szCs w:val="24"/>
              </w:rPr>
            </w:pPr>
            <w:r>
              <w:rPr>
                <w:rFonts w:ascii="Arial-ItalicMT" w:hAnsi="Arial-ItalicMT"/>
                <w:color w:val="000000"/>
                <w:sz w:val="24"/>
                <w:szCs w:val="24"/>
              </w:rPr>
              <w:t>tetK</w:t>
            </w:r>
          </w:p>
          <w:p>
            <w:pPr>
              <w:spacing w:line="480" w:lineRule="auto"/>
              <w:rPr>
                <w:rFonts w:hint="eastAsia" w:ascii="Arial-ItalicMT" w:hAnsi="Arial-ItalicMT"/>
                <w:color w:val="000000"/>
                <w:sz w:val="24"/>
                <w:szCs w:val="24"/>
              </w:rPr>
            </w:pPr>
            <w:r>
              <w:rPr>
                <w:rFonts w:ascii="Arial-ItalicMT" w:hAnsi="Arial-ItalicMT"/>
                <w:color w:val="000000"/>
                <w:sz w:val="24"/>
                <w:szCs w:val="24"/>
              </w:rPr>
              <w:t>dfrG</w:t>
            </w:r>
          </w:p>
          <w:p>
            <w:pPr>
              <w:spacing w:line="480" w:lineRule="auto"/>
              <w:rPr>
                <w:rFonts w:hint="eastAsia" w:ascii="Arial-ItalicMT" w:hAnsi="Arial-ItalicMT"/>
                <w:color w:val="000000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SasX</w:t>
            </w:r>
            <w:r>
              <w:rPr>
                <w:rFonts w:hint="eastAsia" w:hAnsi="宋体"/>
                <w:sz w:val="24"/>
                <w:szCs w:val="24"/>
              </w:rPr>
              <w:t xml:space="preserve"> </w:t>
            </w:r>
          </w:p>
          <w:p>
            <w:pPr>
              <w:spacing w:line="480" w:lineRule="auto"/>
              <w:rPr>
                <w:rFonts w:hint="eastAsia" w:ascii="Arial-ItalicMT" w:hAnsi="Arial-ItalicMT"/>
                <w:color w:val="000000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 xml:space="preserve">psm </w:t>
            </w:r>
            <w:r>
              <w:rPr>
                <w:sz w:val="24"/>
                <w:szCs w:val="24"/>
              </w:rPr>
              <w:t>α</w:t>
            </w:r>
          </w:p>
          <w:p>
            <w:pPr>
              <w:spacing w:line="480" w:lineRule="auto"/>
              <w:rPr>
                <w:rFonts w:hint="eastAsia" w:ascii="Arial-ItalicMT" w:hAnsi="Arial-ItalicMT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psm-mec</w:t>
            </w:r>
          </w:p>
          <w:p>
            <w:pPr>
              <w:spacing w:line="480" w:lineRule="auto"/>
              <w:rPr>
                <w:rFonts w:hint="eastAsia" w:ascii="Arial-ItalicMT" w:hAnsi="Arial-ItalicMT"/>
                <w:color w:val="000000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hla</w:t>
            </w:r>
          </w:p>
          <w:p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tst</w:t>
            </w:r>
            <w:r>
              <w:rPr>
                <w:rFonts w:hint="eastAsia"/>
                <w:sz w:val="24"/>
                <w:szCs w:val="24"/>
              </w:rPr>
              <w:t>-1</w:t>
            </w:r>
          </w:p>
          <w:p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ascii="Arial-ItalicMT" w:hAnsi="Arial-ItalicMT"/>
                <w:color w:val="000000"/>
                <w:sz w:val="24"/>
                <w:szCs w:val="24"/>
              </w:rPr>
              <w:t>lukS-PV</w:t>
            </w:r>
          </w:p>
          <w:p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ascii="Arial-ItalicMT" w:hAnsi="Arial-ItalicMT"/>
                <w:color w:val="000000"/>
                <w:sz w:val="24"/>
                <w:szCs w:val="24"/>
              </w:rPr>
              <w:t>lukF-PV</w:t>
            </w:r>
          </w:p>
          <w:p>
            <w:pPr>
              <w:spacing w:line="480" w:lineRule="auto"/>
              <w:rPr>
                <w:rFonts w:hint="eastAsia" w:ascii="Arial-ItalicMT" w:hAnsi="Arial-ItalicMT"/>
                <w:color w:val="000000"/>
                <w:sz w:val="24"/>
                <w:szCs w:val="24"/>
              </w:rPr>
            </w:pPr>
            <w:r>
              <w:rPr>
                <w:rFonts w:ascii="Arial-ItalicMT" w:hAnsi="Arial-ItalicMT"/>
                <w:color w:val="000000"/>
                <w:sz w:val="24"/>
                <w:szCs w:val="24"/>
              </w:rPr>
              <w:t>sea</w:t>
            </w:r>
          </w:p>
          <w:p>
            <w:pPr>
              <w:spacing w:line="480" w:lineRule="auto"/>
              <w:rPr>
                <w:rFonts w:hint="eastAsia" w:ascii="Arial-ItalicMT" w:hAnsi="Arial-ItalicMT"/>
                <w:color w:val="000000"/>
                <w:sz w:val="24"/>
                <w:szCs w:val="24"/>
              </w:rPr>
            </w:pPr>
            <w:r>
              <w:rPr>
                <w:rFonts w:ascii="Arial-ItalicMT" w:hAnsi="Arial-ItalicMT"/>
                <w:color w:val="000000"/>
                <w:sz w:val="24"/>
                <w:szCs w:val="24"/>
              </w:rPr>
              <w:t>seb</w:t>
            </w:r>
          </w:p>
          <w:p>
            <w:pPr>
              <w:spacing w:line="480" w:lineRule="auto"/>
              <w:rPr>
                <w:rFonts w:hint="eastAsia" w:ascii="Arial-ItalicMT" w:hAnsi="Arial-ItalicMT"/>
                <w:color w:val="000000"/>
                <w:sz w:val="24"/>
                <w:szCs w:val="24"/>
              </w:rPr>
            </w:pPr>
            <w:r>
              <w:rPr>
                <w:rFonts w:ascii="Arial-ItalicMT" w:hAnsi="Arial-ItalicMT"/>
                <w:color w:val="000000"/>
                <w:sz w:val="24"/>
                <w:szCs w:val="24"/>
              </w:rPr>
              <w:t>sec</w:t>
            </w:r>
          </w:p>
          <w:p>
            <w:pPr>
              <w:spacing w:line="480" w:lineRule="auto"/>
              <w:rPr>
                <w:rFonts w:hint="eastAsia" w:ascii="Arial-ItalicMT" w:hAnsi="Arial-ItalicMT"/>
                <w:color w:val="000000"/>
                <w:sz w:val="24"/>
                <w:szCs w:val="24"/>
              </w:rPr>
            </w:pPr>
            <w:r>
              <w:rPr>
                <w:rFonts w:ascii="Arial-ItalicMT" w:hAnsi="Arial-ItalicMT"/>
                <w:color w:val="000000"/>
                <w:sz w:val="24"/>
                <w:szCs w:val="24"/>
              </w:rPr>
              <w:t>sed</w:t>
            </w:r>
          </w:p>
          <w:p>
            <w:pPr>
              <w:spacing w:line="480" w:lineRule="auto"/>
              <w:rPr>
                <w:rFonts w:hint="eastAsia" w:ascii="Arial-ItalicMT" w:hAnsi="Arial-ItalicMT"/>
                <w:color w:val="000000"/>
                <w:sz w:val="24"/>
                <w:szCs w:val="24"/>
              </w:rPr>
            </w:pPr>
            <w:r>
              <w:rPr>
                <w:rFonts w:ascii="Arial-ItalicMT" w:hAnsi="Arial-ItalicMT"/>
                <w:color w:val="000000"/>
                <w:sz w:val="24"/>
                <w:szCs w:val="24"/>
              </w:rPr>
              <w:t>see</w:t>
            </w:r>
          </w:p>
          <w:p>
            <w:pPr>
              <w:spacing w:line="480" w:lineRule="auto"/>
              <w:rPr>
                <w:rFonts w:hint="eastAsia" w:ascii="Arial-ItalicMT" w:hAnsi="Arial-ItalicMT"/>
                <w:color w:val="000000"/>
                <w:sz w:val="24"/>
                <w:szCs w:val="24"/>
              </w:rPr>
            </w:pPr>
            <w:r>
              <w:rPr>
                <w:rFonts w:ascii="Arial-ItalicMT" w:hAnsi="Arial-ItalicMT"/>
                <w:color w:val="000000"/>
                <w:sz w:val="24"/>
                <w:szCs w:val="24"/>
              </w:rPr>
              <w:t>eta</w:t>
            </w:r>
          </w:p>
          <w:p>
            <w:pPr>
              <w:spacing w:line="480" w:lineRule="auto"/>
              <w:rPr>
                <w:rFonts w:ascii="Arial-ItalicMT" w:hAnsi="Arial-ItalicMT"/>
                <w:color w:val="000000"/>
                <w:sz w:val="24"/>
                <w:szCs w:val="24"/>
              </w:rPr>
            </w:pPr>
            <w:r>
              <w:rPr>
                <w:rFonts w:ascii="Arial-ItalicMT" w:hAnsi="Arial-ItalicMT"/>
                <w:color w:val="000000"/>
                <w:sz w:val="24"/>
                <w:szCs w:val="24"/>
              </w:rPr>
              <w:t>etb</w:t>
            </w:r>
          </w:p>
        </w:tc>
        <w:tc>
          <w:tcPr>
            <w:tcW w:w="2841" w:type="dxa"/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X52592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P06699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P13978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P14507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P02983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C7C2U7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SATW20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_21850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BK006301.1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AB729111.1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NC_007795.1</w:t>
            </w:r>
          </w:p>
          <w:p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J02615</w:t>
            </w:r>
          </w:p>
          <w:p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X72700</w:t>
            </w:r>
          </w:p>
          <w:p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X72700</w:t>
            </w:r>
          </w:p>
          <w:p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M18970</w:t>
            </w:r>
          </w:p>
          <w:p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M11118</w:t>
            </w:r>
          </w:p>
          <w:p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X05815</w:t>
            </w:r>
          </w:p>
          <w:p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M28521</w:t>
            </w:r>
          </w:p>
          <w:p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M21319</w:t>
            </w:r>
          </w:p>
          <w:p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P09331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AAA26628</w:t>
            </w:r>
          </w:p>
        </w:tc>
      </w:tr>
    </w:tbl>
    <w:p>
      <w:pPr>
        <w:spacing w:line="48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-ItalicMT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-ItalicMT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D0A31"/>
    <w:rsid w:val="096A6E77"/>
    <w:rsid w:val="43157095"/>
    <w:rsid w:val="43813932"/>
    <w:rsid w:val="73E002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2016-02-12T07:28:43Z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