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E" w:rsidRDefault="00997A81" w:rsidP="006C61DE">
      <w:pPr>
        <w:spacing w:line="480" w:lineRule="auto"/>
      </w:pPr>
      <w:bookmarkStart w:id="0" w:name="OLE_LINK305"/>
      <w:bookmarkStart w:id="1" w:name="OLE_LINK306"/>
      <w:proofErr w:type="gramStart"/>
      <w:r>
        <w:rPr>
          <w:b/>
        </w:rPr>
        <w:t>S</w:t>
      </w:r>
      <w:r w:rsidR="005A0445">
        <w:rPr>
          <w:b/>
        </w:rPr>
        <w:t>2</w:t>
      </w:r>
      <w:r>
        <w:rPr>
          <w:b/>
        </w:rPr>
        <w:t xml:space="preserve"> Table</w:t>
      </w:r>
      <w:r w:rsidR="006C61DE">
        <w:rPr>
          <w:b/>
        </w:rPr>
        <w:t>.</w:t>
      </w:r>
      <w:proofErr w:type="gramEnd"/>
      <w:r w:rsidR="006C61DE">
        <w:rPr>
          <w:b/>
        </w:rPr>
        <w:t xml:space="preserve"> </w:t>
      </w:r>
      <w:r w:rsidR="006C61DE" w:rsidRPr="00CB0280">
        <w:rPr>
          <w:b/>
        </w:rPr>
        <w:t xml:space="preserve">Stability values for each </w:t>
      </w:r>
      <w:r w:rsidR="00C33159">
        <w:rPr>
          <w:b/>
        </w:rPr>
        <w:t xml:space="preserve">candidate </w:t>
      </w:r>
      <w:r w:rsidR="006C61DE" w:rsidRPr="00CB0280">
        <w:rPr>
          <w:b/>
        </w:rPr>
        <w:t>reference gene per tissue</w:t>
      </w:r>
      <w:bookmarkEnd w:id="0"/>
      <w:bookmarkEnd w:id="1"/>
      <w:r w:rsidR="006C61DE">
        <w:t>.</w:t>
      </w:r>
      <w:r>
        <w:t xml:space="preserve"> </w:t>
      </w:r>
      <w:bookmarkStart w:id="2" w:name="OLE_LINK3"/>
      <w:bookmarkStart w:id="3" w:name="OLE_LINK4"/>
      <w:r w:rsidRPr="00CB0280">
        <w:t>Stability values calculated in GeNorm and NormFinder (</w:t>
      </w:r>
      <w:proofErr w:type="spellStart"/>
      <w:r w:rsidRPr="00CB0280">
        <w:t>NormFind</w:t>
      </w:r>
      <w:proofErr w:type="spellEnd"/>
      <w:r w:rsidRPr="00CB0280">
        <w:t xml:space="preserve">). </w:t>
      </w:r>
      <w:proofErr w:type="gramStart"/>
      <w:r w:rsidRPr="00CB0280">
        <w:t>The ranking of each individual gene in shown in brackets from most stable (1) to least stable (11) gene for that tissue.</w:t>
      </w:r>
      <w:proofErr w:type="gramEnd"/>
      <w:r w:rsidRPr="00CB0280">
        <w:t xml:space="preserve"> Genes shown in bold are those selected as most stable pair of RGs for the given analysis</w:t>
      </w:r>
      <w:r w:rsidRPr="00CB0280">
        <w:rPr>
          <w:vertAlign w:val="superscript"/>
        </w:rPr>
        <w:t xml:space="preserve">. </w:t>
      </w:r>
      <w:r w:rsidRPr="00CB0280">
        <w:t>Note that the most stable pair of RGs in NormFinder is not necessarily the two genes with the highest independent stabi</w:t>
      </w:r>
      <w:r>
        <w:t>lity values (see also Table 2</w:t>
      </w:r>
      <w:r w:rsidRPr="00CB0280">
        <w:t>).</w:t>
      </w:r>
      <w:bookmarkEnd w:id="2"/>
      <w:bookmarkEnd w:id="3"/>
    </w:p>
    <w:p w:rsidR="006C61DE" w:rsidRDefault="006C61DE" w:rsidP="006C61DE">
      <w:pPr>
        <w:rPr>
          <w:b/>
        </w:rPr>
      </w:pPr>
    </w:p>
    <w:tbl>
      <w:tblPr>
        <w:tblW w:w="14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97"/>
        <w:gridCol w:w="1140"/>
        <w:gridCol w:w="1134"/>
        <w:gridCol w:w="1064"/>
        <w:gridCol w:w="1049"/>
        <w:gridCol w:w="1176"/>
        <w:gridCol w:w="1106"/>
        <w:gridCol w:w="1134"/>
        <w:gridCol w:w="1134"/>
        <w:gridCol w:w="1134"/>
        <w:gridCol w:w="1134"/>
        <w:gridCol w:w="1134"/>
      </w:tblGrid>
      <w:tr w:rsidR="006C61DE" w:rsidTr="003547C5">
        <w:trPr>
          <w:trHeight w:val="300"/>
        </w:trPr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219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222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Lung</w:t>
            </w:r>
          </w:p>
        </w:tc>
        <w:tc>
          <w:tcPr>
            <w:tcW w:w="224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GI2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GI4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Colon</w:t>
            </w:r>
          </w:p>
        </w:tc>
      </w:tr>
      <w:tr w:rsidR="006C61DE" w:rsidTr="00F5334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0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-164" w:firstLine="1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GeNorm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ind w:left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NormFind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C61DE" w:rsidTr="00BC1EB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ACTB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859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606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</w:t>
            </w:r>
            <w:r w:rsidR="00F53344">
              <w:rPr>
                <w:rFonts w:ascii="Calibri" w:hAnsi="Calibri"/>
                <w:sz w:val="22"/>
                <w:szCs w:val="22"/>
              </w:rPr>
              <w:t>37</w:t>
            </w:r>
            <w:r>
              <w:rPr>
                <w:rFonts w:ascii="Calibri" w:hAnsi="Calibri"/>
                <w:sz w:val="22"/>
                <w:szCs w:val="22"/>
              </w:rPr>
              <w:t xml:space="preserve"> (4)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373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</w:t>
            </w:r>
            <w:r w:rsidR="00F53344">
              <w:rPr>
                <w:rFonts w:ascii="Calibri" w:hAnsi="Calibri"/>
                <w:sz w:val="22"/>
                <w:szCs w:val="22"/>
              </w:rPr>
              <w:t>94</w:t>
            </w:r>
            <w:r>
              <w:rPr>
                <w:rFonts w:ascii="Calibri" w:hAnsi="Calibri"/>
                <w:sz w:val="22"/>
                <w:szCs w:val="22"/>
              </w:rPr>
              <w:t xml:space="preserve"> (7)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369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8E7A8F" w:rsidRDefault="006C61DE" w:rsidP="00855455">
            <w:pPr>
              <w:rPr>
                <w:rFonts w:ascii="Calibri" w:hAnsi="Calibri"/>
                <w:sz w:val="22"/>
                <w:szCs w:val="22"/>
              </w:rPr>
            </w:pPr>
            <w:r w:rsidRPr="008E7A8F">
              <w:rPr>
                <w:rFonts w:ascii="Calibri" w:hAnsi="Calibri"/>
                <w:sz w:val="22"/>
                <w:szCs w:val="22"/>
              </w:rPr>
              <w:t>0.4</w:t>
            </w:r>
            <w:r w:rsidR="00855455">
              <w:rPr>
                <w:rFonts w:ascii="Calibri" w:hAnsi="Calibri"/>
                <w:sz w:val="22"/>
                <w:szCs w:val="22"/>
              </w:rPr>
              <w:t>9</w:t>
            </w:r>
            <w:r w:rsidRPr="008E7A8F">
              <w:rPr>
                <w:rFonts w:ascii="Calibri" w:hAnsi="Calibri"/>
                <w:sz w:val="22"/>
                <w:szCs w:val="22"/>
              </w:rPr>
              <w:t>3 (8)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276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0.60</w:t>
            </w:r>
            <w:r w:rsidR="00855455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(8)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701 </w:t>
            </w:r>
            <w:r>
              <w:rPr>
                <w:rFonts w:ascii="Calibri" w:hAnsi="Calibri"/>
                <w:sz w:val="22"/>
                <w:szCs w:val="22"/>
              </w:rPr>
              <w:t>(8)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258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(10)</w:t>
            </w:r>
          </w:p>
        </w:tc>
      </w:tr>
      <w:tr w:rsidR="006C61DE" w:rsidTr="00F53344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303 </w:t>
            </w:r>
            <w:r>
              <w:rPr>
                <w:rFonts w:ascii="Calibri" w:hAnsi="Calibri"/>
                <w:sz w:val="22"/>
                <w:szCs w:val="22"/>
              </w:rPr>
              <w:t>(11)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710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 w:rsidR="00F5334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4 (11)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(11)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F53344" w:rsidP="003547C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1.054 </w:t>
            </w:r>
            <w:r w:rsidR="006C61DE">
              <w:rPr>
                <w:rFonts w:ascii="Calibri" w:hAnsi="Calibri"/>
                <w:sz w:val="22"/>
                <w:szCs w:val="22"/>
              </w:rPr>
              <w:t xml:space="preserve"> (11)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140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(11)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8E7A8F" w:rsidRDefault="00F53344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8E7A8F"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>910</w:t>
            </w:r>
            <w:r w:rsidR="00855455" w:rsidRPr="008E7A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7A8F">
              <w:rPr>
                <w:rFonts w:ascii="Calibri" w:hAnsi="Calibri"/>
                <w:sz w:val="22"/>
                <w:szCs w:val="22"/>
              </w:rPr>
              <w:t>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 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855455" w:rsidP="003547C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1.012</w:t>
            </w:r>
            <w:r w:rsidR="006C61DE">
              <w:rPr>
                <w:rFonts w:ascii="Calibri" w:hAnsi="Calibri"/>
                <w:sz w:val="22"/>
                <w:szCs w:val="22"/>
              </w:rPr>
              <w:t xml:space="preserve"> 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855455" w:rsidP="003547C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1.115</w:t>
            </w:r>
            <w:r w:rsidR="006C61DE">
              <w:rPr>
                <w:rFonts w:ascii="Calibri" w:hAnsi="Calibri"/>
                <w:color w:val="000000"/>
                <w:sz w:val="22"/>
                <w:szCs w:val="22"/>
              </w:rPr>
              <w:t xml:space="preserve"> 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 w:rsidR="00855455">
              <w:rPr>
                <w:rFonts w:ascii="Calibri" w:hAnsi="Calibri"/>
                <w:sz w:val="22"/>
                <w:szCs w:val="22"/>
              </w:rPr>
              <w:t>34</w:t>
            </w:r>
            <w:r>
              <w:rPr>
                <w:rFonts w:ascii="Calibri" w:hAnsi="Calibri"/>
                <w:sz w:val="22"/>
                <w:szCs w:val="22"/>
              </w:rPr>
              <w:t xml:space="preserve"> (11)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855455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0.961</w:t>
            </w:r>
            <w:r w:rsidR="006C61DE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6C61D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F53344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0.971</w:t>
            </w:r>
            <w:r w:rsidR="006C61DE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6C61D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636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BC1EBA" w:rsidDel="00F533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3344" w:rsidRPr="00BC1EBA">
              <w:rPr>
                <w:rFonts w:ascii="Calibri" w:hAnsi="Calibri"/>
                <w:b/>
                <w:sz w:val="22"/>
                <w:szCs w:val="22"/>
              </w:rPr>
              <w:t>44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9 (3)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365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BC1EBA">
              <w:rPr>
                <w:rFonts w:ascii="Calibri" w:hAnsi="Calibri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sz w:val="22"/>
                <w:szCs w:val="22"/>
              </w:rPr>
              <w:t xml:space="preserve">395 </w:t>
            </w:r>
            <w:r w:rsidRPr="00BC1EBA">
              <w:rPr>
                <w:rFonts w:ascii="Calibri" w:hAnsi="Calibri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sz w:val="22"/>
                <w:szCs w:val="22"/>
              </w:rPr>
              <w:t>4</w:t>
            </w:r>
            <w:r w:rsidRPr="00BC1EB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8E7A8F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8E7A8F">
              <w:rPr>
                <w:rFonts w:ascii="Calibri" w:hAnsi="Calibri"/>
                <w:sz w:val="22"/>
                <w:szCs w:val="22"/>
              </w:rPr>
              <w:t>0.4</w:t>
            </w:r>
            <w:r w:rsidR="00855455">
              <w:rPr>
                <w:rFonts w:ascii="Calibri" w:hAnsi="Calibri"/>
                <w:sz w:val="22"/>
                <w:szCs w:val="22"/>
              </w:rPr>
              <w:t>46</w:t>
            </w:r>
            <w:r w:rsidRPr="008E7A8F">
              <w:rPr>
                <w:rFonts w:ascii="Calibri" w:hAnsi="Calibri"/>
                <w:sz w:val="22"/>
                <w:szCs w:val="22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0.173 (</w:t>
            </w:r>
            <w:r w:rsidR="00855455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>510</w:t>
            </w:r>
            <w:r>
              <w:rPr>
                <w:rFonts w:ascii="Calibri" w:hAnsi="Calibri"/>
                <w:sz w:val="22"/>
                <w:szCs w:val="22"/>
              </w:rPr>
              <w:t xml:space="preserve"> (6)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266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567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132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HPRT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F53344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1.078</w:t>
            </w:r>
            <w:r w:rsidR="006C61DE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C61D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585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0.58</w:t>
            </w:r>
            <w:r w:rsidR="00F5334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(6)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</w:t>
            </w:r>
            <w:r w:rsidR="00F53344">
              <w:rPr>
                <w:rFonts w:ascii="Calibri" w:hAnsi="Calibri"/>
                <w:sz w:val="22"/>
                <w:szCs w:val="22"/>
              </w:rPr>
              <w:t>96</w:t>
            </w:r>
            <w:r>
              <w:rPr>
                <w:rFonts w:ascii="Calibri" w:hAnsi="Calibri"/>
                <w:sz w:val="22"/>
                <w:szCs w:val="22"/>
              </w:rPr>
              <w:t xml:space="preserve"> (9)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354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</w:t>
            </w:r>
            <w:r w:rsidR="0085545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5 (9)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264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470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0.2</w:t>
            </w:r>
            <w:r w:rsidR="00855455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1 (</w:t>
            </w:r>
            <w:r w:rsidR="00855455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507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204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HSP90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0.702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277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>802</w:t>
            </w:r>
            <w:r>
              <w:rPr>
                <w:rFonts w:ascii="Calibri" w:hAnsi="Calibri"/>
                <w:sz w:val="22"/>
                <w:szCs w:val="22"/>
              </w:rPr>
              <w:t xml:space="preserve"> (9)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435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</w:t>
            </w:r>
            <w:r w:rsidR="00F53344">
              <w:rPr>
                <w:rFonts w:ascii="Calibri" w:hAnsi="Calibri"/>
                <w:sz w:val="22"/>
                <w:szCs w:val="22"/>
              </w:rPr>
              <w:t>46</w:t>
            </w:r>
            <w:r>
              <w:rPr>
                <w:rFonts w:ascii="Calibri" w:hAnsi="Calibri"/>
                <w:sz w:val="22"/>
                <w:szCs w:val="22"/>
              </w:rPr>
              <w:t xml:space="preserve"> (8)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380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</w:t>
            </w:r>
            <w:r w:rsidR="00855455">
              <w:rPr>
                <w:rFonts w:ascii="Calibri" w:hAnsi="Calibri"/>
                <w:sz w:val="22"/>
                <w:szCs w:val="22"/>
              </w:rPr>
              <w:t>84</w:t>
            </w:r>
            <w:r>
              <w:rPr>
                <w:rFonts w:ascii="Calibri" w:hAnsi="Calibri"/>
                <w:sz w:val="22"/>
                <w:szCs w:val="22"/>
              </w:rPr>
              <w:t xml:space="preserve"> (10)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420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698 </w:t>
            </w:r>
            <w:r>
              <w:rPr>
                <w:rFonts w:ascii="Calibri" w:hAnsi="Calibri"/>
                <w:sz w:val="22"/>
                <w:szCs w:val="22"/>
              </w:rPr>
              <w:t>(10)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 (9)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  <w:r w:rsidR="0085545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3 (9)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233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NDUFA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186 </w:t>
            </w:r>
            <w:r>
              <w:rPr>
                <w:rFonts w:ascii="Calibri" w:hAnsi="Calibri"/>
                <w:sz w:val="22"/>
                <w:szCs w:val="22"/>
              </w:rPr>
              <w:t>(10)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493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</w:t>
            </w:r>
            <w:r w:rsidR="00F5334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8 (8)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  <w:r w:rsidR="00F53344">
              <w:rPr>
                <w:rFonts w:ascii="Calibri" w:hAnsi="Calibri"/>
                <w:sz w:val="22"/>
                <w:szCs w:val="22"/>
              </w:rPr>
              <w:t>77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5334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281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BC1EBA">
              <w:rPr>
                <w:rFonts w:ascii="Calibri" w:hAnsi="Calibri"/>
                <w:sz w:val="22"/>
                <w:szCs w:val="22"/>
              </w:rPr>
              <w:t>0.</w:t>
            </w:r>
            <w:r w:rsidR="00855455" w:rsidRPr="00BC1EBA">
              <w:rPr>
                <w:rFonts w:ascii="Calibri" w:hAnsi="Calibri"/>
                <w:sz w:val="22"/>
                <w:szCs w:val="22"/>
              </w:rPr>
              <w:t xml:space="preserve">314 </w:t>
            </w:r>
            <w:r w:rsidRPr="00BC1EBA">
              <w:rPr>
                <w:rFonts w:ascii="Calibri" w:hAnsi="Calibri"/>
                <w:sz w:val="22"/>
                <w:szCs w:val="22"/>
              </w:rPr>
              <w:t>(</w:t>
            </w:r>
            <w:r w:rsidR="00855455" w:rsidRPr="00BC1EBA">
              <w:rPr>
                <w:rFonts w:ascii="Calibri" w:hAnsi="Calibri"/>
                <w:sz w:val="22"/>
                <w:szCs w:val="22"/>
              </w:rPr>
              <w:t>4</w:t>
            </w:r>
            <w:r w:rsidRPr="00BC1EB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855455"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855455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  <w:r w:rsidR="00855455"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sz w:val="22"/>
                <w:szCs w:val="22"/>
              </w:rPr>
              <w:t>65</w:t>
            </w:r>
            <w:r>
              <w:rPr>
                <w:rFonts w:ascii="Calibri" w:hAnsi="Calibri"/>
                <w:sz w:val="22"/>
                <w:szCs w:val="22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  <w:r w:rsidR="00855455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411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084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RPL4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sz w:val="22"/>
                <w:szCs w:val="22"/>
              </w:rPr>
              <w:t xml:space="preserve">404 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325 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0.63</w:t>
            </w:r>
            <w:r w:rsidR="00F53344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(7)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225 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424 </w:t>
            </w:r>
            <w:r>
              <w:rPr>
                <w:rFonts w:ascii="Calibri" w:hAnsi="Calibri"/>
                <w:sz w:val="22"/>
                <w:szCs w:val="22"/>
              </w:rPr>
              <w:t>(5)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252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sz w:val="22"/>
                <w:szCs w:val="22"/>
              </w:rPr>
              <w:t>0.28</w:t>
            </w:r>
            <w:r w:rsidR="00855455" w:rsidRPr="00BC1EB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855455" w:rsidRPr="00BC1EB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174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4 (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(6)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0.4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05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855455"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855455">
              <w:rPr>
                <w:rFonts w:ascii="Calibri" w:hAnsi="Calibri"/>
                <w:b/>
                <w:color w:val="000000"/>
                <w:sz w:val="22"/>
                <w:szCs w:val="22"/>
              </w:rPr>
              <w:t>59</w:t>
            </w:r>
            <w:r w:rsidR="00855455"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(2)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RPL30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534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328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</w:t>
            </w:r>
            <w:r w:rsidR="00F53344">
              <w:rPr>
                <w:rFonts w:ascii="Calibri" w:hAnsi="Calibri"/>
                <w:sz w:val="22"/>
                <w:szCs w:val="22"/>
              </w:rPr>
              <w:t>92</w:t>
            </w:r>
            <w:r>
              <w:rPr>
                <w:rFonts w:ascii="Calibri" w:hAnsi="Calibri"/>
                <w:sz w:val="22"/>
                <w:szCs w:val="22"/>
              </w:rPr>
              <w:t xml:space="preserve"> (10)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0.49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</w:t>
            </w:r>
            <w:r w:rsidR="00F53344">
              <w:rPr>
                <w:rFonts w:ascii="Calibri" w:hAnsi="Calibri"/>
                <w:sz w:val="22"/>
                <w:szCs w:val="22"/>
              </w:rPr>
              <w:t>61</w:t>
            </w:r>
            <w:r>
              <w:rPr>
                <w:rFonts w:ascii="Calibri" w:hAnsi="Calibri"/>
                <w:sz w:val="22"/>
                <w:szCs w:val="22"/>
              </w:rPr>
              <w:t xml:space="preserve"> (10)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274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 w:rsidDel="00855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5455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8 (</w:t>
            </w:r>
            <w:r w:rsidR="00855455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250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59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  <w:r w:rsidR="00855455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>813</w:t>
            </w:r>
            <w:r>
              <w:rPr>
                <w:rFonts w:ascii="Calibri" w:hAnsi="Calibri"/>
                <w:sz w:val="22"/>
                <w:szCs w:val="22"/>
              </w:rPr>
              <w:t xml:space="preserve"> (10)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257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RPS13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C824B8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C824B8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64</w:t>
            </w:r>
            <w:r w:rsidR="00F53344" w:rsidRPr="00C824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(1)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149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C824B8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421</w:t>
            </w:r>
            <w:r w:rsidR="00F53344" w:rsidRPr="00C824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225 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</w:t>
            </w:r>
            <w:r w:rsidR="00F53344">
              <w:rPr>
                <w:rFonts w:ascii="Calibri" w:hAnsi="Calibri"/>
                <w:sz w:val="22"/>
                <w:szCs w:val="22"/>
              </w:rPr>
              <w:t>60</w:t>
            </w:r>
            <w:r>
              <w:rPr>
                <w:rFonts w:ascii="Calibri" w:hAnsi="Calibri"/>
                <w:sz w:val="22"/>
                <w:szCs w:val="22"/>
              </w:rPr>
              <w:t xml:space="preserve"> (6)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153 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0.2</w:t>
            </w:r>
            <w:r w:rsidR="00855455">
              <w:rPr>
                <w:rFonts w:ascii="Calibri" w:hAnsi="Calibri"/>
                <w:b/>
                <w:sz w:val="22"/>
                <w:szCs w:val="22"/>
              </w:rPr>
              <w:t>81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236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</w:t>
            </w:r>
            <w:r w:rsidR="00855455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85545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0.1</w:t>
            </w:r>
            <w:r w:rsidR="00855455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</w:t>
            </w:r>
            <w:r w:rsidR="00855455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BC1EBA">
              <w:rPr>
                <w:rFonts w:ascii="Calibri" w:hAnsi="Calibri"/>
                <w:sz w:val="22"/>
                <w:szCs w:val="22"/>
              </w:rPr>
              <w:t>0.</w:t>
            </w:r>
            <w:r w:rsidR="00855455" w:rsidRPr="00BC1EBA">
              <w:rPr>
                <w:rFonts w:ascii="Calibri" w:hAnsi="Calibri"/>
                <w:sz w:val="22"/>
                <w:szCs w:val="22"/>
              </w:rPr>
              <w:t xml:space="preserve">454 </w:t>
            </w:r>
            <w:r w:rsidRPr="00BC1EBA">
              <w:rPr>
                <w:rFonts w:ascii="Calibri" w:hAnsi="Calibri"/>
                <w:sz w:val="22"/>
                <w:szCs w:val="22"/>
              </w:rPr>
              <w:t>(</w:t>
            </w:r>
            <w:r w:rsidR="00855455" w:rsidRPr="00BC1EBA">
              <w:rPr>
                <w:rFonts w:ascii="Calibri" w:hAnsi="Calibri"/>
                <w:sz w:val="22"/>
                <w:szCs w:val="22"/>
              </w:rPr>
              <w:t>4</w:t>
            </w:r>
            <w:r w:rsidRPr="00BC1EB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132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SDHA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sz w:val="22"/>
                <w:szCs w:val="22"/>
              </w:rPr>
              <w:t xml:space="preserve">614 </w:t>
            </w:r>
            <w:r>
              <w:rPr>
                <w:rFonts w:ascii="Calibri" w:hAnsi="Calibri"/>
                <w:sz w:val="22"/>
                <w:szCs w:val="22"/>
              </w:rPr>
              <w:t>(5)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326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C824B8" w:rsidDel="00F533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41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8 (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 xml:space="preserve">408 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BC1EB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sz w:val="22"/>
                <w:szCs w:val="22"/>
              </w:rPr>
              <w:t>0.3</w:t>
            </w:r>
            <w:r w:rsidR="00F53344">
              <w:rPr>
                <w:rFonts w:ascii="Calibri" w:hAnsi="Calibri"/>
                <w:b/>
                <w:sz w:val="22"/>
                <w:szCs w:val="22"/>
              </w:rPr>
              <w:t>55</w:t>
            </w:r>
            <w:r w:rsidRPr="00C824B8">
              <w:rPr>
                <w:rFonts w:ascii="Calibri" w:hAnsi="Calibri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153 </w:t>
            </w:r>
            <w:r w:rsidRPr="00BC1EBA">
              <w:rPr>
                <w:rFonts w:ascii="Calibri" w:hAnsi="Calibri"/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sz w:val="22"/>
                <w:szCs w:val="22"/>
              </w:rPr>
              <w:t>65</w:t>
            </w:r>
            <w:r>
              <w:rPr>
                <w:rFonts w:ascii="Calibri" w:hAnsi="Calibri"/>
                <w:sz w:val="22"/>
                <w:szCs w:val="22"/>
              </w:rPr>
              <w:t xml:space="preserve"> (5)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0.53</w:t>
            </w:r>
            <w:r w:rsidR="00855455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266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BC1EBA" w:rsidRDefault="006C61DE" w:rsidP="00855455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855455" w:rsidRPr="00BC1EBA">
              <w:rPr>
                <w:rFonts w:ascii="Calibri" w:hAnsi="Calibri"/>
                <w:b/>
                <w:sz w:val="22"/>
                <w:szCs w:val="22"/>
              </w:rPr>
              <w:t xml:space="preserve">410 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855455" w:rsidRPr="00BC1EB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E" w:rsidRPr="00C824B8" w:rsidRDefault="006C61DE" w:rsidP="00855455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0.03</w:t>
            </w:r>
            <w:r w:rsidR="00855455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(1)</w:t>
            </w:r>
          </w:p>
        </w:tc>
      </w:tr>
      <w:tr w:rsidR="006C61DE" w:rsidTr="003547C5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354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UBE20</w:t>
            </w:r>
          </w:p>
        </w:tc>
        <w:tc>
          <w:tcPr>
            <w:tcW w:w="10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F53344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F53344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F53344">
              <w:rPr>
                <w:rFonts w:ascii="Calibri" w:hAnsi="Calibri"/>
                <w:b/>
                <w:sz w:val="22"/>
                <w:szCs w:val="22"/>
              </w:rPr>
              <w:t xml:space="preserve">433 </w:t>
            </w:r>
            <w:r w:rsidRPr="00F53344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F53344" w:rsidRPr="00F5334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5334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C824B8" w:rsidRDefault="006C61DE" w:rsidP="00F53344">
            <w:pPr>
              <w:ind w:left="57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b/>
                <w:color w:val="000000"/>
                <w:sz w:val="22"/>
                <w:szCs w:val="22"/>
              </w:rPr>
              <w:t>243</w:t>
            </w:r>
            <w:r w:rsidR="00F53344"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C824B8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</w:t>
            </w:r>
            <w:r w:rsidR="00F53344">
              <w:rPr>
                <w:rFonts w:ascii="Calibri" w:hAnsi="Calibri"/>
                <w:sz w:val="22"/>
                <w:szCs w:val="22"/>
              </w:rPr>
              <w:t>66</w:t>
            </w:r>
            <w:r>
              <w:rPr>
                <w:rFonts w:ascii="Calibri" w:hAnsi="Calibri"/>
                <w:sz w:val="22"/>
                <w:szCs w:val="22"/>
              </w:rPr>
              <w:t xml:space="preserve"> (5)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(6)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Pr="00BC1EBA" w:rsidRDefault="006C61DE" w:rsidP="00F53344">
            <w:pPr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BC1EBA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F53344" w:rsidRPr="00BC1EBA">
              <w:rPr>
                <w:rFonts w:ascii="Calibri" w:hAnsi="Calibri"/>
                <w:b/>
                <w:sz w:val="22"/>
                <w:szCs w:val="22"/>
              </w:rPr>
              <w:t xml:space="preserve">363 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F53344" w:rsidRPr="00BC1EB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C1E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F53344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 xml:space="preserve">306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5334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</w:t>
            </w:r>
            <w:r w:rsidR="00855455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(6)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159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 xml:space="preserve">640 </w:t>
            </w:r>
            <w:r>
              <w:rPr>
                <w:rFonts w:ascii="Calibri" w:hAnsi="Calibri"/>
                <w:sz w:val="22"/>
                <w:szCs w:val="22"/>
              </w:rPr>
              <w:t>(9)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(8)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sz w:val="22"/>
                <w:szCs w:val="22"/>
              </w:rPr>
              <w:t>636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855455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61DE" w:rsidRDefault="006C61DE" w:rsidP="00855455">
            <w:pPr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 xml:space="preserve">176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8554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6C61DE" w:rsidRDefault="006C61DE" w:rsidP="006C61DE">
      <w:pPr>
        <w:rPr>
          <w:rFonts w:asciiTheme="minorHAnsi" w:hAnsiTheme="minorHAnsi"/>
          <w:sz w:val="20"/>
        </w:rPr>
      </w:pPr>
    </w:p>
    <w:p w:rsidR="009E036C" w:rsidRDefault="005A0445" w:rsidP="006C61DE">
      <w:pPr>
        <w:spacing w:line="480" w:lineRule="auto"/>
      </w:pPr>
      <w:bookmarkStart w:id="4" w:name="_GoBack"/>
      <w:bookmarkEnd w:id="4"/>
    </w:p>
    <w:sectPr w:rsidR="009E036C" w:rsidSect="006C6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DE"/>
    <w:rsid w:val="000A7A38"/>
    <w:rsid w:val="005A0445"/>
    <w:rsid w:val="006A12A1"/>
    <w:rsid w:val="006C61DE"/>
    <w:rsid w:val="006D3A0A"/>
    <w:rsid w:val="00745EA5"/>
    <w:rsid w:val="00855455"/>
    <w:rsid w:val="00997A81"/>
    <w:rsid w:val="009A6504"/>
    <w:rsid w:val="00BC1EBA"/>
    <w:rsid w:val="00C33159"/>
    <w:rsid w:val="00D47138"/>
    <w:rsid w:val="00F26EBD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DE"/>
    <w:pPr>
      <w:ind w:firstLine="0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2A1"/>
    <w:pPr>
      <w:spacing w:before="600" w:line="360" w:lineRule="auto"/>
      <w:outlineLvl w:val="0"/>
    </w:pPr>
    <w:rPr>
      <w:rFonts w:eastAsiaTheme="majorEastAsia" w:cstheme="majorBidi"/>
      <w:b/>
      <w:bCs/>
      <w:iC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1"/>
    <w:pPr>
      <w:spacing w:before="320" w:line="360" w:lineRule="auto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A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A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A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A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A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A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A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A1"/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2A1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A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2A1"/>
    <w:pPr>
      <w:ind w:firstLine="357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2A1"/>
    <w:rPr>
      <w:rFonts w:eastAsiaTheme="majorEastAsia" w:cstheme="majorBidi"/>
      <w:b/>
      <w:bCs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12A1"/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A1"/>
    <w:pPr>
      <w:spacing w:after="320"/>
      <w:ind w:firstLine="357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A12A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12A1"/>
    <w:rPr>
      <w:b/>
      <w:bCs/>
      <w:spacing w:val="0"/>
    </w:rPr>
  </w:style>
  <w:style w:type="character" w:styleId="Emphasis">
    <w:name w:val="Emphasis"/>
    <w:uiPriority w:val="20"/>
    <w:qFormat/>
    <w:rsid w:val="006A12A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12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12A1"/>
    <w:pPr>
      <w:ind w:left="720" w:firstLine="35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A12A1"/>
    <w:pPr>
      <w:ind w:firstLine="357"/>
    </w:pPr>
    <w:rPr>
      <w:rFonts w:asciiTheme="minorHAnsi" w:eastAsiaTheme="minorHAnsi" w:hAnsiTheme="minorHAnsi" w:cstheme="minorBidi"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12A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2A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2A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12A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12A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12A1"/>
    <w:rPr>
      <w:smallCaps/>
    </w:rPr>
  </w:style>
  <w:style w:type="character" w:styleId="IntenseReference">
    <w:name w:val="Intense Reference"/>
    <w:uiPriority w:val="32"/>
    <w:qFormat/>
    <w:rsid w:val="006A12A1"/>
    <w:rPr>
      <w:b/>
      <w:bCs/>
      <w:smallCaps/>
      <w:color w:val="auto"/>
    </w:rPr>
  </w:style>
  <w:style w:type="character" w:styleId="BookTitle">
    <w:name w:val="Book Title"/>
    <w:uiPriority w:val="33"/>
    <w:qFormat/>
    <w:rsid w:val="006A12A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2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44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DE"/>
    <w:pPr>
      <w:ind w:firstLine="0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2A1"/>
    <w:pPr>
      <w:spacing w:before="600" w:line="360" w:lineRule="auto"/>
      <w:outlineLvl w:val="0"/>
    </w:pPr>
    <w:rPr>
      <w:rFonts w:eastAsiaTheme="majorEastAsia" w:cstheme="majorBidi"/>
      <w:b/>
      <w:bCs/>
      <w:iCs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A1"/>
    <w:pPr>
      <w:spacing w:before="320" w:line="360" w:lineRule="auto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2A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A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A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2A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2A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2A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2A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A1"/>
    <w:rPr>
      <w:rFonts w:ascii="Times New Roman" w:eastAsiaTheme="majorEastAsia" w:hAnsi="Times New Roman" w:cstheme="majorBidi"/>
      <w:b/>
      <w:bCs/>
      <w:iCs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2A1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2A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2A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2A1"/>
    <w:pPr>
      <w:ind w:firstLine="357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2A1"/>
    <w:rPr>
      <w:rFonts w:eastAsiaTheme="majorEastAsia" w:cstheme="majorBidi"/>
      <w:b/>
      <w:bCs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12A1"/>
    <w:rPr>
      <w:rFonts w:ascii="Times New Roman" w:eastAsiaTheme="majorEastAsia" w:hAnsi="Times New Roman" w:cstheme="majorBidi"/>
      <w:b/>
      <w:bCs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A1"/>
    <w:pPr>
      <w:spacing w:after="320"/>
      <w:ind w:firstLine="357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A12A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12A1"/>
    <w:rPr>
      <w:b/>
      <w:bCs/>
      <w:spacing w:val="0"/>
    </w:rPr>
  </w:style>
  <w:style w:type="character" w:styleId="Emphasis">
    <w:name w:val="Emphasis"/>
    <w:uiPriority w:val="20"/>
    <w:qFormat/>
    <w:rsid w:val="006A12A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12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12A1"/>
    <w:pPr>
      <w:ind w:left="720" w:firstLine="35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A12A1"/>
    <w:pPr>
      <w:ind w:firstLine="357"/>
    </w:pPr>
    <w:rPr>
      <w:rFonts w:asciiTheme="minorHAnsi" w:eastAsiaTheme="minorHAnsi" w:hAnsiTheme="minorHAnsi" w:cstheme="minorBidi"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12A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2A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2A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12A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12A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12A1"/>
    <w:rPr>
      <w:smallCaps/>
    </w:rPr>
  </w:style>
  <w:style w:type="character" w:styleId="IntenseReference">
    <w:name w:val="Intense Reference"/>
    <w:uiPriority w:val="32"/>
    <w:qFormat/>
    <w:rsid w:val="006A12A1"/>
    <w:rPr>
      <w:b/>
      <w:bCs/>
      <w:smallCaps/>
      <w:color w:val="auto"/>
    </w:rPr>
  </w:style>
  <w:style w:type="character" w:styleId="BookTitle">
    <w:name w:val="Book Title"/>
    <w:uiPriority w:val="33"/>
    <w:qFormat/>
    <w:rsid w:val="006A12A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2A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4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Chapman</dc:creator>
  <cp:lastModifiedBy>Joanne Chapman</cp:lastModifiedBy>
  <cp:revision>4</cp:revision>
  <dcterms:created xsi:type="dcterms:W3CDTF">2015-12-08T15:17:00Z</dcterms:created>
  <dcterms:modified xsi:type="dcterms:W3CDTF">2015-12-09T11:08:00Z</dcterms:modified>
</cp:coreProperties>
</file>