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3D" w:rsidRPr="007C3E5A" w:rsidRDefault="006117A4" w:rsidP="007C3E5A">
      <w:pPr>
        <w:pStyle w:val="Ttulo1"/>
        <w:spacing w:before="0" w:after="240" w:line="360" w:lineRule="auto"/>
        <w:jc w:val="center"/>
        <w:rPr>
          <w:rFonts w:asciiTheme="majorHAnsi" w:hAnsiTheme="majorHAnsi"/>
          <w:sz w:val="22"/>
        </w:rPr>
      </w:pPr>
      <w:r w:rsidRPr="007C3E5A">
        <w:rPr>
          <w:rFonts w:asciiTheme="majorHAnsi" w:hAnsiTheme="majorHAnsi"/>
          <w:sz w:val="22"/>
        </w:rPr>
        <w:t xml:space="preserve">Economic impact of a new rapid PCR assay for detecting influenza virus in an Emergency </w:t>
      </w:r>
      <w:r w:rsidR="00AC04D7">
        <w:rPr>
          <w:rFonts w:asciiTheme="majorHAnsi" w:hAnsiTheme="majorHAnsi"/>
          <w:sz w:val="22"/>
        </w:rPr>
        <w:t>D</w:t>
      </w:r>
      <w:r w:rsidRPr="007C3E5A">
        <w:rPr>
          <w:rFonts w:asciiTheme="majorHAnsi" w:hAnsiTheme="majorHAnsi"/>
          <w:sz w:val="22"/>
        </w:rPr>
        <w:t>epartment and hospitalized patients</w:t>
      </w:r>
    </w:p>
    <w:p w:rsidR="00976B03" w:rsidRPr="00397ABE" w:rsidRDefault="00E662EC" w:rsidP="007C3E5A">
      <w:pPr>
        <w:spacing w:line="240" w:lineRule="auto"/>
        <w:rPr>
          <w:rFonts w:ascii="Cambria" w:hAnsi="Cambria"/>
          <w:sz w:val="20"/>
          <w:szCs w:val="20"/>
          <w:lang w:val="es-ES"/>
        </w:rPr>
      </w:pPr>
      <w:r w:rsidRPr="00E662EC">
        <w:rPr>
          <w:rFonts w:ascii="Cambria" w:hAnsi="Cambria"/>
          <w:sz w:val="20"/>
          <w:szCs w:val="20"/>
          <w:lang w:val="es-ES"/>
        </w:rPr>
        <w:t>Marcelo Soto</w:t>
      </w:r>
      <w:r w:rsidRPr="00E662EC">
        <w:rPr>
          <w:rFonts w:ascii="Cambria" w:hAnsi="Cambria"/>
          <w:sz w:val="20"/>
          <w:szCs w:val="20"/>
          <w:vertAlign w:val="superscript"/>
          <w:lang w:val="es-ES"/>
        </w:rPr>
        <w:t>1</w:t>
      </w:r>
      <w:r w:rsidRPr="00E662EC">
        <w:rPr>
          <w:rFonts w:ascii="Cambria" w:hAnsi="Cambria"/>
          <w:sz w:val="20"/>
          <w:szCs w:val="20"/>
          <w:lang w:val="es-ES"/>
        </w:rPr>
        <w:t>, Laura Sampietro-Colom</w:t>
      </w:r>
      <w:r w:rsidRPr="00E662EC">
        <w:rPr>
          <w:rFonts w:ascii="Cambria" w:hAnsi="Cambria"/>
          <w:sz w:val="20"/>
          <w:szCs w:val="20"/>
          <w:vertAlign w:val="superscript"/>
          <w:lang w:val="es-ES"/>
        </w:rPr>
        <w:t>2</w:t>
      </w:r>
      <w:r w:rsidRPr="00E662EC">
        <w:rPr>
          <w:rFonts w:ascii="Cambria" w:hAnsi="Cambria"/>
          <w:sz w:val="20"/>
          <w:szCs w:val="20"/>
          <w:lang w:val="es-ES"/>
        </w:rPr>
        <w:t>, Anna Vilella</w:t>
      </w:r>
      <w:r w:rsidRPr="00E662EC">
        <w:rPr>
          <w:rFonts w:ascii="Cambria" w:hAnsi="Cambria"/>
          <w:sz w:val="20"/>
          <w:szCs w:val="20"/>
          <w:vertAlign w:val="superscript"/>
          <w:lang w:val="es-ES"/>
        </w:rPr>
        <w:t>3</w:t>
      </w:r>
      <w:proofErr w:type="gramStart"/>
      <w:r w:rsidRPr="00E662EC">
        <w:rPr>
          <w:rFonts w:ascii="Cambria" w:hAnsi="Cambria"/>
          <w:sz w:val="20"/>
          <w:szCs w:val="20"/>
          <w:vertAlign w:val="superscript"/>
          <w:lang w:val="es-ES"/>
        </w:rPr>
        <w:t>,4</w:t>
      </w:r>
      <w:proofErr w:type="gramEnd"/>
      <w:r w:rsidRPr="00E662EC">
        <w:rPr>
          <w:rFonts w:ascii="Cambria" w:hAnsi="Cambria"/>
          <w:sz w:val="20"/>
          <w:szCs w:val="20"/>
          <w:lang w:val="es-ES"/>
        </w:rPr>
        <w:t>, Efraín Pantoja</w:t>
      </w:r>
      <w:r w:rsidRPr="00E662EC">
        <w:rPr>
          <w:rFonts w:ascii="Cambria" w:hAnsi="Cambria"/>
          <w:sz w:val="20"/>
          <w:szCs w:val="20"/>
          <w:vertAlign w:val="superscript"/>
          <w:lang w:val="es-ES"/>
        </w:rPr>
        <w:t>3</w:t>
      </w:r>
      <w:r w:rsidRPr="00E662EC">
        <w:rPr>
          <w:rFonts w:ascii="Cambria" w:hAnsi="Cambria"/>
          <w:sz w:val="20"/>
          <w:szCs w:val="20"/>
          <w:lang w:val="es-ES"/>
        </w:rPr>
        <w:t>, María Asenjo</w:t>
      </w:r>
      <w:r w:rsidRPr="00E662EC">
        <w:rPr>
          <w:rFonts w:ascii="Cambria" w:hAnsi="Cambria"/>
          <w:sz w:val="20"/>
          <w:szCs w:val="20"/>
          <w:vertAlign w:val="superscript"/>
          <w:lang w:val="es-ES"/>
        </w:rPr>
        <w:t>5</w:t>
      </w:r>
      <w:r w:rsidRPr="00E662EC">
        <w:rPr>
          <w:rFonts w:ascii="Cambria" w:hAnsi="Cambria"/>
          <w:sz w:val="20"/>
          <w:szCs w:val="20"/>
          <w:lang w:val="es-ES"/>
        </w:rPr>
        <w:t>, Ruth Arjona</w:t>
      </w:r>
      <w:r w:rsidRPr="00E662EC">
        <w:rPr>
          <w:rFonts w:ascii="Cambria" w:hAnsi="Cambria"/>
          <w:sz w:val="20"/>
          <w:szCs w:val="20"/>
          <w:vertAlign w:val="superscript"/>
          <w:lang w:val="es-ES"/>
        </w:rPr>
        <w:t>4,6</w:t>
      </w:r>
      <w:r w:rsidRPr="00E662EC">
        <w:rPr>
          <w:rFonts w:ascii="Cambria" w:hAnsi="Cambria"/>
          <w:sz w:val="20"/>
          <w:szCs w:val="20"/>
          <w:lang w:val="es-ES"/>
        </w:rPr>
        <w:t>, Juan Carlos Hurtado</w:t>
      </w:r>
      <w:r w:rsidRPr="00E662EC">
        <w:rPr>
          <w:rFonts w:ascii="Cambria" w:hAnsi="Cambria"/>
          <w:sz w:val="20"/>
          <w:szCs w:val="20"/>
          <w:vertAlign w:val="superscript"/>
          <w:lang w:val="es-ES"/>
        </w:rPr>
        <w:t>4,6</w:t>
      </w:r>
      <w:r w:rsidRPr="00E662EC">
        <w:rPr>
          <w:rFonts w:ascii="Cambria" w:hAnsi="Cambria"/>
          <w:sz w:val="20"/>
          <w:szCs w:val="20"/>
          <w:lang w:val="es-ES"/>
        </w:rPr>
        <w:t>, Antoni Trilla</w:t>
      </w:r>
      <w:r w:rsidRPr="00E662EC">
        <w:rPr>
          <w:rFonts w:ascii="Cambria" w:hAnsi="Cambria"/>
          <w:sz w:val="20"/>
          <w:szCs w:val="20"/>
          <w:vertAlign w:val="superscript"/>
          <w:lang w:val="es-ES"/>
        </w:rPr>
        <w:t>3,4</w:t>
      </w:r>
      <w:r w:rsidRPr="00E662EC">
        <w:rPr>
          <w:rFonts w:ascii="Cambria" w:hAnsi="Cambria"/>
          <w:sz w:val="20"/>
          <w:szCs w:val="20"/>
          <w:lang w:val="es-ES"/>
        </w:rPr>
        <w:t>, Míriam José Alvarez-Martínez</w:t>
      </w:r>
      <w:r w:rsidRPr="00E662EC">
        <w:rPr>
          <w:rFonts w:ascii="Cambria" w:hAnsi="Cambria"/>
          <w:sz w:val="20"/>
          <w:szCs w:val="20"/>
          <w:vertAlign w:val="superscript"/>
          <w:lang w:val="es-ES"/>
        </w:rPr>
        <w:t>4,6</w:t>
      </w:r>
      <w:r w:rsidRPr="00E662EC">
        <w:rPr>
          <w:rFonts w:ascii="Cambria" w:hAnsi="Cambria"/>
          <w:sz w:val="20"/>
          <w:szCs w:val="20"/>
          <w:lang w:val="es-ES"/>
        </w:rPr>
        <w:t>, Aurea Mira</w:t>
      </w:r>
      <w:r w:rsidRPr="00E662EC">
        <w:rPr>
          <w:rFonts w:ascii="Cambria" w:hAnsi="Cambria"/>
          <w:sz w:val="20"/>
          <w:szCs w:val="20"/>
          <w:vertAlign w:val="superscript"/>
          <w:lang w:val="es-ES"/>
        </w:rPr>
        <w:t>7</w:t>
      </w:r>
      <w:r w:rsidRPr="00E662EC">
        <w:rPr>
          <w:rFonts w:ascii="Cambria" w:hAnsi="Cambria"/>
          <w:sz w:val="20"/>
          <w:szCs w:val="20"/>
          <w:lang w:val="es-ES"/>
        </w:rPr>
        <w:t>, Jordi Vila</w:t>
      </w:r>
      <w:r w:rsidRPr="00E662EC">
        <w:rPr>
          <w:rFonts w:ascii="Cambria" w:hAnsi="Cambria"/>
          <w:sz w:val="20"/>
          <w:szCs w:val="20"/>
          <w:vertAlign w:val="superscript"/>
          <w:lang w:val="es-ES"/>
        </w:rPr>
        <w:t>4,6</w:t>
      </w:r>
      <w:r w:rsidRPr="00E662EC">
        <w:rPr>
          <w:rFonts w:ascii="Cambria" w:hAnsi="Cambria"/>
          <w:sz w:val="20"/>
          <w:szCs w:val="20"/>
          <w:lang w:val="es-ES"/>
        </w:rPr>
        <w:t xml:space="preserve">, María </w:t>
      </w:r>
      <w:proofErr w:type="spellStart"/>
      <w:r w:rsidRPr="00E662EC">
        <w:rPr>
          <w:rFonts w:ascii="Cambria" w:hAnsi="Cambria"/>
          <w:sz w:val="20"/>
          <w:szCs w:val="20"/>
          <w:lang w:val="es-ES"/>
        </w:rPr>
        <w:t>Angeles</w:t>
      </w:r>
      <w:proofErr w:type="spellEnd"/>
      <w:r w:rsidRPr="00E662EC">
        <w:rPr>
          <w:rFonts w:ascii="Cambria" w:hAnsi="Cambria"/>
          <w:sz w:val="20"/>
          <w:szCs w:val="20"/>
          <w:lang w:val="es-ES"/>
        </w:rPr>
        <w:t xml:space="preserve"> Marcos</w:t>
      </w:r>
      <w:r w:rsidRPr="00E662EC">
        <w:rPr>
          <w:rFonts w:ascii="Cambria" w:hAnsi="Cambria"/>
          <w:sz w:val="20"/>
          <w:szCs w:val="20"/>
          <w:vertAlign w:val="superscript"/>
          <w:lang w:val="es-ES"/>
        </w:rPr>
        <w:t>4,6</w:t>
      </w:r>
    </w:p>
    <w:p w:rsidR="00976B03" w:rsidRPr="00397ABE" w:rsidRDefault="00E662EC" w:rsidP="007C3E5A">
      <w:pPr>
        <w:spacing w:line="240" w:lineRule="auto"/>
        <w:jc w:val="both"/>
        <w:rPr>
          <w:rFonts w:ascii="Cambria" w:hAnsi="Cambria"/>
          <w:sz w:val="20"/>
          <w:szCs w:val="20"/>
        </w:rPr>
      </w:pPr>
      <w:r w:rsidRPr="00E662EC">
        <w:rPr>
          <w:rFonts w:ascii="Cambria" w:hAnsi="Cambria"/>
          <w:sz w:val="20"/>
          <w:szCs w:val="20"/>
          <w:vertAlign w:val="superscript"/>
        </w:rPr>
        <w:t>1</w:t>
      </w:r>
      <w:r w:rsidRPr="00E662EC">
        <w:rPr>
          <w:rFonts w:ascii="Cambria" w:hAnsi="Cambria"/>
          <w:sz w:val="20"/>
          <w:szCs w:val="20"/>
        </w:rPr>
        <w:t xml:space="preserve">Fundació Clínic per a la </w:t>
      </w:r>
      <w:proofErr w:type="spellStart"/>
      <w:r w:rsidRPr="00E662EC">
        <w:rPr>
          <w:rFonts w:ascii="Cambria" w:hAnsi="Cambria"/>
          <w:sz w:val="20"/>
          <w:szCs w:val="20"/>
        </w:rPr>
        <w:t>Recerca</w:t>
      </w:r>
      <w:proofErr w:type="spellEnd"/>
      <w:r w:rsidRPr="00E662EC">
        <w:rPr>
          <w:rFonts w:ascii="Cambria" w:hAnsi="Cambria"/>
          <w:sz w:val="20"/>
          <w:szCs w:val="20"/>
        </w:rPr>
        <w:t xml:space="preserve"> </w:t>
      </w:r>
      <w:proofErr w:type="spellStart"/>
      <w:r w:rsidRPr="00E662EC">
        <w:rPr>
          <w:rFonts w:ascii="Cambria" w:hAnsi="Cambria"/>
          <w:sz w:val="20"/>
          <w:szCs w:val="20"/>
        </w:rPr>
        <w:t>Biomèdica</w:t>
      </w:r>
      <w:proofErr w:type="spellEnd"/>
      <w:r w:rsidRPr="00E662EC">
        <w:rPr>
          <w:rFonts w:ascii="Cambria" w:hAnsi="Cambria"/>
          <w:sz w:val="20"/>
          <w:szCs w:val="20"/>
        </w:rPr>
        <w:t xml:space="preserve">, Barcelona, Spain; </w:t>
      </w:r>
      <w:r w:rsidRPr="00E662EC">
        <w:rPr>
          <w:rFonts w:ascii="Cambria" w:hAnsi="Cambria"/>
          <w:sz w:val="20"/>
          <w:szCs w:val="20"/>
          <w:vertAlign w:val="superscript"/>
        </w:rPr>
        <w:t>2</w:t>
      </w:r>
      <w:r w:rsidRPr="00E662EC">
        <w:rPr>
          <w:rFonts w:ascii="Cambria" w:hAnsi="Cambria"/>
          <w:sz w:val="20"/>
          <w:szCs w:val="20"/>
        </w:rPr>
        <w:t xml:space="preserve">Health Technology Assessment Unit, Hospital Clínic, University of Barcelona, Barcelona, Spain; </w:t>
      </w:r>
      <w:r w:rsidRPr="00E662EC">
        <w:rPr>
          <w:rFonts w:ascii="Cambria" w:hAnsi="Cambria"/>
          <w:sz w:val="20"/>
          <w:szCs w:val="20"/>
          <w:vertAlign w:val="superscript"/>
        </w:rPr>
        <w:t>3</w:t>
      </w:r>
      <w:r w:rsidRPr="00E662EC">
        <w:rPr>
          <w:rFonts w:ascii="Cambria" w:hAnsi="Cambria"/>
          <w:sz w:val="20"/>
          <w:szCs w:val="20"/>
        </w:rPr>
        <w:t xml:space="preserve">Public Health Department, Hospital Clínic, University of Barcelona, Barcelona, Spain; </w:t>
      </w:r>
      <w:r w:rsidRPr="00E662EC">
        <w:rPr>
          <w:rFonts w:ascii="Cambria" w:hAnsi="Cambria"/>
          <w:sz w:val="20"/>
          <w:szCs w:val="20"/>
          <w:vertAlign w:val="superscript"/>
        </w:rPr>
        <w:t>4</w:t>
      </w:r>
      <w:r w:rsidRPr="00E662EC">
        <w:rPr>
          <w:rFonts w:ascii="Cambria" w:hAnsi="Cambria"/>
          <w:sz w:val="20"/>
          <w:szCs w:val="20"/>
        </w:rPr>
        <w:t xml:space="preserve">ISGlobal Barcelona Institute for Global Health, Barcelona, Spain; </w:t>
      </w:r>
      <w:r w:rsidRPr="00E662EC">
        <w:rPr>
          <w:rFonts w:ascii="Cambria" w:hAnsi="Cambria"/>
          <w:sz w:val="20"/>
          <w:szCs w:val="20"/>
          <w:vertAlign w:val="superscript"/>
        </w:rPr>
        <w:t>5</w:t>
      </w:r>
      <w:r w:rsidRPr="00E662EC">
        <w:rPr>
          <w:rFonts w:ascii="Cambria" w:hAnsi="Cambria"/>
          <w:sz w:val="20"/>
          <w:szCs w:val="20"/>
        </w:rPr>
        <w:t xml:space="preserve">Emergency Department, Hospital Clínic, University of Barcelona, Barcelona, Spain; </w:t>
      </w:r>
      <w:r w:rsidRPr="00E662EC">
        <w:rPr>
          <w:rFonts w:ascii="Cambria" w:hAnsi="Cambria"/>
          <w:sz w:val="20"/>
          <w:szCs w:val="20"/>
          <w:vertAlign w:val="superscript"/>
        </w:rPr>
        <w:t>6</w:t>
      </w:r>
      <w:r w:rsidRPr="00E662EC">
        <w:rPr>
          <w:rFonts w:ascii="Cambria" w:hAnsi="Cambria"/>
          <w:sz w:val="20"/>
          <w:szCs w:val="20"/>
        </w:rPr>
        <w:t xml:space="preserve">Department of Clinical Microbiology, Biomedical Diagnostic Centre (CDB), Hospital Clínic, University of Barcelona, Barcelona, Spain. </w:t>
      </w:r>
      <w:proofErr w:type="gramStart"/>
      <w:r w:rsidRPr="00E662EC">
        <w:rPr>
          <w:rFonts w:ascii="Cambria" w:hAnsi="Cambria"/>
          <w:sz w:val="20"/>
          <w:szCs w:val="20"/>
          <w:vertAlign w:val="superscript"/>
        </w:rPr>
        <w:t>7</w:t>
      </w:r>
      <w:r w:rsidRPr="00E662EC">
        <w:rPr>
          <w:rFonts w:ascii="Cambria" w:hAnsi="Cambria"/>
          <w:sz w:val="20"/>
          <w:szCs w:val="20"/>
        </w:rPr>
        <w:t>Biomedical Diagnostic Centre (CDB), Hospital Clínic, University of Barcelona, Barcelona, Spain.</w:t>
      </w:r>
      <w:proofErr w:type="gramEnd"/>
    </w:p>
    <w:p w:rsidR="00976B03" w:rsidRPr="00397ABE" w:rsidRDefault="00976B03" w:rsidP="00397ABE">
      <w:pPr>
        <w:spacing w:line="360" w:lineRule="auto"/>
        <w:rPr>
          <w:rFonts w:ascii="Cambria" w:eastAsia="Times New Roman" w:hAnsi="Cambria" w:cs="Calibri"/>
          <w:b/>
          <w:bCs/>
          <w:color w:val="000000" w:themeColor="text1"/>
          <w:sz w:val="20"/>
          <w:szCs w:val="20"/>
        </w:rPr>
      </w:pPr>
    </w:p>
    <w:p w:rsidR="00C30E36" w:rsidRDefault="00710479" w:rsidP="00397ABE">
      <w:pPr>
        <w:spacing w:line="360" w:lineRule="auto"/>
        <w:jc w:val="center"/>
        <w:rPr>
          <w:rFonts w:ascii="Cambria" w:eastAsia="Times New Roman" w:hAnsi="Cambria" w:cs="Calibri"/>
          <w:b/>
          <w:bCs/>
          <w:color w:val="000000" w:themeColor="text1"/>
          <w:sz w:val="20"/>
          <w:szCs w:val="20"/>
          <w:u w:val="single"/>
        </w:rPr>
      </w:pPr>
      <w:r>
        <w:rPr>
          <w:rFonts w:ascii="Cambria" w:eastAsia="Times New Roman" w:hAnsi="Cambria" w:cs="Calibri"/>
          <w:b/>
          <w:bCs/>
          <w:color w:val="000000" w:themeColor="text1"/>
          <w:sz w:val="20"/>
          <w:szCs w:val="20"/>
          <w:u w:val="single"/>
        </w:rPr>
        <w:t xml:space="preserve">S1 </w:t>
      </w:r>
      <w:r w:rsidR="00326D7E">
        <w:rPr>
          <w:rFonts w:ascii="Cambria" w:eastAsia="Times New Roman" w:hAnsi="Cambria" w:cs="Calibri"/>
          <w:b/>
          <w:bCs/>
          <w:color w:val="000000" w:themeColor="text1"/>
          <w:sz w:val="20"/>
          <w:szCs w:val="20"/>
          <w:u w:val="single"/>
        </w:rPr>
        <w:t>File</w:t>
      </w:r>
    </w:p>
    <w:p w:rsidR="001A46A5" w:rsidRPr="00397ABE" w:rsidRDefault="001A46A5" w:rsidP="00397ABE">
      <w:pPr>
        <w:spacing w:line="360" w:lineRule="auto"/>
        <w:jc w:val="center"/>
        <w:rPr>
          <w:rFonts w:ascii="Cambria" w:hAnsi="Cambria"/>
          <w:sz w:val="20"/>
          <w:szCs w:val="20"/>
          <w:u w:val="single"/>
        </w:rPr>
      </w:pPr>
    </w:p>
    <w:tbl>
      <w:tblPr>
        <w:tblW w:w="0" w:type="auto"/>
        <w:tblLook w:val="04A0" w:firstRow="1" w:lastRow="0" w:firstColumn="1" w:lastColumn="0" w:noHBand="0" w:noVBand="1"/>
      </w:tblPr>
      <w:tblGrid>
        <w:gridCol w:w="5582"/>
        <w:gridCol w:w="1095"/>
        <w:gridCol w:w="1165"/>
        <w:gridCol w:w="1212"/>
      </w:tblGrid>
      <w:tr w:rsidR="007C3E5A" w:rsidRPr="00397ABE" w:rsidTr="007C3E5A">
        <w:trPr>
          <w:trHeight w:val="300"/>
        </w:trPr>
        <w:tc>
          <w:tcPr>
            <w:tcW w:w="0" w:type="auto"/>
            <w:gridSpan w:val="4"/>
            <w:tcBorders>
              <w:top w:val="nil"/>
              <w:left w:val="nil"/>
              <w:bottom w:val="nil"/>
              <w:right w:val="nil"/>
            </w:tcBorders>
            <w:shd w:val="clear" w:color="auto" w:fill="auto"/>
            <w:noWrap/>
            <w:vAlign w:val="center"/>
            <w:hideMark/>
          </w:tcPr>
          <w:p w:rsidR="007C3E5A" w:rsidRPr="00397ABE" w:rsidRDefault="007C3E5A" w:rsidP="007F64B8">
            <w:pPr>
              <w:keepNext/>
              <w:spacing w:before="200" w:after="0" w:line="360" w:lineRule="auto"/>
              <w:jc w:val="both"/>
              <w:outlineLvl w:val="2"/>
              <w:rPr>
                <w:rFonts w:ascii="Cambria" w:eastAsia="Times New Roman" w:hAnsi="Cambria" w:cs="Calibri"/>
                <w:color w:val="000000" w:themeColor="text1"/>
                <w:sz w:val="20"/>
                <w:szCs w:val="20"/>
              </w:rPr>
            </w:pPr>
            <w:r w:rsidRPr="00397ABE">
              <w:rPr>
                <w:b/>
                <w:color w:val="000000" w:themeColor="text1"/>
                <w:sz w:val="20"/>
                <w:szCs w:val="20"/>
              </w:rPr>
              <w:t>Supp</w:t>
            </w:r>
            <w:r w:rsidR="00710479">
              <w:rPr>
                <w:b/>
                <w:color w:val="000000" w:themeColor="text1"/>
                <w:sz w:val="20"/>
                <w:szCs w:val="20"/>
              </w:rPr>
              <w:t>orting information</w:t>
            </w:r>
            <w:r w:rsidRPr="00397ABE">
              <w:rPr>
                <w:b/>
                <w:color w:val="000000" w:themeColor="text1"/>
                <w:sz w:val="20"/>
                <w:szCs w:val="20"/>
              </w:rPr>
              <w:t xml:space="preserve"> Table </w:t>
            </w:r>
            <w:r w:rsidR="007F64B8">
              <w:rPr>
                <w:b/>
                <w:color w:val="000000" w:themeColor="text1"/>
                <w:sz w:val="20"/>
                <w:szCs w:val="20"/>
              </w:rPr>
              <w:t>A</w:t>
            </w:r>
            <w:r w:rsidRPr="00397ABE">
              <w:rPr>
                <w:b/>
                <w:color w:val="000000" w:themeColor="text1"/>
                <w:sz w:val="20"/>
                <w:szCs w:val="20"/>
              </w:rPr>
              <w:t>.</w:t>
            </w:r>
            <w:r w:rsidRPr="00397ABE">
              <w:rPr>
                <w:rFonts w:asciiTheme="majorHAnsi" w:hAnsiTheme="majorHAnsi"/>
                <w:b/>
                <w:color w:val="000000" w:themeColor="text1"/>
                <w:sz w:val="20"/>
                <w:szCs w:val="20"/>
              </w:rPr>
              <w:t xml:space="preserve"> </w:t>
            </w:r>
            <w:r w:rsidRPr="00397ABE">
              <w:rPr>
                <w:rFonts w:ascii="Cambria" w:eastAsia="Times New Roman" w:hAnsi="Cambria" w:cs="Calibri"/>
                <w:color w:val="000000" w:themeColor="text1"/>
                <w:sz w:val="20"/>
                <w:szCs w:val="20"/>
              </w:rPr>
              <w:t xml:space="preserve">Unit </w:t>
            </w:r>
            <w:r w:rsidR="00AC04D7">
              <w:rPr>
                <w:rFonts w:ascii="Cambria" w:eastAsia="Times New Roman" w:hAnsi="Cambria" w:cs="Calibri"/>
                <w:color w:val="000000" w:themeColor="text1"/>
                <w:sz w:val="20"/>
                <w:szCs w:val="20"/>
              </w:rPr>
              <w:t>c</w:t>
            </w:r>
            <w:r w:rsidRPr="00397ABE">
              <w:rPr>
                <w:rFonts w:ascii="Cambria" w:eastAsia="Times New Roman" w:hAnsi="Cambria" w:cs="Calibri"/>
                <w:color w:val="000000" w:themeColor="text1"/>
                <w:sz w:val="20"/>
                <w:szCs w:val="20"/>
              </w:rPr>
              <w:t xml:space="preserve">osts and </w:t>
            </w:r>
            <w:r w:rsidR="00AC04D7">
              <w:rPr>
                <w:rFonts w:ascii="Cambria" w:eastAsia="Times New Roman" w:hAnsi="Cambria" w:cs="Calibri"/>
                <w:color w:val="000000" w:themeColor="text1"/>
                <w:sz w:val="20"/>
                <w:szCs w:val="20"/>
              </w:rPr>
              <w:t>p</w:t>
            </w:r>
            <w:r w:rsidRPr="00397ABE">
              <w:rPr>
                <w:rFonts w:ascii="Cambria" w:eastAsia="Times New Roman" w:hAnsi="Cambria" w:cs="Calibri"/>
                <w:color w:val="000000" w:themeColor="text1"/>
                <w:sz w:val="20"/>
                <w:szCs w:val="20"/>
              </w:rPr>
              <w:t>arameter values</w:t>
            </w:r>
          </w:p>
        </w:tc>
      </w:tr>
      <w:tr w:rsidR="007C3E5A" w:rsidRPr="00397ABE" w:rsidTr="007C3E5A">
        <w:trPr>
          <w:trHeight w:hRule="exact" w:val="567"/>
        </w:trPr>
        <w:tc>
          <w:tcPr>
            <w:tcW w:w="0" w:type="auto"/>
            <w:tcBorders>
              <w:top w:val="single" w:sz="4" w:space="0" w:color="auto"/>
              <w:left w:val="nil"/>
              <w:bottom w:val="single" w:sz="4" w:space="0" w:color="auto"/>
              <w:right w:val="nil"/>
            </w:tcBorders>
            <w:shd w:val="clear" w:color="auto" w:fill="auto"/>
            <w:noWrap/>
            <w:hideMark/>
          </w:tcPr>
          <w:p w:rsidR="007C3E5A" w:rsidRPr="00397ABE" w:rsidRDefault="007C3E5A" w:rsidP="00E662EC">
            <w:pPr>
              <w:keepNext/>
              <w:spacing w:beforeLines="60" w:before="144" w:afterLines="60" w:after="144" w:line="360" w:lineRule="auto"/>
              <w:jc w:val="center"/>
              <w:outlineLvl w:val="0"/>
              <w:rPr>
                <w:rFonts w:ascii="Cambria" w:eastAsia="Times New Roman" w:hAnsi="Cambria" w:cs="Calibri"/>
                <w:b/>
                <w:bCs/>
                <w:color w:val="000000" w:themeColor="text1"/>
                <w:sz w:val="20"/>
                <w:szCs w:val="20"/>
              </w:rPr>
            </w:pPr>
          </w:p>
        </w:tc>
        <w:tc>
          <w:tcPr>
            <w:tcW w:w="0" w:type="auto"/>
            <w:tcBorders>
              <w:top w:val="single" w:sz="4" w:space="0" w:color="auto"/>
              <w:left w:val="nil"/>
              <w:bottom w:val="single" w:sz="4" w:space="0" w:color="auto"/>
              <w:right w:val="nil"/>
            </w:tcBorders>
            <w:shd w:val="clear" w:color="auto" w:fill="auto"/>
            <w:noWrap/>
            <w:hideMark/>
          </w:tcPr>
          <w:p w:rsidR="007C3E5A" w:rsidRPr="00397ABE" w:rsidRDefault="007C3E5A" w:rsidP="00E662EC">
            <w:pPr>
              <w:keepNext/>
              <w:spacing w:beforeLines="60" w:before="144" w:afterLines="60" w:after="144"/>
              <w:jc w:val="center"/>
              <w:outlineLvl w:val="0"/>
              <w:rPr>
                <w:rFonts w:ascii="Cambria" w:eastAsia="Times New Roman" w:hAnsi="Cambria" w:cs="Calibri"/>
                <w:b/>
                <w:bCs/>
                <w:color w:val="000000" w:themeColor="text1"/>
                <w:sz w:val="20"/>
                <w:szCs w:val="20"/>
              </w:rPr>
            </w:pPr>
            <w:r w:rsidRPr="00397ABE">
              <w:rPr>
                <w:rFonts w:ascii="Cambria" w:eastAsia="Times New Roman" w:hAnsi="Cambria" w:cs="Calibri"/>
                <w:b/>
                <w:bCs/>
                <w:color w:val="000000" w:themeColor="text1"/>
                <w:sz w:val="20"/>
                <w:szCs w:val="20"/>
              </w:rPr>
              <w:t>Base case</w:t>
            </w:r>
          </w:p>
        </w:tc>
        <w:tc>
          <w:tcPr>
            <w:tcW w:w="0" w:type="auto"/>
            <w:tcBorders>
              <w:top w:val="single" w:sz="4" w:space="0" w:color="auto"/>
              <w:left w:val="nil"/>
              <w:bottom w:val="single" w:sz="4" w:space="0" w:color="auto"/>
              <w:right w:val="nil"/>
            </w:tcBorders>
            <w:shd w:val="clear" w:color="auto" w:fill="auto"/>
            <w:noWrap/>
            <w:hideMark/>
          </w:tcPr>
          <w:p w:rsidR="007C3E5A" w:rsidRPr="00397ABE" w:rsidRDefault="007C3E5A" w:rsidP="00E662EC">
            <w:pPr>
              <w:keepNext/>
              <w:spacing w:beforeLines="60" w:before="144" w:afterLines="60" w:after="144"/>
              <w:jc w:val="center"/>
              <w:outlineLvl w:val="0"/>
              <w:rPr>
                <w:rFonts w:ascii="Cambria" w:eastAsia="Times New Roman" w:hAnsi="Cambria" w:cs="Calibri"/>
                <w:b/>
                <w:bCs/>
                <w:color w:val="000000" w:themeColor="text1"/>
                <w:sz w:val="20"/>
                <w:szCs w:val="20"/>
              </w:rPr>
            </w:pPr>
            <w:r w:rsidRPr="00397ABE">
              <w:rPr>
                <w:rFonts w:ascii="Cambria" w:eastAsia="Times New Roman" w:hAnsi="Cambria" w:cs="Calibri"/>
                <w:b/>
                <w:bCs/>
                <w:color w:val="000000" w:themeColor="text1"/>
                <w:sz w:val="20"/>
                <w:szCs w:val="20"/>
              </w:rPr>
              <w:t>Low Value</w:t>
            </w:r>
          </w:p>
        </w:tc>
        <w:tc>
          <w:tcPr>
            <w:tcW w:w="0" w:type="auto"/>
            <w:tcBorders>
              <w:top w:val="single" w:sz="4" w:space="0" w:color="auto"/>
              <w:left w:val="nil"/>
              <w:bottom w:val="single" w:sz="4" w:space="0" w:color="auto"/>
              <w:right w:val="nil"/>
            </w:tcBorders>
            <w:shd w:val="clear" w:color="auto" w:fill="auto"/>
            <w:noWrap/>
            <w:hideMark/>
          </w:tcPr>
          <w:p w:rsidR="007C3E5A" w:rsidRPr="00397ABE" w:rsidRDefault="007C3E5A" w:rsidP="00E662EC">
            <w:pPr>
              <w:keepNext/>
              <w:spacing w:beforeLines="60" w:before="144" w:afterLines="60" w:after="144"/>
              <w:jc w:val="center"/>
              <w:outlineLvl w:val="0"/>
              <w:rPr>
                <w:rFonts w:ascii="Cambria" w:eastAsia="Times New Roman" w:hAnsi="Cambria" w:cs="Calibri"/>
                <w:b/>
                <w:bCs/>
                <w:color w:val="000000" w:themeColor="text1"/>
                <w:sz w:val="20"/>
                <w:szCs w:val="20"/>
              </w:rPr>
            </w:pPr>
            <w:r w:rsidRPr="00397ABE">
              <w:rPr>
                <w:rFonts w:ascii="Cambria" w:eastAsia="Times New Roman" w:hAnsi="Cambria" w:cs="Calibri"/>
                <w:b/>
                <w:bCs/>
                <w:color w:val="000000" w:themeColor="text1"/>
                <w:sz w:val="20"/>
                <w:szCs w:val="20"/>
              </w:rPr>
              <w:t>High Value</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480" w:after="0" w:line="360" w:lineRule="auto"/>
              <w:jc w:val="both"/>
              <w:outlineLvl w:val="0"/>
              <w:rPr>
                <w:rFonts w:ascii="Cambria" w:eastAsia="Times New Roman" w:hAnsi="Cambria" w:cs="Calibri"/>
                <w:b/>
                <w:bCs/>
                <w:i/>
                <w:iCs/>
                <w:color w:val="000000" w:themeColor="text1"/>
                <w:sz w:val="20"/>
                <w:szCs w:val="20"/>
              </w:rPr>
            </w:pPr>
            <w:r w:rsidRPr="00397ABE">
              <w:rPr>
                <w:rFonts w:ascii="Cambria" w:eastAsia="Times New Roman" w:hAnsi="Cambria" w:cs="Calibri"/>
                <w:b/>
                <w:bCs/>
                <w:i/>
                <w:iCs/>
                <w:color w:val="000000" w:themeColor="text1"/>
                <w:sz w:val="20"/>
                <w:szCs w:val="20"/>
              </w:rPr>
              <w:t>Unit costs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line="360" w:lineRule="auto"/>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line="360" w:lineRule="auto"/>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line="360" w:lineRule="auto"/>
              <w:jc w:val="both"/>
              <w:outlineLvl w:val="2"/>
              <w:rPr>
                <w:rFonts w:ascii="Cambria" w:eastAsia="Times New Roman" w:hAnsi="Cambria" w:cs="Calibri"/>
                <w:color w:val="000000" w:themeColor="text1"/>
                <w:sz w:val="20"/>
                <w:szCs w:val="20"/>
              </w:rPr>
            </w:pP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 xml:space="preserve">ED </w:t>
            </w:r>
            <w:r w:rsidR="00AC04D7">
              <w:rPr>
                <w:rFonts w:ascii="Cambria" w:eastAsia="Times New Roman" w:hAnsi="Cambria" w:cs="Calibri"/>
                <w:color w:val="000000" w:themeColor="text1"/>
                <w:sz w:val="20"/>
                <w:szCs w:val="20"/>
              </w:rPr>
              <w:t>examination</w:t>
            </w:r>
            <w:r w:rsidRPr="00397ABE">
              <w:rPr>
                <w:rFonts w:ascii="Cambria" w:eastAsia="Times New Roman" w:hAnsi="Cambria" w:cs="Calibri"/>
                <w:color w:val="000000" w:themeColor="text1"/>
                <w:sz w:val="20"/>
                <w:szCs w:val="20"/>
              </w:rPr>
              <w:t xml:space="preserve"> room cost (€/day) (a)</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bookmarkStart w:id="0" w:name="RANGE!C5"/>
            <w:r w:rsidRPr="00397ABE">
              <w:rPr>
                <w:rFonts w:ascii="Cambria" w:eastAsia="Times New Roman" w:hAnsi="Cambria" w:cs="Calibri"/>
                <w:color w:val="000000" w:themeColor="text1"/>
                <w:sz w:val="20"/>
                <w:szCs w:val="20"/>
              </w:rPr>
              <w:t>273.6</w:t>
            </w:r>
            <w:bookmarkEnd w:id="0"/>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8.4</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362</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Technician cost (€/hour)</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1" w:name="RANGE!C6"/>
            <w:r w:rsidRPr="00397ABE">
              <w:rPr>
                <w:rFonts w:ascii="Cambria" w:eastAsia="Times New Roman" w:hAnsi="Cambria" w:cs="Calibri"/>
                <w:color w:val="000000" w:themeColor="text1"/>
                <w:sz w:val="20"/>
                <w:szCs w:val="20"/>
              </w:rPr>
              <w:t>21</w:t>
            </w:r>
            <w:bookmarkEnd w:id="1"/>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10</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42</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Antiviral Cost (€/5 days)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2" w:name="RANGE!C7"/>
            <w:r w:rsidRPr="00397ABE">
              <w:rPr>
                <w:rFonts w:ascii="Cambria" w:eastAsia="Times New Roman" w:hAnsi="Cambria" w:cs="Calibri"/>
                <w:color w:val="000000" w:themeColor="text1"/>
                <w:sz w:val="20"/>
                <w:szCs w:val="20"/>
              </w:rPr>
              <w:t>31.5</w:t>
            </w:r>
            <w:bookmarkEnd w:id="2"/>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15</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45</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Disposables isolation room (€/day)</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3" w:name="RANGE!C8"/>
            <w:r w:rsidRPr="00397ABE">
              <w:rPr>
                <w:rFonts w:ascii="Cambria" w:eastAsia="Times New Roman" w:hAnsi="Cambria" w:cs="Calibri"/>
                <w:color w:val="000000" w:themeColor="text1"/>
                <w:sz w:val="20"/>
                <w:szCs w:val="20"/>
              </w:rPr>
              <w:t>40</w:t>
            </w:r>
            <w:bookmarkEnd w:id="3"/>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30</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60</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hAnsi="Cambria"/>
                <w:color w:val="000000" w:themeColor="text1"/>
                <w:sz w:val="20"/>
                <w:szCs w:val="20"/>
              </w:rPr>
              <w:t>Xpert</w:t>
            </w:r>
            <w:r w:rsidRPr="00397ABE">
              <w:rPr>
                <w:rFonts w:ascii="Cambria" w:hAnsi="Cambria"/>
                <w:color w:val="000000" w:themeColor="text1"/>
                <w:sz w:val="20"/>
                <w:szCs w:val="20"/>
                <w:vertAlign w:val="superscript"/>
              </w:rPr>
              <w:t>®</w:t>
            </w:r>
            <w:r w:rsidRPr="00397ABE">
              <w:rPr>
                <w:rFonts w:ascii="Cambria" w:hAnsi="Cambria"/>
                <w:color w:val="000000" w:themeColor="text1"/>
                <w:sz w:val="20"/>
                <w:szCs w:val="20"/>
              </w:rPr>
              <w:t xml:space="preserve"> Flu</w:t>
            </w:r>
            <w:r w:rsidRPr="00397ABE">
              <w:rPr>
                <w:rFonts w:ascii="Cambria" w:eastAsia="Times New Roman" w:hAnsi="Cambria" w:cs="Calibri"/>
                <w:color w:val="000000" w:themeColor="text1"/>
                <w:sz w:val="20"/>
                <w:szCs w:val="20"/>
              </w:rPr>
              <w:t xml:space="preserve"> reagents (€/test)</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4" w:name="RANGE!C9"/>
            <w:r w:rsidRPr="00397ABE">
              <w:rPr>
                <w:rFonts w:ascii="Cambria" w:eastAsia="Times New Roman" w:hAnsi="Cambria" w:cs="Calibri"/>
                <w:color w:val="000000" w:themeColor="text1"/>
                <w:sz w:val="20"/>
                <w:szCs w:val="20"/>
              </w:rPr>
              <w:t>45</w:t>
            </w:r>
            <w:bookmarkEnd w:id="4"/>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In-house PCR reagents (€/test)</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5" w:name="RANGE!C10"/>
            <w:r w:rsidRPr="00397ABE">
              <w:rPr>
                <w:rFonts w:ascii="Cambria" w:eastAsia="Times New Roman" w:hAnsi="Cambria" w:cs="Calibri"/>
                <w:color w:val="000000" w:themeColor="text1"/>
                <w:sz w:val="20"/>
                <w:szCs w:val="20"/>
              </w:rPr>
              <w:t>20</w:t>
            </w:r>
            <w:bookmarkEnd w:id="5"/>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b/>
                <w:bCs/>
                <w:i/>
                <w:iCs/>
                <w:color w:val="000000" w:themeColor="text1"/>
                <w:sz w:val="20"/>
                <w:szCs w:val="20"/>
              </w:rPr>
            </w:pPr>
            <w:r w:rsidRPr="00397ABE">
              <w:rPr>
                <w:rFonts w:ascii="Cambria" w:eastAsia="Times New Roman" w:hAnsi="Cambria" w:cs="Calibri"/>
                <w:b/>
                <w:bCs/>
                <w:i/>
                <w:iCs/>
                <w:color w:val="000000" w:themeColor="text1"/>
                <w:sz w:val="20"/>
                <w:szCs w:val="20"/>
              </w:rPr>
              <w:t>Other parameters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before="200" w:after="0"/>
              <w:jc w:val="both"/>
              <w:outlineLvl w:val="2"/>
              <w:rPr>
                <w:rFonts w:ascii="Cambria" w:eastAsia="Times New Roman" w:hAnsi="Cambria" w:cs="Calibri"/>
                <w:color w:val="000000" w:themeColor="text1"/>
                <w:sz w:val="20"/>
                <w:szCs w:val="20"/>
              </w:rPr>
            </w:pP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AC04D7">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 xml:space="preserve">Reduction in time spent </w:t>
            </w:r>
            <w:r w:rsidR="00AC04D7">
              <w:rPr>
                <w:rFonts w:ascii="Cambria" w:eastAsia="Times New Roman" w:hAnsi="Cambria" w:cs="Calibri"/>
                <w:color w:val="000000" w:themeColor="text1"/>
                <w:sz w:val="20"/>
                <w:szCs w:val="20"/>
              </w:rPr>
              <w:t>in</w:t>
            </w:r>
            <w:r w:rsidRPr="00397ABE">
              <w:rPr>
                <w:rFonts w:ascii="Cambria" w:eastAsia="Times New Roman" w:hAnsi="Cambria" w:cs="Calibri"/>
                <w:color w:val="000000" w:themeColor="text1"/>
                <w:sz w:val="20"/>
                <w:szCs w:val="20"/>
              </w:rPr>
              <w:t xml:space="preserve"> ED </w:t>
            </w:r>
            <w:r w:rsidR="00AC04D7">
              <w:rPr>
                <w:rFonts w:ascii="Cambria" w:eastAsia="Times New Roman" w:hAnsi="Cambria" w:cs="Calibri"/>
                <w:color w:val="000000" w:themeColor="text1"/>
                <w:sz w:val="20"/>
                <w:szCs w:val="20"/>
              </w:rPr>
              <w:t>examination</w:t>
            </w:r>
            <w:r w:rsidRPr="00397ABE">
              <w:rPr>
                <w:rFonts w:ascii="Cambria" w:eastAsia="Times New Roman" w:hAnsi="Cambria" w:cs="Calibri"/>
                <w:color w:val="000000" w:themeColor="text1"/>
                <w:sz w:val="20"/>
                <w:szCs w:val="20"/>
              </w:rPr>
              <w:t xml:space="preserve"> room (hrs)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9.1</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3.5</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14.7</w:t>
            </w:r>
          </w:p>
        </w:tc>
      </w:tr>
      <w:tr w:rsidR="007C3E5A" w:rsidRPr="00397ABE" w:rsidTr="007C3E5A">
        <w:trPr>
          <w:trHeight w:val="301"/>
        </w:trPr>
        <w:tc>
          <w:tcPr>
            <w:tcW w:w="0" w:type="auto"/>
            <w:tcBorders>
              <w:top w:val="nil"/>
              <w:left w:val="nil"/>
              <w:bottom w:val="nil"/>
              <w:right w:val="nil"/>
            </w:tcBorders>
            <w:shd w:val="clear" w:color="auto" w:fill="auto"/>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Reduction in isolation time for hospitalized patients with negative test (hrs)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24.7</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21.1</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28.3</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 xml:space="preserve">Technician time, </w:t>
            </w:r>
            <w:r w:rsidRPr="00397ABE">
              <w:rPr>
                <w:rFonts w:ascii="Cambria" w:hAnsi="Cambria"/>
                <w:color w:val="000000" w:themeColor="text1"/>
                <w:sz w:val="20"/>
                <w:szCs w:val="20"/>
              </w:rPr>
              <w:t>Xpert</w:t>
            </w:r>
            <w:r w:rsidRPr="00397ABE">
              <w:rPr>
                <w:rFonts w:ascii="Cambria" w:hAnsi="Cambria"/>
                <w:color w:val="000000" w:themeColor="text1"/>
                <w:sz w:val="20"/>
                <w:szCs w:val="20"/>
                <w:vertAlign w:val="superscript"/>
              </w:rPr>
              <w:t>®</w:t>
            </w:r>
            <w:r w:rsidRPr="00397ABE">
              <w:rPr>
                <w:rFonts w:ascii="Cambria" w:hAnsi="Cambria"/>
                <w:color w:val="000000" w:themeColor="text1"/>
                <w:sz w:val="20"/>
                <w:szCs w:val="20"/>
              </w:rPr>
              <w:t xml:space="preserve"> Flu</w:t>
            </w:r>
            <w:r w:rsidRPr="00397ABE">
              <w:rPr>
                <w:rFonts w:ascii="Cambria" w:eastAsia="Times New Roman" w:hAnsi="Cambria" w:cs="Calibri"/>
                <w:color w:val="000000" w:themeColor="text1"/>
                <w:sz w:val="20"/>
                <w:szCs w:val="20"/>
              </w:rPr>
              <w:t xml:space="preserve"> (min)</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6" w:name="RANGE!C15"/>
            <w:r w:rsidRPr="00397ABE">
              <w:rPr>
                <w:rFonts w:ascii="Cambria" w:eastAsia="Times New Roman" w:hAnsi="Cambria" w:cs="Calibri"/>
                <w:color w:val="000000" w:themeColor="text1"/>
                <w:sz w:val="20"/>
                <w:szCs w:val="20"/>
              </w:rPr>
              <w:t>3</w:t>
            </w:r>
            <w:bookmarkEnd w:id="6"/>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15</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Technician time, in-house test (min)</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7" w:name="RANGE!C16"/>
            <w:r w:rsidRPr="00397ABE">
              <w:rPr>
                <w:rFonts w:ascii="Cambria" w:eastAsia="Times New Roman" w:hAnsi="Cambria" w:cs="Calibri"/>
                <w:color w:val="000000" w:themeColor="text1"/>
                <w:sz w:val="20"/>
                <w:szCs w:val="20"/>
              </w:rPr>
              <w:t>60</w:t>
            </w:r>
            <w:bookmarkEnd w:id="7"/>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45</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75</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Percentage of positive tests (ED patients)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8" w:name="RANGE!C17"/>
            <w:r w:rsidRPr="00397ABE">
              <w:rPr>
                <w:rFonts w:ascii="Cambria" w:eastAsia="Times New Roman" w:hAnsi="Cambria" w:cs="Calibri"/>
                <w:color w:val="000000" w:themeColor="text1"/>
                <w:sz w:val="20"/>
                <w:szCs w:val="20"/>
              </w:rPr>
              <w:t>33%</w:t>
            </w:r>
            <w:bookmarkEnd w:id="8"/>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20%</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50%</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Percentage of positive tests (hospitalized patients)</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9" w:name="RANGE!C18"/>
            <w:r w:rsidRPr="00397ABE">
              <w:rPr>
                <w:rFonts w:ascii="Cambria" w:eastAsia="Times New Roman" w:hAnsi="Cambria" w:cs="Calibri"/>
                <w:color w:val="000000" w:themeColor="text1"/>
                <w:sz w:val="20"/>
                <w:szCs w:val="20"/>
              </w:rPr>
              <w:t>19%</w:t>
            </w:r>
            <w:bookmarkEnd w:id="9"/>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10%</w:t>
            </w:r>
          </w:p>
        </w:tc>
        <w:tc>
          <w:tcPr>
            <w:tcW w:w="0" w:type="auto"/>
            <w:tcBorders>
              <w:top w:val="nil"/>
              <w:left w:val="nil"/>
              <w:bottom w:val="nil"/>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38%</w:t>
            </w:r>
          </w:p>
        </w:tc>
      </w:tr>
      <w:tr w:rsidR="007C3E5A" w:rsidRPr="00397ABE" w:rsidTr="007C3E5A">
        <w:trPr>
          <w:trHeight w:val="300"/>
        </w:trPr>
        <w:tc>
          <w:tcPr>
            <w:tcW w:w="0" w:type="auto"/>
            <w:tcBorders>
              <w:top w:val="nil"/>
              <w:left w:val="nil"/>
              <w:bottom w:val="single" w:sz="4" w:space="0" w:color="auto"/>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 xml:space="preserve">Days of antivirals avoided by patients with negative tests </w:t>
            </w:r>
          </w:p>
        </w:tc>
        <w:tc>
          <w:tcPr>
            <w:tcW w:w="0" w:type="auto"/>
            <w:tcBorders>
              <w:top w:val="nil"/>
              <w:left w:val="nil"/>
              <w:bottom w:val="single" w:sz="4" w:space="0" w:color="auto"/>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bookmarkStart w:id="10" w:name="RANGE!C19"/>
            <w:r w:rsidRPr="00397ABE">
              <w:rPr>
                <w:rFonts w:ascii="Cambria" w:eastAsia="Times New Roman" w:hAnsi="Cambria" w:cs="Calibri"/>
                <w:color w:val="000000" w:themeColor="text1"/>
                <w:sz w:val="20"/>
                <w:szCs w:val="20"/>
              </w:rPr>
              <w:t>1</w:t>
            </w:r>
            <w:bookmarkEnd w:id="10"/>
          </w:p>
        </w:tc>
        <w:tc>
          <w:tcPr>
            <w:tcW w:w="0" w:type="auto"/>
            <w:tcBorders>
              <w:top w:val="nil"/>
              <w:left w:val="nil"/>
              <w:bottom w:val="single" w:sz="4" w:space="0" w:color="auto"/>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0</w:t>
            </w:r>
          </w:p>
        </w:tc>
        <w:tc>
          <w:tcPr>
            <w:tcW w:w="0" w:type="auto"/>
            <w:tcBorders>
              <w:top w:val="nil"/>
              <w:left w:val="nil"/>
              <w:bottom w:val="single" w:sz="4" w:space="0" w:color="auto"/>
              <w:right w:val="nil"/>
            </w:tcBorders>
            <w:shd w:val="clear" w:color="auto" w:fill="auto"/>
            <w:noWrap/>
            <w:vAlign w:val="bottom"/>
            <w:hideMark/>
          </w:tcPr>
          <w:p w:rsidR="007C3E5A" w:rsidRPr="00397ABE" w:rsidRDefault="007C3E5A" w:rsidP="007C3E5A">
            <w:pPr>
              <w:keepNext/>
              <w:spacing w:after="0"/>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5</w:t>
            </w:r>
          </w:p>
        </w:tc>
      </w:tr>
      <w:tr w:rsidR="007C3E5A" w:rsidRPr="00397ABE" w:rsidTr="007C3E5A">
        <w:trPr>
          <w:trHeight w:val="300"/>
        </w:trPr>
        <w:tc>
          <w:tcPr>
            <w:tcW w:w="0" w:type="auto"/>
            <w:tcBorders>
              <w:top w:val="nil"/>
              <w:left w:val="nil"/>
              <w:bottom w:val="nil"/>
              <w:right w:val="nil"/>
            </w:tcBorders>
            <w:shd w:val="clear" w:color="auto" w:fill="auto"/>
            <w:noWrap/>
            <w:vAlign w:val="bottom"/>
            <w:hideMark/>
          </w:tcPr>
          <w:p w:rsidR="007C3E5A" w:rsidRPr="00397ABE" w:rsidRDefault="007C3E5A" w:rsidP="007C3E5A">
            <w:pPr>
              <w:spacing w:after="0" w:line="360" w:lineRule="auto"/>
              <w:contextualSpacing/>
              <w:jc w:val="both"/>
              <w:rPr>
                <w:rFonts w:ascii="Cambria" w:eastAsia="Times New Roman" w:hAnsi="Cambria" w:cs="Calibri"/>
                <w:color w:val="000000" w:themeColor="text1"/>
                <w:sz w:val="20"/>
                <w:szCs w:val="20"/>
              </w:rPr>
            </w:pPr>
            <w:r w:rsidRPr="00397ABE">
              <w:rPr>
                <w:rFonts w:ascii="Cambria" w:eastAsia="Times New Roman" w:hAnsi="Cambria" w:cs="Calibri"/>
                <w:color w:val="000000" w:themeColor="text1"/>
                <w:sz w:val="20"/>
                <w:szCs w:val="20"/>
              </w:rPr>
              <w:t xml:space="preserve">(a) Staff + </w:t>
            </w:r>
            <w:proofErr w:type="gramStart"/>
            <w:r w:rsidRPr="00397ABE">
              <w:rPr>
                <w:rFonts w:ascii="Cambria" w:eastAsia="Times New Roman" w:hAnsi="Cambria" w:cs="Calibri"/>
                <w:color w:val="000000" w:themeColor="text1"/>
                <w:sz w:val="20"/>
                <w:szCs w:val="20"/>
              </w:rPr>
              <w:t xml:space="preserve">disposables </w:t>
            </w:r>
            <w:r>
              <w:rPr>
                <w:rFonts w:ascii="Cambria" w:eastAsia="Times New Roman" w:hAnsi="Cambria" w:cs="Calibri"/>
                <w:color w:val="000000" w:themeColor="text1"/>
                <w:sz w:val="20"/>
                <w:szCs w:val="20"/>
              </w:rPr>
              <w:t xml:space="preserve"> </w:t>
            </w:r>
            <w:r w:rsidRPr="00397ABE">
              <w:rPr>
                <w:rFonts w:ascii="Cambria" w:eastAsia="Times New Roman" w:hAnsi="Cambria" w:cs="Calibri"/>
                <w:color w:val="000000" w:themeColor="text1"/>
                <w:sz w:val="20"/>
                <w:szCs w:val="20"/>
              </w:rPr>
              <w:t>ED</w:t>
            </w:r>
            <w:proofErr w:type="gramEnd"/>
            <w:r w:rsidRPr="00397ABE">
              <w:rPr>
                <w:rFonts w:ascii="Cambria" w:eastAsia="Times New Roman" w:hAnsi="Cambria" w:cs="Calibri"/>
                <w:color w:val="000000" w:themeColor="text1"/>
                <w:sz w:val="20"/>
                <w:szCs w:val="20"/>
              </w:rPr>
              <w:t>: Emergency Department.</w:t>
            </w:r>
          </w:p>
        </w:tc>
        <w:tc>
          <w:tcPr>
            <w:tcW w:w="0" w:type="auto"/>
            <w:tcBorders>
              <w:top w:val="nil"/>
              <w:left w:val="nil"/>
              <w:bottom w:val="nil"/>
              <w:right w:val="nil"/>
            </w:tcBorders>
            <w:shd w:val="clear" w:color="auto" w:fill="auto"/>
            <w:noWrap/>
            <w:vAlign w:val="bottom"/>
            <w:hideMark/>
          </w:tcPr>
          <w:p w:rsidR="007C3E5A" w:rsidRPr="00397ABE" w:rsidRDefault="007C3E5A" w:rsidP="007C3E5A">
            <w:pPr>
              <w:spacing w:before="200" w:after="0" w:line="360" w:lineRule="auto"/>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spacing w:before="200" w:after="0" w:line="360" w:lineRule="auto"/>
              <w:jc w:val="both"/>
              <w:outlineLvl w:val="2"/>
              <w:rPr>
                <w:rFonts w:ascii="Cambria" w:eastAsia="Times New Roman" w:hAnsi="Cambria" w:cs="Calibri"/>
                <w:color w:val="000000" w:themeColor="text1"/>
                <w:sz w:val="20"/>
                <w:szCs w:val="20"/>
              </w:rPr>
            </w:pPr>
          </w:p>
        </w:tc>
        <w:tc>
          <w:tcPr>
            <w:tcW w:w="0" w:type="auto"/>
            <w:tcBorders>
              <w:top w:val="nil"/>
              <w:left w:val="nil"/>
              <w:bottom w:val="nil"/>
              <w:right w:val="nil"/>
            </w:tcBorders>
            <w:shd w:val="clear" w:color="auto" w:fill="auto"/>
            <w:noWrap/>
            <w:vAlign w:val="bottom"/>
            <w:hideMark/>
          </w:tcPr>
          <w:p w:rsidR="007C3E5A" w:rsidRPr="00397ABE" w:rsidRDefault="007C3E5A" w:rsidP="007C3E5A">
            <w:pPr>
              <w:spacing w:before="200" w:after="0" w:line="360" w:lineRule="auto"/>
              <w:jc w:val="both"/>
              <w:outlineLvl w:val="2"/>
              <w:rPr>
                <w:rFonts w:ascii="Cambria" w:eastAsia="Times New Roman" w:hAnsi="Cambria" w:cs="Calibri"/>
                <w:color w:val="000000" w:themeColor="text1"/>
                <w:sz w:val="20"/>
                <w:szCs w:val="20"/>
              </w:rPr>
            </w:pPr>
          </w:p>
        </w:tc>
      </w:tr>
    </w:tbl>
    <w:p w:rsidR="001A46A5" w:rsidRDefault="001A46A5" w:rsidP="006117A4">
      <w:pPr>
        <w:keepNext/>
        <w:keepLines/>
        <w:spacing w:before="120" w:after="120" w:line="360" w:lineRule="auto"/>
        <w:outlineLvl w:val="1"/>
        <w:rPr>
          <w:rFonts w:ascii="Cambria" w:eastAsiaTheme="majorEastAsia" w:hAnsi="Cambria" w:cstheme="majorBidi"/>
          <w:b/>
          <w:bCs/>
          <w:i/>
          <w:sz w:val="20"/>
          <w:szCs w:val="20"/>
        </w:rPr>
      </w:pPr>
    </w:p>
    <w:p w:rsidR="006117A4" w:rsidRPr="00326D7E" w:rsidRDefault="001A46A5" w:rsidP="00E662EC">
      <w:r>
        <w:br w:type="page"/>
      </w:r>
      <w:r w:rsidR="006117A4" w:rsidRPr="00326D7E">
        <w:rPr>
          <w:rFonts w:ascii="Cambria" w:eastAsiaTheme="majorEastAsia" w:hAnsi="Cambria" w:cstheme="majorBidi"/>
          <w:b/>
          <w:bCs/>
          <w:sz w:val="20"/>
          <w:szCs w:val="20"/>
        </w:rPr>
        <w:lastRenderedPageBreak/>
        <w:t>Molecular detection</w:t>
      </w:r>
      <w:r w:rsidR="00326D7E" w:rsidRPr="00326D7E">
        <w:rPr>
          <w:rFonts w:ascii="Cambria" w:eastAsiaTheme="majorEastAsia" w:hAnsi="Cambria" w:cstheme="majorBidi"/>
          <w:b/>
          <w:bCs/>
          <w:sz w:val="20"/>
          <w:szCs w:val="20"/>
        </w:rPr>
        <w:t xml:space="preserve"> A</w:t>
      </w:r>
    </w:p>
    <w:p w:rsidR="006117A4" w:rsidRPr="00397ABE" w:rsidRDefault="006117A4" w:rsidP="006117A4">
      <w:pPr>
        <w:spacing w:line="360" w:lineRule="auto"/>
        <w:jc w:val="both"/>
        <w:rPr>
          <w:rFonts w:ascii="Cambria" w:hAnsi="Cambria"/>
          <w:color w:val="000000" w:themeColor="text1"/>
          <w:sz w:val="20"/>
          <w:szCs w:val="20"/>
        </w:rPr>
      </w:pPr>
      <w:r w:rsidRPr="00397ABE">
        <w:rPr>
          <w:rFonts w:ascii="Cambria" w:hAnsi="Cambria"/>
          <w:color w:val="000000" w:themeColor="text1"/>
          <w:sz w:val="20"/>
          <w:szCs w:val="20"/>
        </w:rPr>
        <w:t>The nasopharyngeal and oropharyngeal swabs collected from the patients were placed in the same tube containing 3 ml of viral transport medium (VTM) and immediately sent to the Microbiology Laboratory for virological analysis.</w:t>
      </w:r>
    </w:p>
    <w:p w:rsidR="006117A4" w:rsidRPr="00397ABE" w:rsidRDefault="006117A4" w:rsidP="006117A4">
      <w:pPr>
        <w:spacing w:line="360" w:lineRule="auto"/>
        <w:jc w:val="both"/>
        <w:rPr>
          <w:rFonts w:ascii="Cambria" w:hAnsi="Cambria"/>
          <w:color w:val="000000" w:themeColor="text1"/>
          <w:sz w:val="20"/>
          <w:szCs w:val="20"/>
        </w:rPr>
      </w:pPr>
      <w:r w:rsidRPr="00397ABE">
        <w:rPr>
          <w:rFonts w:ascii="Cambria" w:hAnsi="Cambria"/>
          <w:color w:val="000000" w:themeColor="text1"/>
          <w:sz w:val="20"/>
          <w:szCs w:val="20"/>
        </w:rPr>
        <w:t xml:space="preserve">In 2014, all the samples obtained were prospectively </w:t>
      </w:r>
      <w:r w:rsidR="00AC04D7" w:rsidRPr="00397ABE">
        <w:rPr>
          <w:rFonts w:ascii="Cambria" w:hAnsi="Cambria"/>
          <w:color w:val="000000" w:themeColor="text1"/>
          <w:sz w:val="20"/>
          <w:szCs w:val="20"/>
        </w:rPr>
        <w:t xml:space="preserve">analyzed </w:t>
      </w:r>
      <w:r w:rsidRPr="00397ABE">
        <w:rPr>
          <w:rFonts w:ascii="Cambria" w:hAnsi="Cambria"/>
          <w:color w:val="000000" w:themeColor="text1"/>
          <w:sz w:val="20"/>
          <w:szCs w:val="20"/>
        </w:rPr>
        <w:t>in parallel by in-house PCR and the Xpert</w:t>
      </w:r>
      <w:r w:rsidRPr="00397ABE">
        <w:rPr>
          <w:rFonts w:ascii="Cambria" w:hAnsi="Cambria"/>
          <w:color w:val="000000" w:themeColor="text1"/>
          <w:sz w:val="20"/>
          <w:szCs w:val="20"/>
          <w:vertAlign w:val="superscript"/>
        </w:rPr>
        <w:t>®</w:t>
      </w:r>
      <w:r w:rsidRPr="00397ABE">
        <w:rPr>
          <w:rFonts w:ascii="Cambria" w:hAnsi="Cambria"/>
          <w:color w:val="000000" w:themeColor="text1"/>
          <w:sz w:val="20"/>
          <w:szCs w:val="20"/>
        </w:rPr>
        <w:t xml:space="preserve"> Flu assay. Samples analyzed by the Xpert</w:t>
      </w:r>
      <w:r w:rsidRPr="00397ABE">
        <w:rPr>
          <w:rFonts w:ascii="Cambria" w:hAnsi="Cambria"/>
          <w:color w:val="000000" w:themeColor="text1"/>
          <w:sz w:val="20"/>
          <w:szCs w:val="20"/>
          <w:vertAlign w:val="superscript"/>
        </w:rPr>
        <w:t>®</w:t>
      </w:r>
      <w:r w:rsidRPr="00397ABE">
        <w:rPr>
          <w:rFonts w:ascii="Cambria" w:hAnsi="Cambria"/>
          <w:color w:val="000000" w:themeColor="text1"/>
          <w:sz w:val="20"/>
          <w:szCs w:val="20"/>
        </w:rPr>
        <w:t xml:space="preserve"> Flu assay (Cepheid, Sunnyvale, CA), were processed upon arrival to the Microbiology laboratory 24-hours a day 7-days a week. Three hundred microliters of the sample were added to the Xpert cartridge according to the manufacturer´s recommendations and the assay was performed in the Cepheid GeneXpert Instrument System.</w:t>
      </w:r>
    </w:p>
    <w:p w:rsidR="006117A4" w:rsidRPr="00397ABE" w:rsidRDefault="006117A4" w:rsidP="006117A4">
      <w:pPr>
        <w:spacing w:line="360" w:lineRule="auto"/>
        <w:jc w:val="both"/>
        <w:rPr>
          <w:rFonts w:ascii="Cambria" w:hAnsi="Cambria"/>
          <w:color w:val="000000" w:themeColor="text1"/>
          <w:sz w:val="20"/>
          <w:szCs w:val="20"/>
        </w:rPr>
      </w:pPr>
      <w:r w:rsidRPr="00397ABE">
        <w:rPr>
          <w:rFonts w:ascii="Cambria" w:hAnsi="Cambria"/>
          <w:color w:val="000000" w:themeColor="text1"/>
          <w:sz w:val="20"/>
          <w:szCs w:val="20"/>
        </w:rPr>
        <w:t xml:space="preserve">In-house PCR was performed daily on working days (Monday–Friday) from 9 am to 3 pm, and the samples were kept at 4ºC.  Three hundred </w:t>
      </w:r>
      <w:proofErr w:type="spellStart"/>
      <w:r w:rsidRPr="00397ABE">
        <w:rPr>
          <w:rFonts w:ascii="Cambria" w:hAnsi="Cambria"/>
          <w:color w:val="000000" w:themeColor="text1"/>
          <w:sz w:val="20"/>
          <w:szCs w:val="20"/>
        </w:rPr>
        <w:t>microlitres</w:t>
      </w:r>
      <w:proofErr w:type="spellEnd"/>
      <w:r w:rsidRPr="00397ABE">
        <w:rPr>
          <w:rFonts w:ascii="Cambria" w:hAnsi="Cambria"/>
          <w:color w:val="000000" w:themeColor="text1"/>
          <w:sz w:val="20"/>
          <w:szCs w:val="20"/>
        </w:rPr>
        <w:t xml:space="preserve"> of each specimen were taken for total nucleic acid extraction and eluted in 25 </w:t>
      </w:r>
      <w:r w:rsidR="00AC04D7" w:rsidRPr="00AC04D7">
        <w:rPr>
          <w:rFonts w:ascii="Symbol" w:hAnsi="Symbol"/>
          <w:color w:val="000000" w:themeColor="text1"/>
          <w:sz w:val="20"/>
          <w:szCs w:val="20"/>
        </w:rPr>
        <w:t></w:t>
      </w:r>
      <w:r w:rsidRPr="00397ABE">
        <w:rPr>
          <w:rFonts w:ascii="Cambria" w:hAnsi="Cambria"/>
          <w:color w:val="000000" w:themeColor="text1"/>
          <w:sz w:val="20"/>
          <w:szCs w:val="20"/>
        </w:rPr>
        <w:t xml:space="preserve">l of </w:t>
      </w:r>
      <w:proofErr w:type="spellStart"/>
      <w:r w:rsidRPr="00397ABE">
        <w:rPr>
          <w:rFonts w:ascii="Cambria" w:hAnsi="Cambria"/>
          <w:color w:val="000000" w:themeColor="text1"/>
          <w:sz w:val="20"/>
          <w:szCs w:val="20"/>
        </w:rPr>
        <w:t>RNase</w:t>
      </w:r>
      <w:proofErr w:type="spellEnd"/>
      <w:r w:rsidRPr="00397ABE">
        <w:rPr>
          <w:rFonts w:ascii="Cambria" w:hAnsi="Cambria"/>
          <w:color w:val="000000" w:themeColor="text1"/>
          <w:sz w:val="20"/>
          <w:szCs w:val="20"/>
        </w:rPr>
        <w:t xml:space="preserve">-free elution buffer using the automatic </w:t>
      </w:r>
      <w:proofErr w:type="spellStart"/>
      <w:r w:rsidRPr="00397ABE">
        <w:rPr>
          <w:rFonts w:ascii="Cambria" w:hAnsi="Cambria"/>
          <w:color w:val="000000" w:themeColor="text1"/>
          <w:sz w:val="20"/>
          <w:szCs w:val="20"/>
        </w:rPr>
        <w:t>QIAsymphony</w:t>
      </w:r>
      <w:proofErr w:type="spellEnd"/>
      <w:r w:rsidRPr="00397ABE">
        <w:rPr>
          <w:rFonts w:ascii="Cambria" w:hAnsi="Cambria"/>
          <w:color w:val="000000" w:themeColor="text1"/>
          <w:sz w:val="20"/>
          <w:szCs w:val="20"/>
        </w:rPr>
        <w:t xml:space="preserve"> system (</w:t>
      </w:r>
      <w:proofErr w:type="spellStart"/>
      <w:r w:rsidRPr="00397ABE">
        <w:rPr>
          <w:rFonts w:ascii="Cambria" w:hAnsi="Cambria"/>
          <w:color w:val="000000" w:themeColor="text1"/>
          <w:sz w:val="20"/>
          <w:szCs w:val="20"/>
        </w:rPr>
        <w:t>Qiagen</w:t>
      </w:r>
      <w:proofErr w:type="spellEnd"/>
      <w:r w:rsidRPr="00397ABE">
        <w:rPr>
          <w:rFonts w:ascii="Cambria" w:hAnsi="Cambria"/>
          <w:color w:val="000000" w:themeColor="text1"/>
          <w:sz w:val="20"/>
          <w:szCs w:val="20"/>
        </w:rPr>
        <w:t xml:space="preserve">, Hilden, Germany) according to the manufacturer´s instructions. Subsequently, two specific one-step in-house multiplex real-time PCR were used for typing A/B influenza virus and subtyping (H1/H3/H5/pdmH1N1) influenza A virus as previously described using </w:t>
      </w:r>
      <w:proofErr w:type="spellStart"/>
      <w:r w:rsidRPr="00397ABE">
        <w:rPr>
          <w:rFonts w:ascii="Cambria" w:hAnsi="Cambria"/>
          <w:color w:val="000000" w:themeColor="text1"/>
          <w:sz w:val="20"/>
          <w:szCs w:val="20"/>
        </w:rPr>
        <w:t>Stratagene</w:t>
      </w:r>
      <w:proofErr w:type="spellEnd"/>
      <w:r w:rsidRPr="00397ABE">
        <w:rPr>
          <w:rFonts w:ascii="Cambria" w:hAnsi="Cambria"/>
          <w:color w:val="000000" w:themeColor="text1"/>
          <w:sz w:val="20"/>
          <w:szCs w:val="20"/>
        </w:rPr>
        <w:t xml:space="preserve"> Mx3000P (</w:t>
      </w:r>
      <w:proofErr w:type="spellStart"/>
      <w:r w:rsidRPr="00397ABE">
        <w:rPr>
          <w:rFonts w:ascii="Cambria" w:hAnsi="Cambria"/>
          <w:color w:val="000000" w:themeColor="text1"/>
          <w:sz w:val="20"/>
          <w:szCs w:val="20"/>
        </w:rPr>
        <w:t>Stratagene</w:t>
      </w:r>
      <w:proofErr w:type="spellEnd"/>
      <w:r w:rsidRPr="00397ABE">
        <w:rPr>
          <w:rFonts w:ascii="Cambria" w:hAnsi="Cambria"/>
          <w:color w:val="000000" w:themeColor="text1"/>
          <w:sz w:val="20"/>
          <w:szCs w:val="20"/>
        </w:rPr>
        <w:t xml:space="preserve">, La Jolla, CA). The detection limits of the typing assay were 355 and </w:t>
      </w:r>
      <w:proofErr w:type="gramStart"/>
      <w:r w:rsidRPr="00397ABE">
        <w:rPr>
          <w:rFonts w:ascii="Cambria" w:hAnsi="Cambria"/>
          <w:color w:val="000000" w:themeColor="text1"/>
          <w:sz w:val="20"/>
          <w:szCs w:val="20"/>
        </w:rPr>
        <w:t>412  copies</w:t>
      </w:r>
      <w:proofErr w:type="gramEnd"/>
      <w:r w:rsidRPr="00397ABE">
        <w:rPr>
          <w:rFonts w:ascii="Cambria" w:hAnsi="Cambria"/>
          <w:color w:val="000000" w:themeColor="text1"/>
          <w:sz w:val="20"/>
          <w:szCs w:val="20"/>
        </w:rPr>
        <w:t>/ml of sample for influenza A and B viruses, respectively. The detection limits of the subtyping assay were 357, 430, 345 and 412 copies/ml of sample for seasonal H1, pandemic H1, seasonal H3, and avian H5, respectively. Specificity analysis was ensured testing RNA extracted from samples of the 2009 WHO External Quality Assessment Programme for the Detection of Influenza Virus by PCR. Discrepant results obtained by both methods in the prospective samples were confirmed by DNA sequence analysis.</w:t>
      </w:r>
    </w:p>
    <w:p w:rsidR="006117A4" w:rsidRPr="00397ABE" w:rsidRDefault="006117A4" w:rsidP="006117A4">
      <w:pPr>
        <w:spacing w:line="360" w:lineRule="auto"/>
        <w:jc w:val="both"/>
        <w:rPr>
          <w:rFonts w:ascii="Cambria" w:hAnsi="Cambria"/>
          <w:color w:val="000000" w:themeColor="text1"/>
          <w:sz w:val="20"/>
          <w:szCs w:val="20"/>
        </w:rPr>
      </w:pPr>
      <w:r w:rsidRPr="00397ABE">
        <w:rPr>
          <w:rFonts w:ascii="Cambria" w:hAnsi="Cambria"/>
          <w:color w:val="000000" w:themeColor="text1"/>
          <w:sz w:val="20"/>
          <w:szCs w:val="20"/>
        </w:rPr>
        <w:t xml:space="preserve">For this study, the results of the nasopharyngeal and oropharyngeal samples obtained from ED and hospitalized patients with ILI from January 1 to March 30, 2013 were used as historical controls. </w:t>
      </w:r>
    </w:p>
    <w:p w:rsidR="00853075" w:rsidRPr="00326D7E" w:rsidRDefault="00D03905" w:rsidP="00397ABE">
      <w:pPr>
        <w:keepNext/>
        <w:keepLines/>
        <w:spacing w:before="120" w:after="120" w:line="360" w:lineRule="auto"/>
        <w:jc w:val="both"/>
        <w:outlineLvl w:val="1"/>
        <w:rPr>
          <w:rFonts w:asciiTheme="majorHAnsi" w:eastAsiaTheme="majorEastAsia" w:hAnsiTheme="majorHAnsi" w:cstheme="majorBidi"/>
          <w:b/>
          <w:bCs/>
          <w:color w:val="000000" w:themeColor="text1"/>
          <w:sz w:val="20"/>
          <w:szCs w:val="20"/>
        </w:rPr>
      </w:pPr>
      <w:r w:rsidRPr="00326D7E">
        <w:rPr>
          <w:rFonts w:asciiTheme="majorHAnsi" w:eastAsiaTheme="majorEastAsia" w:hAnsiTheme="majorHAnsi" w:cstheme="majorBidi"/>
          <w:b/>
          <w:bCs/>
          <w:color w:val="000000" w:themeColor="text1"/>
          <w:sz w:val="20"/>
          <w:szCs w:val="20"/>
        </w:rPr>
        <w:t xml:space="preserve">Test </w:t>
      </w:r>
      <w:r w:rsidR="00853075" w:rsidRPr="00326D7E">
        <w:rPr>
          <w:rFonts w:asciiTheme="majorHAnsi" w:eastAsiaTheme="majorEastAsia" w:hAnsiTheme="majorHAnsi" w:cstheme="majorBidi"/>
          <w:b/>
          <w:bCs/>
          <w:color w:val="000000" w:themeColor="text1"/>
          <w:sz w:val="20"/>
          <w:szCs w:val="20"/>
        </w:rPr>
        <w:t>Results</w:t>
      </w:r>
      <w:r w:rsidR="00326D7E">
        <w:rPr>
          <w:rFonts w:asciiTheme="majorHAnsi" w:eastAsiaTheme="majorEastAsia" w:hAnsiTheme="majorHAnsi" w:cstheme="majorBidi"/>
          <w:b/>
          <w:bCs/>
          <w:color w:val="000000" w:themeColor="text1"/>
          <w:sz w:val="20"/>
          <w:szCs w:val="20"/>
        </w:rPr>
        <w:t xml:space="preserve"> A</w:t>
      </w:r>
      <w:bookmarkStart w:id="11" w:name="_GoBack"/>
      <w:bookmarkEnd w:id="11"/>
    </w:p>
    <w:p w:rsidR="003068A3" w:rsidRPr="000B40DC" w:rsidRDefault="00AC04D7" w:rsidP="00397ABE">
      <w:pPr>
        <w:spacing w:line="360" w:lineRule="auto"/>
        <w:jc w:val="both"/>
        <w:rPr>
          <w:rFonts w:asciiTheme="majorHAnsi" w:hAnsiTheme="majorHAnsi"/>
          <w:color w:val="000000" w:themeColor="text1"/>
          <w:sz w:val="20"/>
          <w:szCs w:val="20"/>
        </w:rPr>
      </w:pPr>
      <w:r>
        <w:rPr>
          <w:rFonts w:asciiTheme="majorHAnsi" w:hAnsiTheme="majorHAnsi"/>
          <w:color w:val="000000" w:themeColor="text1"/>
          <w:sz w:val="20"/>
          <w:szCs w:val="20"/>
        </w:rPr>
        <w:t>O</w:t>
      </w:r>
      <w:r w:rsidR="003068A3" w:rsidRPr="000B40DC">
        <w:rPr>
          <w:rFonts w:asciiTheme="majorHAnsi" w:hAnsiTheme="majorHAnsi"/>
          <w:color w:val="000000" w:themeColor="text1"/>
          <w:sz w:val="20"/>
          <w:szCs w:val="20"/>
        </w:rPr>
        <w:t>f</w:t>
      </w:r>
      <w:r>
        <w:rPr>
          <w:rFonts w:asciiTheme="majorHAnsi" w:hAnsiTheme="majorHAnsi"/>
          <w:color w:val="000000" w:themeColor="text1"/>
          <w:sz w:val="20"/>
          <w:szCs w:val="20"/>
        </w:rPr>
        <w:t xml:space="preserve"> the</w:t>
      </w:r>
      <w:r w:rsidR="003068A3" w:rsidRPr="000B40DC">
        <w:rPr>
          <w:rFonts w:asciiTheme="majorHAnsi" w:hAnsiTheme="majorHAnsi"/>
          <w:color w:val="000000" w:themeColor="text1"/>
          <w:sz w:val="20"/>
          <w:szCs w:val="20"/>
        </w:rPr>
        <w:t xml:space="preserve"> </w:t>
      </w:r>
      <w:r w:rsidR="00AF0229">
        <w:rPr>
          <w:rFonts w:asciiTheme="majorHAnsi" w:hAnsiTheme="majorHAnsi"/>
          <w:color w:val="000000" w:themeColor="text1"/>
          <w:sz w:val="20"/>
          <w:szCs w:val="20"/>
        </w:rPr>
        <w:t xml:space="preserve">366 samples from 2013, </w:t>
      </w:r>
      <w:r w:rsidR="003068A3" w:rsidRPr="000B40DC">
        <w:rPr>
          <w:rFonts w:asciiTheme="majorHAnsi" w:hAnsiTheme="majorHAnsi"/>
          <w:color w:val="000000" w:themeColor="text1"/>
          <w:sz w:val="20"/>
          <w:szCs w:val="20"/>
        </w:rPr>
        <w:t xml:space="preserve">97 (26.5%) </w:t>
      </w:r>
      <w:r w:rsidR="00AF0229">
        <w:rPr>
          <w:rFonts w:asciiTheme="majorHAnsi" w:hAnsiTheme="majorHAnsi"/>
          <w:color w:val="000000" w:themeColor="text1"/>
          <w:sz w:val="20"/>
          <w:szCs w:val="20"/>
        </w:rPr>
        <w:t>were positive by in-house PCR</w:t>
      </w:r>
      <w:r w:rsidR="003068A3" w:rsidRPr="000B40DC">
        <w:rPr>
          <w:rFonts w:asciiTheme="majorHAnsi" w:hAnsiTheme="majorHAnsi"/>
          <w:color w:val="000000" w:themeColor="text1"/>
          <w:sz w:val="20"/>
          <w:szCs w:val="20"/>
        </w:rPr>
        <w:t>, 25 (26%) were influenza A virus (5 H3N2; 16 2009 H1N1 and 4 not subt</w:t>
      </w:r>
      <w:r w:rsidR="00C6114D">
        <w:rPr>
          <w:rFonts w:asciiTheme="majorHAnsi" w:hAnsiTheme="majorHAnsi"/>
          <w:color w:val="000000" w:themeColor="text1"/>
          <w:sz w:val="20"/>
          <w:szCs w:val="20"/>
        </w:rPr>
        <w:t>y</w:t>
      </w:r>
      <w:r w:rsidR="003068A3" w:rsidRPr="000B40DC">
        <w:rPr>
          <w:rFonts w:asciiTheme="majorHAnsi" w:hAnsiTheme="majorHAnsi"/>
          <w:color w:val="000000" w:themeColor="text1"/>
          <w:sz w:val="20"/>
          <w:szCs w:val="20"/>
        </w:rPr>
        <w:t>ped) and 72 (74%) were influenza B virus.</w:t>
      </w:r>
    </w:p>
    <w:p w:rsidR="00C43249" w:rsidRPr="000B40DC" w:rsidRDefault="00B421FD" w:rsidP="00397ABE">
      <w:pPr>
        <w:spacing w:line="360" w:lineRule="auto"/>
        <w:jc w:val="both"/>
        <w:rPr>
          <w:rFonts w:asciiTheme="majorHAnsi" w:hAnsiTheme="majorHAnsi"/>
          <w:color w:val="000000" w:themeColor="text1"/>
          <w:sz w:val="20"/>
          <w:szCs w:val="20"/>
        </w:rPr>
      </w:pPr>
      <w:r w:rsidRPr="000B40DC">
        <w:rPr>
          <w:rFonts w:asciiTheme="majorHAnsi" w:hAnsiTheme="majorHAnsi"/>
          <w:color w:val="000000" w:themeColor="text1"/>
          <w:sz w:val="20"/>
          <w:szCs w:val="20"/>
        </w:rPr>
        <w:t xml:space="preserve"> </w:t>
      </w:r>
      <w:r w:rsidR="00AC04D7">
        <w:rPr>
          <w:rFonts w:asciiTheme="majorHAnsi" w:hAnsiTheme="majorHAnsi"/>
          <w:color w:val="000000" w:themeColor="text1"/>
          <w:sz w:val="20"/>
          <w:szCs w:val="20"/>
        </w:rPr>
        <w:t>Of the</w:t>
      </w:r>
      <w:r w:rsidRPr="000B40DC">
        <w:rPr>
          <w:rFonts w:asciiTheme="majorHAnsi" w:hAnsiTheme="majorHAnsi"/>
          <w:color w:val="000000" w:themeColor="text1"/>
          <w:sz w:val="20"/>
          <w:szCs w:val="20"/>
        </w:rPr>
        <w:t xml:space="preserve"> </w:t>
      </w:r>
      <w:r w:rsidR="00C43249" w:rsidRPr="000B40DC">
        <w:rPr>
          <w:rFonts w:asciiTheme="majorHAnsi" w:hAnsiTheme="majorHAnsi"/>
          <w:color w:val="000000" w:themeColor="text1"/>
          <w:sz w:val="20"/>
          <w:szCs w:val="20"/>
        </w:rPr>
        <w:t>691 samples from 2014</w:t>
      </w:r>
      <w:r w:rsidR="00AF0229">
        <w:rPr>
          <w:rFonts w:asciiTheme="majorHAnsi" w:hAnsiTheme="majorHAnsi"/>
          <w:color w:val="000000" w:themeColor="text1"/>
          <w:sz w:val="20"/>
          <w:szCs w:val="20"/>
        </w:rPr>
        <w:t>,</w:t>
      </w:r>
      <w:r w:rsidR="00AF0229" w:rsidRPr="000B40DC">
        <w:rPr>
          <w:rFonts w:asciiTheme="majorHAnsi" w:hAnsiTheme="majorHAnsi"/>
          <w:color w:val="000000" w:themeColor="text1"/>
          <w:sz w:val="20"/>
          <w:szCs w:val="20"/>
        </w:rPr>
        <w:t xml:space="preserve"> </w:t>
      </w:r>
      <w:r w:rsidR="00C43249" w:rsidRPr="000B40DC">
        <w:rPr>
          <w:rFonts w:asciiTheme="majorHAnsi" w:hAnsiTheme="majorHAnsi"/>
          <w:color w:val="000000" w:themeColor="text1"/>
          <w:sz w:val="20"/>
          <w:szCs w:val="20"/>
        </w:rPr>
        <w:t>185 (27%) were positive by both methods, (184 were influenza A virus and 1 was influenza B virus); 500 (72%) specimens were negative, and 6 (0.86%) were discordant.</w:t>
      </w:r>
    </w:p>
    <w:p w:rsidR="00853075" w:rsidRPr="000B40DC" w:rsidRDefault="00853075" w:rsidP="00397ABE">
      <w:pPr>
        <w:spacing w:line="360" w:lineRule="auto"/>
        <w:jc w:val="both"/>
        <w:rPr>
          <w:rFonts w:asciiTheme="majorHAnsi" w:hAnsiTheme="majorHAnsi"/>
          <w:color w:val="000000" w:themeColor="text1"/>
          <w:sz w:val="20"/>
          <w:szCs w:val="20"/>
          <w:lang w:val="en-GB"/>
        </w:rPr>
      </w:pPr>
      <w:r w:rsidRPr="000B40DC">
        <w:rPr>
          <w:rFonts w:asciiTheme="majorHAnsi" w:hAnsiTheme="majorHAnsi"/>
          <w:color w:val="000000" w:themeColor="text1"/>
          <w:sz w:val="20"/>
          <w:szCs w:val="20"/>
        </w:rPr>
        <w:t xml:space="preserve">The mean PCR threshold cycle (Ct) of the 185 positive samples was 21. Positive samples were further subtyped by the in-house real-time PCR assay as </w:t>
      </w:r>
      <w:r w:rsidRPr="000B40DC">
        <w:rPr>
          <w:rFonts w:asciiTheme="majorHAnsi" w:hAnsiTheme="majorHAnsi"/>
          <w:color w:val="000000" w:themeColor="text1"/>
          <w:sz w:val="20"/>
          <w:szCs w:val="20"/>
          <w:lang w:val="en-GB"/>
        </w:rPr>
        <w:t>H3N2 (n=111, 60%), as 2009 H1N1 (n=46, 25%), and 27 (15%) were not subtyped</w:t>
      </w:r>
      <w:r w:rsidRPr="000B40DC">
        <w:rPr>
          <w:rFonts w:asciiTheme="majorHAnsi" w:hAnsiTheme="majorHAnsi"/>
          <w:color w:val="000000" w:themeColor="text1"/>
          <w:sz w:val="20"/>
          <w:szCs w:val="20"/>
        </w:rPr>
        <w:t xml:space="preserve">.  </w:t>
      </w:r>
      <w:r w:rsidRPr="000B40DC">
        <w:rPr>
          <w:rFonts w:asciiTheme="majorHAnsi" w:hAnsiTheme="majorHAnsi"/>
          <w:color w:val="000000" w:themeColor="text1"/>
          <w:sz w:val="20"/>
          <w:szCs w:val="20"/>
          <w:lang w:val="en-GB"/>
        </w:rPr>
        <w:t xml:space="preserve">The 46 samples with influenza A 2009 H1N1 detected </w:t>
      </w:r>
      <w:r w:rsidRPr="000B40DC">
        <w:rPr>
          <w:rFonts w:asciiTheme="majorHAnsi" w:hAnsiTheme="majorHAnsi"/>
          <w:color w:val="000000" w:themeColor="text1"/>
          <w:sz w:val="20"/>
          <w:szCs w:val="20"/>
        </w:rPr>
        <w:t>by the in-house PCR were also subtyped by the Xpert</w:t>
      </w:r>
      <w:r w:rsidRPr="000B40DC">
        <w:rPr>
          <w:rFonts w:asciiTheme="majorHAnsi" w:hAnsiTheme="majorHAnsi"/>
          <w:color w:val="000000" w:themeColor="text1"/>
          <w:sz w:val="20"/>
          <w:szCs w:val="20"/>
          <w:vertAlign w:val="superscript"/>
        </w:rPr>
        <w:t>®</w:t>
      </w:r>
      <w:r w:rsidRPr="000B40DC">
        <w:rPr>
          <w:rFonts w:asciiTheme="majorHAnsi" w:hAnsiTheme="majorHAnsi"/>
          <w:color w:val="000000" w:themeColor="text1"/>
          <w:sz w:val="20"/>
          <w:szCs w:val="20"/>
        </w:rPr>
        <w:t xml:space="preserve"> Flu</w:t>
      </w:r>
      <w:r w:rsidRPr="000B40DC">
        <w:rPr>
          <w:rFonts w:asciiTheme="majorHAnsi" w:hAnsiTheme="majorHAnsi"/>
          <w:color w:val="000000" w:themeColor="text1"/>
          <w:sz w:val="20"/>
          <w:szCs w:val="20"/>
          <w:lang w:val="en-GB"/>
        </w:rPr>
        <w:t xml:space="preserve"> assay. </w:t>
      </w:r>
      <w:r w:rsidRPr="000B40DC">
        <w:rPr>
          <w:rFonts w:asciiTheme="majorHAnsi" w:hAnsiTheme="majorHAnsi"/>
          <w:color w:val="000000" w:themeColor="text1"/>
          <w:sz w:val="20"/>
          <w:szCs w:val="20"/>
        </w:rPr>
        <w:t xml:space="preserve">Of the 6 discordant samples, 5 </w:t>
      </w:r>
      <w:r w:rsidRPr="000B40DC">
        <w:rPr>
          <w:rFonts w:asciiTheme="majorHAnsi" w:hAnsiTheme="majorHAnsi"/>
          <w:color w:val="000000" w:themeColor="text1"/>
          <w:sz w:val="20"/>
          <w:szCs w:val="20"/>
          <w:lang w:val="en-GB"/>
        </w:rPr>
        <w:t xml:space="preserve">were positive only by </w:t>
      </w:r>
      <w:r w:rsidRPr="000B40DC">
        <w:rPr>
          <w:rFonts w:asciiTheme="majorHAnsi" w:hAnsiTheme="majorHAnsi"/>
          <w:color w:val="000000" w:themeColor="text1"/>
          <w:sz w:val="20"/>
          <w:szCs w:val="20"/>
          <w:lang w:val="en-GB"/>
        </w:rPr>
        <w:lastRenderedPageBreak/>
        <w:t xml:space="preserve">in-house PCR (3 H3N2, 2 non-typed), and 1 was positive for influenza B virus only by the </w:t>
      </w:r>
      <w:r w:rsidRPr="000B40DC">
        <w:rPr>
          <w:rFonts w:asciiTheme="majorHAnsi" w:hAnsiTheme="majorHAnsi"/>
          <w:color w:val="000000" w:themeColor="text1"/>
          <w:sz w:val="20"/>
          <w:szCs w:val="20"/>
        </w:rPr>
        <w:t>Xpert</w:t>
      </w:r>
      <w:r w:rsidRPr="000B40DC">
        <w:rPr>
          <w:rFonts w:asciiTheme="majorHAnsi" w:hAnsiTheme="majorHAnsi"/>
          <w:color w:val="000000" w:themeColor="text1"/>
          <w:sz w:val="20"/>
          <w:szCs w:val="20"/>
          <w:vertAlign w:val="superscript"/>
        </w:rPr>
        <w:t>®</w:t>
      </w:r>
      <w:r w:rsidRPr="000B40DC">
        <w:rPr>
          <w:rFonts w:asciiTheme="majorHAnsi" w:hAnsiTheme="majorHAnsi"/>
          <w:color w:val="000000" w:themeColor="text1"/>
          <w:sz w:val="20"/>
          <w:szCs w:val="20"/>
        </w:rPr>
        <w:t xml:space="preserve"> Flu</w:t>
      </w:r>
      <w:r w:rsidRPr="000B40DC">
        <w:rPr>
          <w:rFonts w:asciiTheme="majorHAnsi" w:hAnsiTheme="majorHAnsi"/>
          <w:color w:val="000000" w:themeColor="text1"/>
          <w:sz w:val="20"/>
          <w:szCs w:val="20"/>
          <w:lang w:val="en-GB"/>
        </w:rPr>
        <w:t xml:space="preserve"> assay. </w:t>
      </w:r>
      <w:r w:rsidRPr="000B40DC">
        <w:rPr>
          <w:rFonts w:asciiTheme="majorHAnsi" w:hAnsiTheme="majorHAnsi"/>
          <w:color w:val="000000" w:themeColor="text1"/>
          <w:sz w:val="20"/>
          <w:szCs w:val="20"/>
        </w:rPr>
        <w:t>This latter sample demonstrated a Ct value of 26 in the PCR assay and was confirmed by RNA sequence analysis. However, the mean Ct value of the 5 Xpert flu negative samples was &gt; 34, and these were not confirmed by RNA sequence analysis</w:t>
      </w:r>
      <w:r w:rsidR="000B40DC" w:rsidRPr="000B40DC">
        <w:rPr>
          <w:rFonts w:asciiTheme="majorHAnsi" w:hAnsiTheme="majorHAnsi"/>
          <w:color w:val="000000" w:themeColor="text1"/>
          <w:sz w:val="20"/>
          <w:szCs w:val="20"/>
        </w:rPr>
        <w:t xml:space="preserve"> </w:t>
      </w:r>
      <w:r w:rsidR="00AC04D7">
        <w:rPr>
          <w:rFonts w:asciiTheme="majorHAnsi" w:hAnsiTheme="majorHAnsi"/>
          <w:sz w:val="20"/>
          <w:szCs w:val="20"/>
        </w:rPr>
        <w:t>s</w:t>
      </w:r>
      <w:r w:rsidR="000B40DC" w:rsidRPr="000B40DC">
        <w:rPr>
          <w:rFonts w:asciiTheme="majorHAnsi" w:hAnsiTheme="majorHAnsi"/>
          <w:sz w:val="20"/>
          <w:szCs w:val="20"/>
        </w:rPr>
        <w:t>uggesting that low viral load might be the reason for discrepancy</w:t>
      </w:r>
      <w:r w:rsidRPr="000B40DC">
        <w:rPr>
          <w:rFonts w:asciiTheme="majorHAnsi" w:hAnsiTheme="majorHAnsi"/>
          <w:color w:val="000000" w:themeColor="text1"/>
          <w:sz w:val="20"/>
          <w:szCs w:val="20"/>
        </w:rPr>
        <w:t>. The overall sensitivity and specificity of Xpert</w:t>
      </w:r>
      <w:r w:rsidRPr="000B40DC">
        <w:rPr>
          <w:rFonts w:asciiTheme="majorHAnsi" w:hAnsiTheme="majorHAnsi"/>
          <w:color w:val="000000" w:themeColor="text1"/>
          <w:sz w:val="20"/>
          <w:szCs w:val="20"/>
          <w:vertAlign w:val="superscript"/>
        </w:rPr>
        <w:t>®</w:t>
      </w:r>
      <w:r w:rsidRPr="000B40DC">
        <w:rPr>
          <w:rFonts w:asciiTheme="majorHAnsi" w:hAnsiTheme="majorHAnsi"/>
          <w:color w:val="000000" w:themeColor="text1"/>
          <w:sz w:val="20"/>
          <w:szCs w:val="20"/>
        </w:rPr>
        <w:t xml:space="preserve"> Flu were 97.4% (95% CI: 94.0 –99.1) and 100</w:t>
      </w:r>
      <w:r w:rsidRPr="000B40DC" w:rsidDel="00AD5059">
        <w:rPr>
          <w:rFonts w:asciiTheme="majorHAnsi" w:hAnsiTheme="majorHAnsi"/>
          <w:color w:val="000000" w:themeColor="text1"/>
          <w:sz w:val="20"/>
          <w:szCs w:val="20"/>
        </w:rPr>
        <w:t xml:space="preserve"> </w:t>
      </w:r>
      <w:r w:rsidRPr="000B40DC">
        <w:rPr>
          <w:rFonts w:asciiTheme="majorHAnsi" w:hAnsiTheme="majorHAnsi"/>
          <w:color w:val="000000" w:themeColor="text1"/>
          <w:sz w:val="20"/>
          <w:szCs w:val="20"/>
        </w:rPr>
        <w:t>% (on-sided 97.5% CI: 99.2</w:t>
      </w:r>
      <w:r w:rsidRPr="000B40DC">
        <w:rPr>
          <w:rFonts w:asciiTheme="majorHAnsi" w:hAnsiTheme="majorHAnsi"/>
          <w:color w:val="000000" w:themeColor="text1"/>
          <w:sz w:val="20"/>
          <w:szCs w:val="20"/>
          <w:lang w:val="en-GB"/>
        </w:rPr>
        <w:t xml:space="preserve"> – 100), respectively.</w:t>
      </w:r>
    </w:p>
    <w:p w:rsidR="00D03905" w:rsidRPr="00397ABE" w:rsidRDefault="00D03905" w:rsidP="00397ABE">
      <w:pPr>
        <w:spacing w:line="360" w:lineRule="auto"/>
        <w:rPr>
          <w:color w:val="000000" w:themeColor="text1"/>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7"/>
        <w:gridCol w:w="1928"/>
        <w:gridCol w:w="1794"/>
        <w:gridCol w:w="1778"/>
      </w:tblGrid>
      <w:tr w:rsidR="00FA76DC" w:rsidRPr="00397ABE" w:rsidTr="00604EC7">
        <w:tc>
          <w:tcPr>
            <w:tcW w:w="7277" w:type="dxa"/>
            <w:gridSpan w:val="4"/>
            <w:tcBorders>
              <w:bottom w:val="single" w:sz="4" w:space="0" w:color="auto"/>
            </w:tcBorders>
          </w:tcPr>
          <w:p w:rsidR="00FA76DC" w:rsidRPr="00397ABE" w:rsidRDefault="00FA76DC" w:rsidP="007F64B8">
            <w:pPr>
              <w:keepNext/>
              <w:spacing w:line="360" w:lineRule="auto"/>
              <w:rPr>
                <w:rFonts w:eastAsia="Times New Roman" w:cs="Calibri"/>
                <w:bCs/>
                <w:color w:val="000000" w:themeColor="text1"/>
                <w:sz w:val="20"/>
                <w:szCs w:val="20"/>
              </w:rPr>
            </w:pPr>
            <w:r w:rsidRPr="00397ABE">
              <w:rPr>
                <w:b/>
                <w:color w:val="000000" w:themeColor="text1"/>
                <w:sz w:val="20"/>
                <w:szCs w:val="20"/>
              </w:rPr>
              <w:t>Supp</w:t>
            </w:r>
            <w:r w:rsidR="00710479">
              <w:rPr>
                <w:b/>
                <w:color w:val="000000" w:themeColor="text1"/>
                <w:sz w:val="20"/>
                <w:szCs w:val="20"/>
              </w:rPr>
              <w:t>orting information</w:t>
            </w:r>
            <w:r w:rsidRPr="00397ABE">
              <w:rPr>
                <w:b/>
                <w:color w:val="000000" w:themeColor="text1"/>
                <w:sz w:val="20"/>
                <w:szCs w:val="20"/>
              </w:rPr>
              <w:t xml:space="preserve"> Table </w:t>
            </w:r>
            <w:r w:rsidR="007F64B8">
              <w:rPr>
                <w:b/>
                <w:color w:val="000000" w:themeColor="text1"/>
                <w:sz w:val="20"/>
                <w:szCs w:val="20"/>
              </w:rPr>
              <w:t>B</w:t>
            </w:r>
            <w:r w:rsidRPr="00397ABE">
              <w:rPr>
                <w:b/>
                <w:color w:val="000000" w:themeColor="text1"/>
                <w:sz w:val="20"/>
                <w:szCs w:val="20"/>
              </w:rPr>
              <w:t>.</w:t>
            </w:r>
            <w:r w:rsidRPr="00397ABE">
              <w:rPr>
                <w:rFonts w:asciiTheme="majorHAnsi" w:hAnsiTheme="majorHAnsi"/>
                <w:b/>
                <w:color w:val="000000" w:themeColor="text1"/>
                <w:sz w:val="20"/>
                <w:szCs w:val="20"/>
              </w:rPr>
              <w:t xml:space="preserve"> </w:t>
            </w:r>
            <w:r w:rsidRPr="00397ABE">
              <w:rPr>
                <w:rFonts w:asciiTheme="majorHAnsi" w:hAnsiTheme="majorHAnsi"/>
                <w:color w:val="000000" w:themeColor="text1"/>
                <w:sz w:val="20"/>
                <w:szCs w:val="20"/>
              </w:rPr>
              <w:t>Comparative evaluation of the Xpert</w:t>
            </w:r>
            <w:r w:rsidRPr="00397ABE">
              <w:rPr>
                <w:rFonts w:asciiTheme="majorHAnsi" w:hAnsiTheme="majorHAnsi"/>
                <w:color w:val="000000" w:themeColor="text1"/>
                <w:sz w:val="20"/>
                <w:szCs w:val="20"/>
                <w:vertAlign w:val="superscript"/>
              </w:rPr>
              <w:t>®</w:t>
            </w:r>
            <w:r w:rsidRPr="00397ABE">
              <w:rPr>
                <w:rFonts w:asciiTheme="majorHAnsi" w:hAnsiTheme="majorHAnsi"/>
                <w:color w:val="000000" w:themeColor="text1"/>
                <w:sz w:val="20"/>
                <w:szCs w:val="20"/>
              </w:rPr>
              <w:t xml:space="preserve"> Flu assay and the in-house PCR test</w:t>
            </w:r>
            <w:r w:rsidR="00AC04D7">
              <w:rPr>
                <w:rFonts w:asciiTheme="majorHAnsi" w:hAnsiTheme="majorHAnsi"/>
                <w:color w:val="000000" w:themeColor="text1"/>
                <w:sz w:val="20"/>
                <w:szCs w:val="20"/>
              </w:rPr>
              <w:t>.</w:t>
            </w:r>
          </w:p>
        </w:tc>
      </w:tr>
      <w:tr w:rsidR="00D03905" w:rsidRPr="00397ABE" w:rsidTr="00D03905">
        <w:tc>
          <w:tcPr>
            <w:tcW w:w="1777" w:type="dxa"/>
            <w:tcBorders>
              <w:bottom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p>
        </w:tc>
        <w:tc>
          <w:tcPr>
            <w:tcW w:w="1928" w:type="dxa"/>
            <w:tcBorders>
              <w:bottom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color w:val="000000" w:themeColor="text1"/>
                <w:sz w:val="20"/>
                <w:szCs w:val="20"/>
              </w:rPr>
              <w:t>Xpert</w:t>
            </w:r>
            <w:r w:rsidRPr="00397ABE">
              <w:rPr>
                <w:bCs/>
                <w:color w:val="000000" w:themeColor="text1"/>
                <w:sz w:val="20"/>
                <w:szCs w:val="20"/>
                <w:vertAlign w:val="superscript"/>
              </w:rPr>
              <w:t>®</w:t>
            </w:r>
            <w:r w:rsidRPr="00397ABE">
              <w:rPr>
                <w:bCs/>
                <w:color w:val="000000" w:themeColor="text1"/>
                <w:sz w:val="20"/>
                <w:szCs w:val="20"/>
              </w:rPr>
              <w:t xml:space="preserve"> Flu</w:t>
            </w:r>
            <w:r w:rsidRPr="00397ABE">
              <w:rPr>
                <w:rFonts w:eastAsia="Times New Roman" w:cs="Calibri"/>
                <w:bCs/>
                <w:color w:val="000000" w:themeColor="text1"/>
                <w:sz w:val="20"/>
                <w:szCs w:val="20"/>
              </w:rPr>
              <w:t xml:space="preserve"> +</w:t>
            </w:r>
          </w:p>
        </w:tc>
        <w:tc>
          <w:tcPr>
            <w:tcW w:w="1794" w:type="dxa"/>
            <w:tcBorders>
              <w:bottom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color w:val="000000" w:themeColor="text1"/>
                <w:sz w:val="20"/>
                <w:szCs w:val="20"/>
              </w:rPr>
              <w:t>Xpert</w:t>
            </w:r>
            <w:r w:rsidRPr="00397ABE">
              <w:rPr>
                <w:bCs/>
                <w:color w:val="000000" w:themeColor="text1"/>
                <w:sz w:val="20"/>
                <w:szCs w:val="20"/>
                <w:vertAlign w:val="superscript"/>
              </w:rPr>
              <w:t>®</w:t>
            </w:r>
            <w:r w:rsidRPr="00397ABE">
              <w:rPr>
                <w:bCs/>
                <w:color w:val="000000" w:themeColor="text1"/>
                <w:sz w:val="20"/>
                <w:szCs w:val="20"/>
              </w:rPr>
              <w:t xml:space="preserve"> Flu</w:t>
            </w:r>
            <w:r w:rsidRPr="00397ABE">
              <w:rPr>
                <w:rFonts w:eastAsia="Times New Roman" w:cs="Calibri"/>
                <w:bCs/>
                <w:color w:val="000000" w:themeColor="text1"/>
                <w:sz w:val="20"/>
                <w:szCs w:val="20"/>
              </w:rPr>
              <w:t xml:space="preserve"> -</w:t>
            </w:r>
          </w:p>
        </w:tc>
        <w:tc>
          <w:tcPr>
            <w:tcW w:w="1778" w:type="dxa"/>
            <w:tcBorders>
              <w:bottom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eastAsia="Times New Roman" w:cs="Calibri"/>
                <w:bCs/>
                <w:color w:val="000000" w:themeColor="text1"/>
                <w:sz w:val="20"/>
                <w:szCs w:val="20"/>
              </w:rPr>
              <w:t>Total</w:t>
            </w:r>
          </w:p>
        </w:tc>
      </w:tr>
      <w:tr w:rsidR="00D03905" w:rsidRPr="00397ABE" w:rsidTr="00D03905">
        <w:tc>
          <w:tcPr>
            <w:tcW w:w="1777" w:type="dxa"/>
            <w:tcBorders>
              <w:top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asciiTheme="majorHAnsi" w:eastAsia="Times New Roman" w:hAnsiTheme="majorHAnsi" w:cs="Calibri"/>
                <w:color w:val="000000" w:themeColor="text1"/>
                <w:sz w:val="20"/>
                <w:szCs w:val="20"/>
                <w:lang w:eastAsia="es-ES"/>
              </w:rPr>
              <w:t>In-house PCR</w:t>
            </w:r>
            <w:r w:rsidRPr="00397ABE">
              <w:rPr>
                <w:rFonts w:eastAsia="Times New Roman" w:cs="Calibri"/>
                <w:bCs/>
                <w:color w:val="000000" w:themeColor="text1"/>
                <w:sz w:val="20"/>
                <w:szCs w:val="20"/>
              </w:rPr>
              <w:t xml:space="preserve"> +</w:t>
            </w:r>
          </w:p>
        </w:tc>
        <w:tc>
          <w:tcPr>
            <w:tcW w:w="1928" w:type="dxa"/>
            <w:tcBorders>
              <w:top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eastAsia="Times New Roman" w:cs="Calibri"/>
                <w:bCs/>
                <w:color w:val="000000" w:themeColor="text1"/>
                <w:sz w:val="20"/>
                <w:szCs w:val="20"/>
              </w:rPr>
              <w:t>185</w:t>
            </w:r>
          </w:p>
        </w:tc>
        <w:tc>
          <w:tcPr>
            <w:tcW w:w="1794" w:type="dxa"/>
            <w:tcBorders>
              <w:top w:val="single" w:sz="4" w:space="0" w:color="auto"/>
            </w:tcBorders>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eastAsia="Times New Roman" w:cs="Calibri"/>
                <w:bCs/>
                <w:color w:val="000000" w:themeColor="text1"/>
                <w:sz w:val="20"/>
                <w:szCs w:val="20"/>
              </w:rPr>
              <w:t>5</w:t>
            </w:r>
          </w:p>
        </w:tc>
        <w:tc>
          <w:tcPr>
            <w:tcW w:w="1778" w:type="dxa"/>
            <w:tcBorders>
              <w:top w:val="single" w:sz="4" w:space="0" w:color="auto"/>
            </w:tcBorders>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190</w:t>
            </w:r>
          </w:p>
        </w:tc>
      </w:tr>
      <w:tr w:rsidR="00D03905" w:rsidRPr="00397ABE" w:rsidTr="00D03905">
        <w:tc>
          <w:tcPr>
            <w:tcW w:w="1777" w:type="dxa"/>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asciiTheme="majorHAnsi" w:eastAsia="Times New Roman" w:hAnsiTheme="majorHAnsi" w:cs="Calibri"/>
                <w:color w:val="000000" w:themeColor="text1"/>
                <w:sz w:val="20"/>
                <w:szCs w:val="20"/>
                <w:lang w:eastAsia="es-ES"/>
              </w:rPr>
              <w:t>In-house PCR</w:t>
            </w:r>
            <w:r w:rsidRPr="00397ABE">
              <w:rPr>
                <w:rFonts w:eastAsia="Times New Roman" w:cs="Calibri"/>
                <w:bCs/>
                <w:color w:val="000000" w:themeColor="text1"/>
                <w:sz w:val="20"/>
                <w:szCs w:val="20"/>
              </w:rPr>
              <w:t xml:space="preserve"> -</w:t>
            </w:r>
          </w:p>
        </w:tc>
        <w:tc>
          <w:tcPr>
            <w:tcW w:w="1928" w:type="dxa"/>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eastAsia="Times New Roman" w:cs="Calibri"/>
                <w:bCs/>
                <w:color w:val="000000" w:themeColor="text1"/>
                <w:sz w:val="20"/>
                <w:szCs w:val="20"/>
              </w:rPr>
              <w:t>1</w:t>
            </w:r>
          </w:p>
        </w:tc>
        <w:tc>
          <w:tcPr>
            <w:tcW w:w="1794" w:type="dxa"/>
          </w:tcPr>
          <w:p w:rsidR="00D03905" w:rsidRPr="00397ABE" w:rsidRDefault="00D03905" w:rsidP="00397ABE">
            <w:pPr>
              <w:keepNext/>
              <w:spacing w:line="360" w:lineRule="auto"/>
              <w:jc w:val="center"/>
              <w:rPr>
                <w:rFonts w:eastAsia="Times New Roman" w:cs="Calibri"/>
                <w:bCs/>
                <w:color w:val="000000" w:themeColor="text1"/>
                <w:sz w:val="20"/>
                <w:szCs w:val="20"/>
              </w:rPr>
            </w:pPr>
            <w:r w:rsidRPr="00397ABE">
              <w:rPr>
                <w:rFonts w:eastAsia="Times New Roman" w:cs="Calibri"/>
                <w:bCs/>
                <w:color w:val="000000" w:themeColor="text1"/>
                <w:sz w:val="20"/>
                <w:szCs w:val="20"/>
              </w:rPr>
              <w:t>500</w:t>
            </w:r>
          </w:p>
        </w:tc>
        <w:tc>
          <w:tcPr>
            <w:tcW w:w="1778" w:type="dxa"/>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501</w:t>
            </w:r>
          </w:p>
        </w:tc>
      </w:tr>
      <w:tr w:rsidR="00D03905" w:rsidRPr="00397ABE" w:rsidTr="00D03905">
        <w:tc>
          <w:tcPr>
            <w:tcW w:w="1777" w:type="dxa"/>
            <w:tcBorders>
              <w:bottom w:val="single" w:sz="4" w:space="0" w:color="auto"/>
            </w:tcBorders>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Total</w:t>
            </w:r>
          </w:p>
        </w:tc>
        <w:tc>
          <w:tcPr>
            <w:tcW w:w="1928" w:type="dxa"/>
            <w:tcBorders>
              <w:bottom w:val="single" w:sz="4" w:space="0" w:color="auto"/>
            </w:tcBorders>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186</w:t>
            </w:r>
          </w:p>
        </w:tc>
        <w:tc>
          <w:tcPr>
            <w:tcW w:w="1794" w:type="dxa"/>
            <w:tcBorders>
              <w:bottom w:val="single" w:sz="4" w:space="0" w:color="auto"/>
            </w:tcBorders>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505</w:t>
            </w:r>
          </w:p>
        </w:tc>
        <w:tc>
          <w:tcPr>
            <w:tcW w:w="1778" w:type="dxa"/>
            <w:tcBorders>
              <w:bottom w:val="single" w:sz="4" w:space="0" w:color="auto"/>
            </w:tcBorders>
          </w:tcPr>
          <w:p w:rsidR="00D03905" w:rsidRPr="00397ABE" w:rsidRDefault="00D03905" w:rsidP="00397ABE">
            <w:pPr>
              <w:keepNext/>
              <w:spacing w:line="360" w:lineRule="auto"/>
              <w:jc w:val="center"/>
              <w:rPr>
                <w:rFonts w:eastAsia="Times New Roman" w:cs="Calibri"/>
                <w:b/>
                <w:bCs/>
                <w:color w:val="000000" w:themeColor="text1"/>
                <w:sz w:val="20"/>
                <w:szCs w:val="20"/>
              </w:rPr>
            </w:pPr>
            <w:r w:rsidRPr="00397ABE">
              <w:rPr>
                <w:rFonts w:eastAsia="Times New Roman" w:cs="Calibri"/>
                <w:b/>
                <w:bCs/>
                <w:color w:val="000000" w:themeColor="text1"/>
                <w:sz w:val="20"/>
                <w:szCs w:val="20"/>
              </w:rPr>
              <w:t>691</w:t>
            </w:r>
          </w:p>
        </w:tc>
      </w:tr>
    </w:tbl>
    <w:p w:rsidR="006117A4" w:rsidRPr="006117A4" w:rsidRDefault="006117A4" w:rsidP="00397ABE">
      <w:pPr>
        <w:spacing w:line="360" w:lineRule="auto"/>
        <w:rPr>
          <w:b/>
          <w:sz w:val="20"/>
          <w:szCs w:val="20"/>
          <w:lang w:val="es-ES"/>
        </w:rPr>
      </w:pPr>
    </w:p>
    <w:sectPr w:rsidR="006117A4" w:rsidRPr="006117A4" w:rsidSect="00D026F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CE" w:rsidRDefault="007B35CE" w:rsidP="00BB3969">
      <w:pPr>
        <w:spacing w:after="0" w:line="240" w:lineRule="auto"/>
      </w:pPr>
      <w:r>
        <w:separator/>
      </w:r>
    </w:p>
  </w:endnote>
  <w:endnote w:type="continuationSeparator" w:id="0">
    <w:p w:rsidR="007B35CE" w:rsidRDefault="007B35CE" w:rsidP="00BB3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496397"/>
      <w:docPartObj>
        <w:docPartGallery w:val="Page Numbers (Bottom of Page)"/>
        <w:docPartUnique/>
      </w:docPartObj>
    </w:sdtPr>
    <w:sdtEndPr/>
    <w:sdtContent>
      <w:p w:rsidR="00BB3969" w:rsidRDefault="00464324">
        <w:pPr>
          <w:pStyle w:val="Piedepgina"/>
          <w:jc w:val="right"/>
        </w:pPr>
        <w:r>
          <w:fldChar w:fldCharType="begin"/>
        </w:r>
        <w:r w:rsidR="00BB3969">
          <w:instrText>PAGE   \* MERGEFORMAT</w:instrText>
        </w:r>
        <w:r>
          <w:fldChar w:fldCharType="separate"/>
        </w:r>
        <w:r w:rsidR="00326D7E" w:rsidRPr="00326D7E">
          <w:rPr>
            <w:noProof/>
            <w:lang w:val="es-ES"/>
          </w:rPr>
          <w:t>1</w:t>
        </w:r>
        <w:r>
          <w:fldChar w:fldCharType="end"/>
        </w:r>
      </w:p>
    </w:sdtContent>
  </w:sdt>
  <w:p w:rsidR="00BB3969" w:rsidRDefault="00BB396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CE" w:rsidRDefault="007B35CE" w:rsidP="00BB3969">
      <w:pPr>
        <w:spacing w:after="0" w:line="240" w:lineRule="auto"/>
      </w:pPr>
      <w:r>
        <w:separator/>
      </w:r>
    </w:p>
  </w:footnote>
  <w:footnote w:type="continuationSeparator" w:id="0">
    <w:p w:rsidR="007B35CE" w:rsidRDefault="007B35CE" w:rsidP="00BB3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2552"/>
    <w:rsid w:val="00082552"/>
    <w:rsid w:val="000B40DC"/>
    <w:rsid w:val="000C0A88"/>
    <w:rsid w:val="001A37FF"/>
    <w:rsid w:val="001A46A5"/>
    <w:rsid w:val="00220874"/>
    <w:rsid w:val="00265A3D"/>
    <w:rsid w:val="00272068"/>
    <w:rsid w:val="002771E4"/>
    <w:rsid w:val="00282E2B"/>
    <w:rsid w:val="002941CC"/>
    <w:rsid w:val="003068A3"/>
    <w:rsid w:val="00326D7E"/>
    <w:rsid w:val="0034601B"/>
    <w:rsid w:val="00397ABE"/>
    <w:rsid w:val="003A5116"/>
    <w:rsid w:val="00401EDE"/>
    <w:rsid w:val="004030CB"/>
    <w:rsid w:val="00464324"/>
    <w:rsid w:val="0048635B"/>
    <w:rsid w:val="00491620"/>
    <w:rsid w:val="004A0B75"/>
    <w:rsid w:val="0050329E"/>
    <w:rsid w:val="005B13C6"/>
    <w:rsid w:val="005E60A2"/>
    <w:rsid w:val="00603EE4"/>
    <w:rsid w:val="006117A4"/>
    <w:rsid w:val="006426AE"/>
    <w:rsid w:val="00651D8E"/>
    <w:rsid w:val="00710479"/>
    <w:rsid w:val="00735248"/>
    <w:rsid w:val="007B35CE"/>
    <w:rsid w:val="007C3E5A"/>
    <w:rsid w:val="007D2BC2"/>
    <w:rsid w:val="007F64B8"/>
    <w:rsid w:val="00853075"/>
    <w:rsid w:val="008623EB"/>
    <w:rsid w:val="008D0E2D"/>
    <w:rsid w:val="00915634"/>
    <w:rsid w:val="00950B1E"/>
    <w:rsid w:val="00976B03"/>
    <w:rsid w:val="00A37359"/>
    <w:rsid w:val="00AC04D7"/>
    <w:rsid w:val="00AC79E8"/>
    <w:rsid w:val="00AF0229"/>
    <w:rsid w:val="00B4109A"/>
    <w:rsid w:val="00B421FD"/>
    <w:rsid w:val="00B57091"/>
    <w:rsid w:val="00BB3969"/>
    <w:rsid w:val="00C43249"/>
    <w:rsid w:val="00C6114D"/>
    <w:rsid w:val="00C836DD"/>
    <w:rsid w:val="00D026FC"/>
    <w:rsid w:val="00D03905"/>
    <w:rsid w:val="00DB482D"/>
    <w:rsid w:val="00E63171"/>
    <w:rsid w:val="00E662EC"/>
    <w:rsid w:val="00F20F1B"/>
    <w:rsid w:val="00F37C03"/>
    <w:rsid w:val="00F4714C"/>
    <w:rsid w:val="00F51936"/>
    <w:rsid w:val="00F91394"/>
    <w:rsid w:val="00FA7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16"/>
  </w:style>
  <w:style w:type="paragraph" w:styleId="Ttulo1">
    <w:name w:val="heading 1"/>
    <w:basedOn w:val="Normal"/>
    <w:next w:val="Normal"/>
    <w:link w:val="Ttulo1Car"/>
    <w:uiPriority w:val="1"/>
    <w:qFormat/>
    <w:rsid w:val="001A37FF"/>
    <w:pPr>
      <w:keepNext/>
      <w:spacing w:before="480" w:after="0" w:line="240" w:lineRule="auto"/>
      <w:outlineLvl w:val="0"/>
    </w:pPr>
    <w:rPr>
      <w:rFonts w:ascii="Garamond" w:eastAsia="Times New Roman" w:hAnsi="Garamond" w:cs="Times New Roman"/>
      <w:b/>
      <w:kern w:val="28"/>
      <w:sz w:val="28"/>
      <w:szCs w:val="20"/>
      <w:lang w:val="en-GB"/>
    </w:rPr>
  </w:style>
  <w:style w:type="paragraph" w:styleId="Ttulo2">
    <w:name w:val="heading 2"/>
    <w:basedOn w:val="Normal"/>
    <w:next w:val="Normal"/>
    <w:link w:val="Ttulo2Car"/>
    <w:uiPriority w:val="9"/>
    <w:semiHidden/>
    <w:unhideWhenUsed/>
    <w:qFormat/>
    <w:rsid w:val="00082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37FF"/>
    <w:rPr>
      <w:rFonts w:ascii="Garamond" w:eastAsia="Times New Roman" w:hAnsi="Garamond" w:cs="Times New Roman"/>
      <w:b/>
      <w:kern w:val="28"/>
      <w:sz w:val="28"/>
      <w:szCs w:val="20"/>
      <w:lang w:val="en-GB"/>
    </w:rPr>
  </w:style>
  <w:style w:type="character" w:customStyle="1" w:styleId="Ttulo2Car">
    <w:name w:val="Título 2 Car"/>
    <w:basedOn w:val="Fuentedeprrafopredeter"/>
    <w:link w:val="Ttulo2"/>
    <w:uiPriority w:val="9"/>
    <w:semiHidden/>
    <w:rsid w:val="00082552"/>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0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43249"/>
    <w:rPr>
      <w:sz w:val="16"/>
      <w:szCs w:val="16"/>
    </w:rPr>
  </w:style>
  <w:style w:type="paragraph" w:styleId="Textocomentario">
    <w:name w:val="annotation text"/>
    <w:basedOn w:val="Normal"/>
    <w:link w:val="TextocomentarioCar"/>
    <w:uiPriority w:val="99"/>
    <w:semiHidden/>
    <w:unhideWhenUsed/>
    <w:rsid w:val="00C432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3249"/>
    <w:rPr>
      <w:sz w:val="20"/>
      <w:szCs w:val="20"/>
    </w:rPr>
  </w:style>
  <w:style w:type="paragraph" w:styleId="Asuntodelcomentario">
    <w:name w:val="annotation subject"/>
    <w:basedOn w:val="Textocomentario"/>
    <w:next w:val="Textocomentario"/>
    <w:link w:val="AsuntodelcomentarioCar"/>
    <w:uiPriority w:val="99"/>
    <w:semiHidden/>
    <w:unhideWhenUsed/>
    <w:rsid w:val="00C43249"/>
    <w:rPr>
      <w:b/>
      <w:bCs/>
    </w:rPr>
  </w:style>
  <w:style w:type="character" w:customStyle="1" w:styleId="AsuntodelcomentarioCar">
    <w:name w:val="Asunto del comentario Car"/>
    <w:basedOn w:val="TextocomentarioCar"/>
    <w:link w:val="Asuntodelcomentario"/>
    <w:uiPriority w:val="99"/>
    <w:semiHidden/>
    <w:rsid w:val="00C43249"/>
    <w:rPr>
      <w:b/>
      <w:bCs/>
      <w:sz w:val="20"/>
      <w:szCs w:val="20"/>
    </w:rPr>
  </w:style>
  <w:style w:type="paragraph" w:styleId="Textodeglobo">
    <w:name w:val="Balloon Text"/>
    <w:basedOn w:val="Normal"/>
    <w:link w:val="TextodegloboCar"/>
    <w:uiPriority w:val="99"/>
    <w:semiHidden/>
    <w:unhideWhenUsed/>
    <w:rsid w:val="00C43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249"/>
    <w:rPr>
      <w:rFonts w:ascii="Tahoma" w:hAnsi="Tahoma" w:cs="Tahoma"/>
      <w:sz w:val="16"/>
      <w:szCs w:val="16"/>
    </w:rPr>
  </w:style>
  <w:style w:type="paragraph" w:styleId="Encabezado">
    <w:name w:val="header"/>
    <w:basedOn w:val="Normal"/>
    <w:link w:val="EncabezadoCar"/>
    <w:uiPriority w:val="99"/>
    <w:unhideWhenUsed/>
    <w:rsid w:val="00BB3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969"/>
  </w:style>
  <w:style w:type="paragraph" w:styleId="Piedepgina">
    <w:name w:val="footer"/>
    <w:basedOn w:val="Normal"/>
    <w:link w:val="PiedepginaCar"/>
    <w:uiPriority w:val="99"/>
    <w:unhideWhenUsed/>
    <w:rsid w:val="00BB3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969"/>
  </w:style>
  <w:style w:type="paragraph" w:styleId="NormalWeb">
    <w:name w:val="Normal (Web)"/>
    <w:basedOn w:val="Normal"/>
    <w:uiPriority w:val="99"/>
    <w:semiHidden/>
    <w:unhideWhenUsed/>
    <w:rsid w:val="006117A4"/>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1"/>
    <w:qFormat/>
    <w:rsid w:val="001A37FF"/>
    <w:pPr>
      <w:keepNext/>
      <w:spacing w:before="480" w:after="0" w:line="240" w:lineRule="auto"/>
      <w:outlineLvl w:val="0"/>
    </w:pPr>
    <w:rPr>
      <w:rFonts w:ascii="Garamond" w:eastAsia="Times New Roman" w:hAnsi="Garamond" w:cs="Times New Roman"/>
      <w:b/>
      <w:kern w:val="28"/>
      <w:sz w:val="28"/>
      <w:szCs w:val="20"/>
      <w:lang w:val="en-GB"/>
    </w:rPr>
  </w:style>
  <w:style w:type="paragraph" w:styleId="Ttulo2">
    <w:name w:val="heading 2"/>
    <w:basedOn w:val="Normal"/>
    <w:next w:val="Normal"/>
    <w:link w:val="Ttulo2Car"/>
    <w:uiPriority w:val="9"/>
    <w:semiHidden/>
    <w:unhideWhenUsed/>
    <w:qFormat/>
    <w:rsid w:val="00082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1A37FF"/>
    <w:rPr>
      <w:rFonts w:ascii="Garamond" w:eastAsia="Times New Roman" w:hAnsi="Garamond" w:cs="Times New Roman"/>
      <w:b/>
      <w:kern w:val="28"/>
      <w:sz w:val="28"/>
      <w:szCs w:val="20"/>
      <w:lang w:val="en-GB"/>
    </w:rPr>
  </w:style>
  <w:style w:type="character" w:customStyle="1" w:styleId="Ttulo2Car">
    <w:name w:val="Título 2 Car"/>
    <w:basedOn w:val="Fuentedeprrafopredeter"/>
    <w:link w:val="Ttulo2"/>
    <w:uiPriority w:val="9"/>
    <w:semiHidden/>
    <w:rsid w:val="00082552"/>
    <w:rPr>
      <w:rFonts w:asciiTheme="majorHAnsi" w:eastAsiaTheme="majorEastAsia" w:hAnsiTheme="majorHAnsi" w:cstheme="majorBidi"/>
      <w:b/>
      <w:bCs/>
      <w:color w:val="4F81BD" w:themeColor="accent1"/>
      <w:sz w:val="26"/>
      <w:szCs w:val="26"/>
    </w:rPr>
  </w:style>
  <w:style w:type="table" w:styleId="Tablaconcuadrcula">
    <w:name w:val="Table Grid"/>
    <w:basedOn w:val="Tablanormal"/>
    <w:uiPriority w:val="59"/>
    <w:rsid w:val="00D0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C43249"/>
    <w:rPr>
      <w:sz w:val="16"/>
      <w:szCs w:val="16"/>
    </w:rPr>
  </w:style>
  <w:style w:type="paragraph" w:styleId="Textocomentario">
    <w:name w:val="annotation text"/>
    <w:basedOn w:val="Normal"/>
    <w:link w:val="TextocomentarioCar"/>
    <w:uiPriority w:val="99"/>
    <w:semiHidden/>
    <w:unhideWhenUsed/>
    <w:rsid w:val="00C432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3249"/>
    <w:rPr>
      <w:sz w:val="20"/>
      <w:szCs w:val="20"/>
    </w:rPr>
  </w:style>
  <w:style w:type="paragraph" w:styleId="Asuntodelcomentario">
    <w:name w:val="annotation subject"/>
    <w:basedOn w:val="Textocomentario"/>
    <w:next w:val="Textocomentario"/>
    <w:link w:val="AsuntodelcomentarioCar"/>
    <w:uiPriority w:val="99"/>
    <w:semiHidden/>
    <w:unhideWhenUsed/>
    <w:rsid w:val="00C43249"/>
    <w:rPr>
      <w:b/>
      <w:bCs/>
    </w:rPr>
  </w:style>
  <w:style w:type="character" w:customStyle="1" w:styleId="AsuntodelcomentarioCar">
    <w:name w:val="Asunto del comentario Car"/>
    <w:basedOn w:val="TextocomentarioCar"/>
    <w:link w:val="Asuntodelcomentario"/>
    <w:uiPriority w:val="99"/>
    <w:semiHidden/>
    <w:rsid w:val="00C43249"/>
    <w:rPr>
      <w:b/>
      <w:bCs/>
      <w:sz w:val="20"/>
      <w:szCs w:val="20"/>
    </w:rPr>
  </w:style>
  <w:style w:type="paragraph" w:styleId="Textodeglobo">
    <w:name w:val="Balloon Text"/>
    <w:basedOn w:val="Normal"/>
    <w:link w:val="TextodegloboCar"/>
    <w:uiPriority w:val="99"/>
    <w:semiHidden/>
    <w:unhideWhenUsed/>
    <w:rsid w:val="00C432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3249"/>
    <w:rPr>
      <w:rFonts w:ascii="Tahoma" w:hAnsi="Tahoma" w:cs="Tahoma"/>
      <w:sz w:val="16"/>
      <w:szCs w:val="16"/>
    </w:rPr>
  </w:style>
  <w:style w:type="paragraph" w:styleId="Encabezado">
    <w:name w:val="header"/>
    <w:basedOn w:val="Normal"/>
    <w:link w:val="EncabezadoCar"/>
    <w:uiPriority w:val="99"/>
    <w:unhideWhenUsed/>
    <w:rsid w:val="00BB39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969"/>
  </w:style>
  <w:style w:type="paragraph" w:styleId="Piedepgina">
    <w:name w:val="footer"/>
    <w:basedOn w:val="Normal"/>
    <w:link w:val="PiedepginaCar"/>
    <w:uiPriority w:val="99"/>
    <w:unhideWhenUsed/>
    <w:rsid w:val="00BB39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969"/>
  </w:style>
  <w:style w:type="paragraph" w:styleId="NormalWeb">
    <w:name w:val="Normal (Web)"/>
    <w:basedOn w:val="Normal"/>
    <w:uiPriority w:val="99"/>
    <w:semiHidden/>
    <w:unhideWhenUsed/>
    <w:rsid w:val="006117A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A440B4-0CFD-491A-8AF1-966FBB1F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823</Words>
  <Characters>4692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SOTO, MARCELO (FUN.CLI.)</dc:creator>
  <cp:lastModifiedBy>SOTO, MARCELO (FUN.CLI.)</cp:lastModifiedBy>
  <cp:revision>7</cp:revision>
  <cp:lastPrinted>2015-08-14T09:14:00Z</cp:lastPrinted>
  <dcterms:created xsi:type="dcterms:W3CDTF">2015-10-02T09:08:00Z</dcterms:created>
  <dcterms:modified xsi:type="dcterms:W3CDTF">2015-12-31T12:21:00Z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soto@clinic.ub.es@www.mendeley.com</vt:lpwstr>
  </property>
  <property fmtid="{D5CDD505-2E9C-101B-9397-08002B2CF9AE}" pid="4" name="Mendeley Citation Style_1">
    <vt:lpwstr>http://www.zotero.org/styles/revista-espanola-de-salud-publica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http://www.zotero.org/styles/american-medical-association_custom</vt:lpwstr>
  </property>
  <property fmtid="{D5CDD505-2E9C-101B-9397-08002B2CF9AE}" pid="8" name="Mendeley Recent Style Name 1_1">
    <vt:lpwstr>American Medical Association (custom)</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http://www.zotero.org/styles/clinical-infectious-diseases</vt:lpwstr>
  </property>
  <property fmtid="{D5CDD505-2E9C-101B-9397-08002B2CF9AE}" pid="16" name="Mendeley Recent Style Name 5_1">
    <vt:lpwstr>Clinical Infectious Diseases</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http://www.zotero.org/styles/revista-espanola-de-salud-publica</vt:lpwstr>
  </property>
  <property fmtid="{D5CDD505-2E9C-101B-9397-08002B2CF9AE}" pid="24" name="Mendeley Recent Style Name 9_1">
    <vt:lpwstr>Revista Española de Salud Pública (Spanish)</vt:lpwstr>
  </property>
</Properties>
</file>