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4A" w:rsidRPr="005E535A" w:rsidRDefault="00152667">
      <w:pPr>
        <w:rPr>
          <w:rFonts w:ascii="Times New Roman" w:hAnsi="Times New Roman" w:cs="Times New Roman"/>
          <w:b/>
        </w:rPr>
      </w:pPr>
      <w:bookmarkStart w:id="0" w:name="_GoBack"/>
      <w:r w:rsidRPr="005E535A">
        <w:rPr>
          <w:rFonts w:ascii="Times New Roman" w:hAnsi="Times New Roman" w:cs="Times New Roman"/>
          <w:b/>
        </w:rPr>
        <w:t xml:space="preserve">S1 </w:t>
      </w:r>
      <w:r w:rsidR="00463B97" w:rsidRPr="005E535A">
        <w:rPr>
          <w:rFonts w:ascii="Times New Roman" w:hAnsi="Times New Roman" w:cs="Times New Roman"/>
          <w:b/>
        </w:rPr>
        <w:t xml:space="preserve">Text: Validation of CAGE results with </w:t>
      </w:r>
      <w:r w:rsidR="009E614D" w:rsidRPr="005E535A">
        <w:rPr>
          <w:rFonts w:ascii="Times New Roman" w:hAnsi="Times New Roman" w:cs="Times New Roman"/>
          <w:b/>
        </w:rPr>
        <w:t>o</w:t>
      </w:r>
      <w:r w:rsidR="00463B97" w:rsidRPr="005E535A">
        <w:rPr>
          <w:rFonts w:ascii="Times New Roman" w:hAnsi="Times New Roman" w:cs="Times New Roman"/>
          <w:b/>
        </w:rPr>
        <w:t xml:space="preserve">ther </w:t>
      </w:r>
      <w:r w:rsidR="009E614D" w:rsidRPr="005E535A">
        <w:rPr>
          <w:rFonts w:ascii="Times New Roman" w:hAnsi="Times New Roman" w:cs="Times New Roman"/>
          <w:b/>
        </w:rPr>
        <w:t>gene e</w:t>
      </w:r>
      <w:r w:rsidR="00463B97" w:rsidRPr="005E535A">
        <w:rPr>
          <w:rFonts w:ascii="Times New Roman" w:hAnsi="Times New Roman" w:cs="Times New Roman"/>
          <w:b/>
        </w:rPr>
        <w:t xml:space="preserve">xpression </w:t>
      </w:r>
      <w:r w:rsidR="009E614D" w:rsidRPr="005E535A">
        <w:rPr>
          <w:rFonts w:ascii="Times New Roman" w:hAnsi="Times New Roman" w:cs="Times New Roman"/>
          <w:b/>
        </w:rPr>
        <w:t>d</w:t>
      </w:r>
      <w:r w:rsidR="00463B97" w:rsidRPr="005E535A">
        <w:rPr>
          <w:rFonts w:ascii="Times New Roman" w:hAnsi="Times New Roman" w:cs="Times New Roman"/>
          <w:b/>
        </w:rPr>
        <w:t xml:space="preserve">ata </w:t>
      </w:r>
      <w:r w:rsidR="009E614D" w:rsidRPr="005E535A">
        <w:rPr>
          <w:rFonts w:ascii="Times New Roman" w:hAnsi="Times New Roman" w:cs="Times New Roman"/>
          <w:b/>
        </w:rPr>
        <w:t>s</w:t>
      </w:r>
      <w:r w:rsidR="00463B97" w:rsidRPr="005E535A">
        <w:rPr>
          <w:rFonts w:ascii="Times New Roman" w:hAnsi="Times New Roman" w:cs="Times New Roman"/>
          <w:b/>
        </w:rPr>
        <w:t>ets</w:t>
      </w:r>
    </w:p>
    <w:bookmarkEnd w:id="0"/>
    <w:p w:rsidR="009E614D" w:rsidRDefault="009E614D">
      <w:pPr>
        <w:rPr>
          <w:rFonts w:ascii="Times New Roman" w:hAnsi="Times New Roman" w:cs="Times New Roman"/>
        </w:rPr>
      </w:pPr>
      <w:r>
        <w:rPr>
          <w:rFonts w:ascii="Times New Roman" w:hAnsi="Times New Roman" w:cs="Times New Roman"/>
        </w:rPr>
        <w:t>To investigate whether the results identified from the CAGE data were observed in other gene expression data sets, w</w:t>
      </w:r>
      <w:r w:rsidR="0044728B" w:rsidRPr="0044728B">
        <w:rPr>
          <w:rFonts w:ascii="Times New Roman" w:hAnsi="Times New Roman" w:cs="Times New Roman"/>
        </w:rPr>
        <w:t xml:space="preserve">e </w:t>
      </w:r>
      <w:r>
        <w:rPr>
          <w:rFonts w:ascii="Times New Roman" w:hAnsi="Times New Roman" w:cs="Times New Roman"/>
        </w:rPr>
        <w:t xml:space="preserve">applied the same set of analyses to </w:t>
      </w:r>
      <w:r w:rsidR="0044728B">
        <w:rPr>
          <w:rFonts w:ascii="Times New Roman" w:hAnsi="Times New Roman" w:cs="Times New Roman"/>
        </w:rPr>
        <w:t xml:space="preserve">a </w:t>
      </w:r>
      <w:proofErr w:type="spellStart"/>
      <w:r w:rsidR="0044728B">
        <w:rPr>
          <w:rFonts w:ascii="Times New Roman" w:hAnsi="Times New Roman" w:cs="Times New Roman"/>
        </w:rPr>
        <w:t>qRT</w:t>
      </w:r>
      <w:proofErr w:type="spellEnd"/>
      <w:r w:rsidR="0044728B">
        <w:rPr>
          <w:rFonts w:ascii="Times New Roman" w:hAnsi="Times New Roman" w:cs="Times New Roman"/>
        </w:rPr>
        <w:t xml:space="preserve">-PCR data set </w:t>
      </w:r>
      <w:r>
        <w:rPr>
          <w:rFonts w:ascii="Times New Roman" w:hAnsi="Times New Roman" w:cs="Times New Roman"/>
        </w:rPr>
        <w:t xml:space="preserve">and microarray data set </w:t>
      </w:r>
      <w:r w:rsidR="0044728B">
        <w:rPr>
          <w:rFonts w:ascii="Times New Roman" w:hAnsi="Times New Roman" w:cs="Times New Roman"/>
        </w:rPr>
        <w:t xml:space="preserve">that </w:t>
      </w:r>
      <w:r>
        <w:rPr>
          <w:rFonts w:ascii="Times New Roman" w:hAnsi="Times New Roman" w:cs="Times New Roman"/>
        </w:rPr>
        <w:t xml:space="preserve">were both generated by </w:t>
      </w:r>
      <w:r w:rsidR="0049630D">
        <w:rPr>
          <w:rFonts w:ascii="Times New Roman" w:hAnsi="Times New Roman" w:cs="Times New Roman"/>
        </w:rPr>
        <w:t xml:space="preserve">the </w:t>
      </w:r>
      <w:r w:rsidR="0044728B">
        <w:rPr>
          <w:rFonts w:ascii="Times New Roman" w:hAnsi="Times New Roman" w:cs="Times New Roman"/>
        </w:rPr>
        <w:t>Okada-</w:t>
      </w:r>
      <w:proofErr w:type="spellStart"/>
      <w:r w:rsidR="0044728B">
        <w:rPr>
          <w:rFonts w:ascii="Times New Roman" w:hAnsi="Times New Roman" w:cs="Times New Roman"/>
        </w:rPr>
        <w:t>Hatakeyama</w:t>
      </w:r>
      <w:proofErr w:type="spellEnd"/>
      <w:r w:rsidR="0044728B">
        <w:rPr>
          <w:rFonts w:ascii="Times New Roman" w:hAnsi="Times New Roman" w:cs="Times New Roman"/>
        </w:rPr>
        <w:t xml:space="preserve"> lab</w:t>
      </w:r>
      <w:r>
        <w:rPr>
          <w:rFonts w:ascii="Times New Roman" w:hAnsi="Times New Roman" w:cs="Times New Roman"/>
        </w:rPr>
        <w:t xml:space="preserve">. These data sets were profiled on the </w:t>
      </w:r>
      <w:r w:rsidR="00F570D9">
        <w:rPr>
          <w:rFonts w:ascii="Times New Roman" w:hAnsi="Times New Roman" w:cs="Times New Roman"/>
        </w:rPr>
        <w:t xml:space="preserve">same </w:t>
      </w:r>
      <w:r>
        <w:rPr>
          <w:rFonts w:ascii="Times New Roman" w:hAnsi="Times New Roman" w:cs="Times New Roman"/>
        </w:rPr>
        <w:t xml:space="preserve">MCF-7 cell line and exposed to </w:t>
      </w:r>
      <w:r w:rsidR="0044728B">
        <w:rPr>
          <w:rFonts w:ascii="Times New Roman" w:hAnsi="Times New Roman" w:cs="Times New Roman"/>
        </w:rPr>
        <w:t>HRG and EGF</w:t>
      </w:r>
      <w:r>
        <w:rPr>
          <w:rFonts w:ascii="Times New Roman" w:hAnsi="Times New Roman" w:cs="Times New Roman"/>
        </w:rPr>
        <w:t xml:space="preserve"> over time courses that overlapped with the</w:t>
      </w:r>
      <w:r w:rsidR="00F570D9">
        <w:rPr>
          <w:rFonts w:ascii="Times New Roman" w:hAnsi="Times New Roman" w:cs="Times New Roman"/>
        </w:rPr>
        <w:t xml:space="preserve"> design of the</w:t>
      </w:r>
      <w:r>
        <w:rPr>
          <w:rFonts w:ascii="Times New Roman" w:hAnsi="Times New Roman" w:cs="Times New Roman"/>
        </w:rPr>
        <w:t xml:space="preserve"> CAGE time course</w:t>
      </w:r>
      <w:r w:rsidR="00F570D9">
        <w:rPr>
          <w:rFonts w:ascii="Times New Roman" w:hAnsi="Times New Roman" w:cs="Times New Roman"/>
        </w:rPr>
        <w:t xml:space="preserve"> (Table 1)</w:t>
      </w:r>
      <w:r>
        <w:rPr>
          <w:rFonts w:ascii="Times New Roman" w:hAnsi="Times New Roman" w:cs="Times New Roman"/>
        </w:rPr>
        <w:t>.</w:t>
      </w:r>
    </w:p>
    <w:p w:rsidR="009E614D" w:rsidRDefault="009E614D">
      <w:pPr>
        <w:rPr>
          <w:rFonts w:ascii="Times New Roman" w:hAnsi="Times New Roman" w:cs="Times New Roman"/>
        </w:rPr>
      </w:pPr>
      <w:r>
        <w:rPr>
          <w:rFonts w:ascii="Times New Roman" w:hAnsi="Times New Roman" w:cs="Times New Roman"/>
        </w:rPr>
        <w:t xml:space="preserve">Both data sets were described in </w:t>
      </w:r>
    </w:p>
    <w:p w:rsidR="009E614D" w:rsidRPr="009E614D" w:rsidRDefault="009E614D" w:rsidP="009E614D">
      <w:pPr>
        <w:pStyle w:val="ListParagraph"/>
        <w:numPr>
          <w:ilvl w:val="0"/>
          <w:numId w:val="1"/>
        </w:numPr>
        <w:rPr>
          <w:rFonts w:ascii="Times New Roman" w:hAnsi="Times New Roman" w:cs="Times New Roman"/>
        </w:rPr>
      </w:pPr>
      <w:r w:rsidRPr="009E614D">
        <w:rPr>
          <w:rFonts w:ascii="Times New Roman" w:hAnsi="Times New Roman" w:cs="Times New Roman"/>
        </w:rPr>
        <w:t xml:space="preserve">Saeki Y, Endo T, Ide K, </w:t>
      </w:r>
      <w:proofErr w:type="spellStart"/>
      <w:r w:rsidRPr="009E614D">
        <w:rPr>
          <w:rFonts w:ascii="Times New Roman" w:hAnsi="Times New Roman" w:cs="Times New Roman"/>
        </w:rPr>
        <w:t>Nagashima</w:t>
      </w:r>
      <w:proofErr w:type="spellEnd"/>
      <w:r w:rsidRPr="009E614D">
        <w:rPr>
          <w:rFonts w:ascii="Times New Roman" w:hAnsi="Times New Roman" w:cs="Times New Roman"/>
        </w:rPr>
        <w:t xml:space="preserve"> T et al. Ligand-specific sequential regulation of transcription factors for differentiation of MCF-7 cells. BMC Genomics 2009 Nov 20;10:545. PMID: 19925682</w:t>
      </w:r>
    </w:p>
    <w:p w:rsidR="009E614D" w:rsidRDefault="009E614D">
      <w:pPr>
        <w:rPr>
          <w:rFonts w:ascii="Times New Roman" w:hAnsi="Times New Roman" w:cs="Times New Roman"/>
        </w:rPr>
      </w:pPr>
      <w:r w:rsidRPr="009E614D">
        <w:rPr>
          <w:rFonts w:ascii="Times New Roman" w:hAnsi="Times New Roman" w:cs="Times New Roman"/>
          <w:b/>
        </w:rPr>
        <w:t>Table 1.</w:t>
      </w:r>
      <w:r>
        <w:rPr>
          <w:rFonts w:ascii="Times New Roman" w:hAnsi="Times New Roman" w:cs="Times New Roman"/>
        </w:rPr>
        <w:t xml:space="preserve"> Description of the data sets used for validation of the CAGE results.</w:t>
      </w:r>
    </w:p>
    <w:tbl>
      <w:tblPr>
        <w:tblStyle w:val="TableGrid"/>
        <w:tblW w:w="9355" w:type="dxa"/>
        <w:jc w:val="center"/>
        <w:tblLook w:val="04A0" w:firstRow="1" w:lastRow="0" w:firstColumn="1" w:lastColumn="0" w:noHBand="0" w:noVBand="1"/>
      </w:tblPr>
      <w:tblGrid>
        <w:gridCol w:w="1705"/>
        <w:gridCol w:w="1530"/>
        <w:gridCol w:w="3150"/>
        <w:gridCol w:w="1620"/>
        <w:gridCol w:w="1350"/>
      </w:tblGrid>
      <w:tr w:rsidR="009E614D" w:rsidTr="00185BF9">
        <w:trPr>
          <w:trHeight w:val="593"/>
          <w:jc w:val="center"/>
        </w:trPr>
        <w:tc>
          <w:tcPr>
            <w:tcW w:w="1705" w:type="dxa"/>
            <w:vAlign w:val="center"/>
          </w:tcPr>
          <w:p w:rsidR="009E614D" w:rsidRPr="00165E55" w:rsidRDefault="009E614D" w:rsidP="0049630D">
            <w:pPr>
              <w:jc w:val="center"/>
              <w:rPr>
                <w:rFonts w:ascii="Times New Roman" w:hAnsi="Times New Roman" w:cs="Times New Roman"/>
                <w:b/>
              </w:rPr>
            </w:pPr>
          </w:p>
        </w:tc>
        <w:tc>
          <w:tcPr>
            <w:tcW w:w="1530" w:type="dxa"/>
            <w:vAlign w:val="center"/>
          </w:tcPr>
          <w:p w:rsidR="009E614D" w:rsidRPr="00165E55" w:rsidRDefault="009E614D" w:rsidP="0049630D">
            <w:pPr>
              <w:jc w:val="center"/>
              <w:rPr>
                <w:rFonts w:ascii="Times New Roman" w:hAnsi="Times New Roman" w:cs="Times New Roman"/>
                <w:b/>
              </w:rPr>
            </w:pPr>
            <w:r w:rsidRPr="00165E55">
              <w:rPr>
                <w:rFonts w:ascii="Times New Roman" w:hAnsi="Times New Roman" w:cs="Times New Roman"/>
                <w:b/>
              </w:rPr>
              <w:t>Number of Genes Profiled</w:t>
            </w:r>
          </w:p>
        </w:tc>
        <w:tc>
          <w:tcPr>
            <w:tcW w:w="3150" w:type="dxa"/>
            <w:vAlign w:val="center"/>
          </w:tcPr>
          <w:p w:rsidR="009E614D" w:rsidRPr="00165E55" w:rsidRDefault="009E614D" w:rsidP="0049630D">
            <w:pPr>
              <w:jc w:val="center"/>
              <w:rPr>
                <w:rFonts w:ascii="Times New Roman" w:hAnsi="Times New Roman" w:cs="Times New Roman"/>
                <w:b/>
              </w:rPr>
            </w:pPr>
            <w:r w:rsidRPr="00165E55">
              <w:rPr>
                <w:rFonts w:ascii="Times New Roman" w:hAnsi="Times New Roman" w:cs="Times New Roman"/>
                <w:b/>
              </w:rPr>
              <w:t>Time Points</w:t>
            </w:r>
          </w:p>
        </w:tc>
        <w:tc>
          <w:tcPr>
            <w:tcW w:w="1620" w:type="dxa"/>
            <w:vAlign w:val="center"/>
          </w:tcPr>
          <w:p w:rsidR="009E614D" w:rsidRPr="00165E55" w:rsidRDefault="009E614D" w:rsidP="0049630D">
            <w:pPr>
              <w:jc w:val="center"/>
              <w:rPr>
                <w:rFonts w:ascii="Times New Roman" w:hAnsi="Times New Roman" w:cs="Times New Roman"/>
                <w:b/>
              </w:rPr>
            </w:pPr>
            <w:r w:rsidRPr="00165E55">
              <w:rPr>
                <w:rFonts w:ascii="Times New Roman" w:hAnsi="Times New Roman" w:cs="Times New Roman"/>
                <w:b/>
              </w:rPr>
              <w:t>Design</w:t>
            </w:r>
          </w:p>
        </w:tc>
        <w:tc>
          <w:tcPr>
            <w:tcW w:w="1350" w:type="dxa"/>
            <w:vAlign w:val="center"/>
          </w:tcPr>
          <w:p w:rsidR="009E614D" w:rsidRPr="00165E55" w:rsidRDefault="009E614D" w:rsidP="0049630D">
            <w:pPr>
              <w:jc w:val="center"/>
              <w:rPr>
                <w:rFonts w:ascii="Times New Roman" w:hAnsi="Times New Roman" w:cs="Times New Roman"/>
                <w:b/>
              </w:rPr>
            </w:pPr>
            <w:r w:rsidRPr="00165E55">
              <w:rPr>
                <w:rFonts w:ascii="Times New Roman" w:hAnsi="Times New Roman" w:cs="Times New Roman"/>
                <w:b/>
              </w:rPr>
              <w:t>Total Number of Samples</w:t>
            </w:r>
          </w:p>
        </w:tc>
      </w:tr>
      <w:tr w:rsidR="009E614D" w:rsidTr="00185BF9">
        <w:trPr>
          <w:jc w:val="center"/>
        </w:trPr>
        <w:tc>
          <w:tcPr>
            <w:tcW w:w="1705" w:type="dxa"/>
            <w:vAlign w:val="center"/>
          </w:tcPr>
          <w:p w:rsidR="009E614D" w:rsidRDefault="009E614D" w:rsidP="00C0751D">
            <w:pPr>
              <w:jc w:val="center"/>
              <w:rPr>
                <w:rFonts w:ascii="Times New Roman" w:hAnsi="Times New Roman" w:cs="Times New Roman"/>
              </w:rPr>
            </w:pPr>
            <w:r>
              <w:rPr>
                <w:rFonts w:ascii="Times New Roman" w:hAnsi="Times New Roman" w:cs="Times New Roman"/>
              </w:rPr>
              <w:t xml:space="preserve">Microarray </w:t>
            </w:r>
            <w:r w:rsidR="00C0751D">
              <w:rPr>
                <w:rFonts w:ascii="Times New Roman" w:hAnsi="Times New Roman" w:cs="Times New Roman"/>
              </w:rPr>
              <w:t>D</w:t>
            </w:r>
            <w:r>
              <w:rPr>
                <w:rFonts w:ascii="Times New Roman" w:hAnsi="Times New Roman" w:cs="Times New Roman"/>
              </w:rPr>
              <w:t>ata</w:t>
            </w:r>
            <w:r w:rsidR="00C0751D">
              <w:rPr>
                <w:rFonts w:ascii="Times New Roman" w:hAnsi="Times New Roman" w:cs="Times New Roman"/>
              </w:rPr>
              <w:t xml:space="preserve"> Set</w:t>
            </w:r>
          </w:p>
        </w:tc>
        <w:tc>
          <w:tcPr>
            <w:tcW w:w="1530" w:type="dxa"/>
            <w:vAlign w:val="center"/>
          </w:tcPr>
          <w:p w:rsidR="009E614D" w:rsidRDefault="009E614D" w:rsidP="0049630D">
            <w:pPr>
              <w:jc w:val="center"/>
              <w:rPr>
                <w:rFonts w:ascii="Times New Roman" w:hAnsi="Times New Roman" w:cs="Times New Roman"/>
              </w:rPr>
            </w:pPr>
            <w:r>
              <w:rPr>
                <w:rFonts w:ascii="Times New Roman" w:hAnsi="Times New Roman" w:cs="Times New Roman"/>
              </w:rPr>
              <w:t>22, 277</w:t>
            </w:r>
          </w:p>
        </w:tc>
        <w:tc>
          <w:tcPr>
            <w:tcW w:w="3150" w:type="dxa"/>
            <w:vAlign w:val="center"/>
          </w:tcPr>
          <w:p w:rsidR="009E614D" w:rsidRDefault="009E614D" w:rsidP="0049630D">
            <w:pPr>
              <w:jc w:val="center"/>
              <w:rPr>
                <w:rFonts w:ascii="Times New Roman" w:hAnsi="Times New Roman" w:cs="Times New Roman"/>
              </w:rPr>
            </w:pPr>
            <w:r>
              <w:rPr>
                <w:rFonts w:ascii="Times New Roman" w:hAnsi="Times New Roman" w:cs="Times New Roman"/>
              </w:rPr>
              <w:t>10min, 15min, 20min, 30min, 45min, 1hr, 1.5hr, 2hr, 3hr, 4hr, 6hr, 8hr, 12hr, 24hr, 36hr, 48hr, 72hr after exposure to HRG or EGF (17 times points in total)</w:t>
            </w:r>
          </w:p>
        </w:tc>
        <w:tc>
          <w:tcPr>
            <w:tcW w:w="1620" w:type="dxa"/>
            <w:vAlign w:val="center"/>
          </w:tcPr>
          <w:p w:rsidR="009E614D" w:rsidRDefault="009E614D" w:rsidP="0049630D">
            <w:pPr>
              <w:jc w:val="center"/>
              <w:rPr>
                <w:rFonts w:ascii="Times New Roman" w:hAnsi="Times New Roman" w:cs="Times New Roman"/>
              </w:rPr>
            </w:pPr>
            <w:r>
              <w:rPr>
                <w:rFonts w:ascii="Times New Roman" w:hAnsi="Times New Roman" w:cs="Times New Roman"/>
              </w:rPr>
              <w:t xml:space="preserve">Control Sample + 17 time points </w:t>
            </w:r>
            <w:r w:rsidR="00165E55">
              <w:rPr>
                <w:rFonts w:ascii="Times New Roman" w:hAnsi="Times New Roman" w:cs="Times New Roman"/>
              </w:rPr>
              <w:t>(two</w:t>
            </w:r>
            <w:r>
              <w:rPr>
                <w:rFonts w:ascii="Times New Roman" w:hAnsi="Times New Roman" w:cs="Times New Roman"/>
              </w:rPr>
              <w:t xml:space="preserve"> replicates</w:t>
            </w:r>
            <w:r w:rsidR="00165E55">
              <w:rPr>
                <w:rFonts w:ascii="Times New Roman" w:hAnsi="Times New Roman" w:cs="Times New Roman"/>
              </w:rPr>
              <w:t xml:space="preserve"> per time point)</w:t>
            </w:r>
            <w:r>
              <w:rPr>
                <w:rFonts w:ascii="Times New Roman" w:hAnsi="Times New Roman" w:cs="Times New Roman"/>
              </w:rPr>
              <w:t>.</w:t>
            </w:r>
          </w:p>
        </w:tc>
        <w:tc>
          <w:tcPr>
            <w:tcW w:w="1350" w:type="dxa"/>
            <w:vAlign w:val="center"/>
          </w:tcPr>
          <w:p w:rsidR="009E614D" w:rsidRDefault="009E614D" w:rsidP="0049630D">
            <w:pPr>
              <w:jc w:val="center"/>
              <w:rPr>
                <w:rFonts w:ascii="Times New Roman" w:hAnsi="Times New Roman" w:cs="Times New Roman"/>
              </w:rPr>
            </w:pPr>
            <w:r>
              <w:rPr>
                <w:rFonts w:ascii="Times New Roman" w:hAnsi="Times New Roman" w:cs="Times New Roman"/>
              </w:rPr>
              <w:t>69 samples</w:t>
            </w:r>
          </w:p>
        </w:tc>
      </w:tr>
      <w:tr w:rsidR="009E614D" w:rsidTr="00185BF9">
        <w:trPr>
          <w:jc w:val="center"/>
        </w:trPr>
        <w:tc>
          <w:tcPr>
            <w:tcW w:w="1705" w:type="dxa"/>
            <w:vAlign w:val="center"/>
          </w:tcPr>
          <w:p w:rsidR="009E614D" w:rsidRDefault="009E614D" w:rsidP="00C0751D">
            <w:pPr>
              <w:jc w:val="center"/>
              <w:rPr>
                <w:rFonts w:ascii="Times New Roman" w:hAnsi="Times New Roman" w:cs="Times New Roman"/>
              </w:rPr>
            </w:pPr>
            <w:r>
              <w:rPr>
                <w:rFonts w:ascii="Times New Roman" w:hAnsi="Times New Roman" w:cs="Times New Roman"/>
              </w:rPr>
              <w:t xml:space="preserve">qPCR </w:t>
            </w:r>
            <w:r w:rsidR="00C0751D">
              <w:rPr>
                <w:rFonts w:ascii="Times New Roman" w:hAnsi="Times New Roman" w:cs="Times New Roman"/>
              </w:rPr>
              <w:t>D</w:t>
            </w:r>
            <w:r>
              <w:rPr>
                <w:rFonts w:ascii="Times New Roman" w:hAnsi="Times New Roman" w:cs="Times New Roman"/>
              </w:rPr>
              <w:t>ata</w:t>
            </w:r>
            <w:r w:rsidR="00C0751D">
              <w:rPr>
                <w:rFonts w:ascii="Times New Roman" w:hAnsi="Times New Roman" w:cs="Times New Roman"/>
              </w:rPr>
              <w:t xml:space="preserve"> Set</w:t>
            </w:r>
          </w:p>
        </w:tc>
        <w:tc>
          <w:tcPr>
            <w:tcW w:w="1530" w:type="dxa"/>
            <w:vAlign w:val="center"/>
          </w:tcPr>
          <w:p w:rsidR="009E614D" w:rsidRDefault="009E614D" w:rsidP="0049630D">
            <w:pPr>
              <w:jc w:val="center"/>
              <w:rPr>
                <w:rFonts w:ascii="Times New Roman" w:hAnsi="Times New Roman" w:cs="Times New Roman"/>
              </w:rPr>
            </w:pPr>
            <w:r>
              <w:rPr>
                <w:rFonts w:ascii="Times New Roman" w:hAnsi="Times New Roman" w:cs="Times New Roman"/>
              </w:rPr>
              <w:t>2, 352</w:t>
            </w:r>
          </w:p>
        </w:tc>
        <w:tc>
          <w:tcPr>
            <w:tcW w:w="3150" w:type="dxa"/>
            <w:vAlign w:val="center"/>
          </w:tcPr>
          <w:p w:rsidR="009E614D" w:rsidRDefault="009E614D" w:rsidP="0049630D">
            <w:pPr>
              <w:jc w:val="center"/>
              <w:rPr>
                <w:rFonts w:ascii="Times New Roman" w:hAnsi="Times New Roman" w:cs="Times New Roman"/>
              </w:rPr>
            </w:pPr>
            <w:r>
              <w:rPr>
                <w:rFonts w:ascii="Times New Roman" w:hAnsi="Times New Roman" w:cs="Times New Roman"/>
              </w:rPr>
              <w:t xml:space="preserve">0hr, </w:t>
            </w:r>
            <w:r w:rsidRPr="009E614D">
              <w:rPr>
                <w:rFonts w:ascii="Times New Roman" w:hAnsi="Times New Roman" w:cs="Times New Roman"/>
              </w:rPr>
              <w:t>0.5</w:t>
            </w:r>
            <w:r>
              <w:rPr>
                <w:rFonts w:ascii="Times New Roman" w:hAnsi="Times New Roman" w:cs="Times New Roman"/>
              </w:rPr>
              <w:t>hr</w:t>
            </w:r>
            <w:r w:rsidRPr="009E614D">
              <w:rPr>
                <w:rFonts w:ascii="Times New Roman" w:hAnsi="Times New Roman" w:cs="Times New Roman"/>
              </w:rPr>
              <w:t>, 1</w:t>
            </w:r>
            <w:r>
              <w:rPr>
                <w:rFonts w:ascii="Times New Roman" w:hAnsi="Times New Roman" w:cs="Times New Roman"/>
              </w:rPr>
              <w:t>hr</w:t>
            </w:r>
            <w:r w:rsidRPr="009E614D">
              <w:rPr>
                <w:rFonts w:ascii="Times New Roman" w:hAnsi="Times New Roman" w:cs="Times New Roman"/>
              </w:rPr>
              <w:t>, 2</w:t>
            </w:r>
            <w:r>
              <w:rPr>
                <w:rFonts w:ascii="Times New Roman" w:hAnsi="Times New Roman" w:cs="Times New Roman"/>
              </w:rPr>
              <w:t>hr</w:t>
            </w:r>
            <w:r w:rsidRPr="009E614D">
              <w:rPr>
                <w:rFonts w:ascii="Times New Roman" w:hAnsi="Times New Roman" w:cs="Times New Roman"/>
              </w:rPr>
              <w:t>, 4</w:t>
            </w:r>
            <w:r>
              <w:rPr>
                <w:rFonts w:ascii="Times New Roman" w:hAnsi="Times New Roman" w:cs="Times New Roman"/>
              </w:rPr>
              <w:t>hr</w:t>
            </w:r>
            <w:r w:rsidRPr="009E614D">
              <w:rPr>
                <w:rFonts w:ascii="Times New Roman" w:hAnsi="Times New Roman" w:cs="Times New Roman"/>
              </w:rPr>
              <w:t xml:space="preserve"> and 6 </w:t>
            </w:r>
            <w:proofErr w:type="spellStart"/>
            <w:r w:rsidRPr="009E614D">
              <w:rPr>
                <w:rFonts w:ascii="Times New Roman" w:hAnsi="Times New Roman" w:cs="Times New Roman"/>
              </w:rPr>
              <w:t>hr</w:t>
            </w:r>
            <w:proofErr w:type="spellEnd"/>
            <w:r>
              <w:rPr>
                <w:rFonts w:ascii="Times New Roman" w:hAnsi="Times New Roman" w:cs="Times New Roman"/>
              </w:rPr>
              <w:t xml:space="preserve"> after exposure to HRG or EGF (6</w:t>
            </w:r>
            <w:r w:rsidRPr="009E614D">
              <w:rPr>
                <w:rFonts w:ascii="Times New Roman" w:hAnsi="Times New Roman" w:cs="Times New Roman"/>
              </w:rPr>
              <w:t xml:space="preserve"> time points</w:t>
            </w:r>
            <w:r>
              <w:rPr>
                <w:rFonts w:ascii="Times New Roman" w:hAnsi="Times New Roman" w:cs="Times New Roman"/>
              </w:rPr>
              <w:t xml:space="preserve"> in total)</w:t>
            </w:r>
          </w:p>
        </w:tc>
        <w:tc>
          <w:tcPr>
            <w:tcW w:w="1620" w:type="dxa"/>
            <w:vAlign w:val="center"/>
          </w:tcPr>
          <w:p w:rsidR="009E614D" w:rsidRDefault="009E614D" w:rsidP="0049630D">
            <w:pPr>
              <w:jc w:val="center"/>
              <w:rPr>
                <w:rFonts w:ascii="Times New Roman" w:hAnsi="Times New Roman" w:cs="Times New Roman"/>
              </w:rPr>
            </w:pPr>
            <w:r>
              <w:rPr>
                <w:rFonts w:ascii="Times New Roman" w:hAnsi="Times New Roman" w:cs="Times New Roman"/>
              </w:rPr>
              <w:t xml:space="preserve">6 time points </w:t>
            </w:r>
            <w:r w:rsidR="00165E55">
              <w:rPr>
                <w:rFonts w:ascii="Times New Roman" w:hAnsi="Times New Roman" w:cs="Times New Roman"/>
              </w:rPr>
              <w:t>(</w:t>
            </w:r>
            <w:r>
              <w:rPr>
                <w:rFonts w:ascii="Times New Roman" w:hAnsi="Times New Roman" w:cs="Times New Roman"/>
              </w:rPr>
              <w:t>one sample per</w:t>
            </w:r>
            <w:r w:rsidR="00165E55">
              <w:rPr>
                <w:rFonts w:ascii="Times New Roman" w:hAnsi="Times New Roman" w:cs="Times New Roman"/>
              </w:rPr>
              <w:t xml:space="preserve"> time point)</w:t>
            </w:r>
          </w:p>
        </w:tc>
        <w:tc>
          <w:tcPr>
            <w:tcW w:w="1350" w:type="dxa"/>
            <w:vAlign w:val="center"/>
          </w:tcPr>
          <w:p w:rsidR="009E614D" w:rsidRDefault="00165E55" w:rsidP="0049630D">
            <w:pPr>
              <w:jc w:val="center"/>
              <w:rPr>
                <w:rFonts w:ascii="Times New Roman" w:hAnsi="Times New Roman" w:cs="Times New Roman"/>
              </w:rPr>
            </w:pPr>
            <w:r>
              <w:rPr>
                <w:rFonts w:ascii="Times New Roman" w:hAnsi="Times New Roman" w:cs="Times New Roman"/>
              </w:rPr>
              <w:t>12 samples</w:t>
            </w:r>
          </w:p>
        </w:tc>
      </w:tr>
    </w:tbl>
    <w:p w:rsidR="00463B97" w:rsidRDefault="0044728B">
      <w:pPr>
        <w:rPr>
          <w:rFonts w:ascii="Times New Roman" w:hAnsi="Times New Roman" w:cs="Times New Roman"/>
        </w:rPr>
      </w:pPr>
      <w:r>
        <w:rPr>
          <w:rFonts w:ascii="Times New Roman" w:hAnsi="Times New Roman" w:cs="Times New Roman"/>
        </w:rPr>
        <w:t xml:space="preserve"> </w:t>
      </w:r>
    </w:p>
    <w:p w:rsidR="0044728B" w:rsidRPr="00BD1863" w:rsidRDefault="0049630D">
      <w:pPr>
        <w:rPr>
          <w:rFonts w:ascii="Times New Roman" w:hAnsi="Times New Roman" w:cs="Times New Roman"/>
          <w:i/>
        </w:rPr>
      </w:pPr>
      <w:r w:rsidRPr="00BD1863">
        <w:rPr>
          <w:rFonts w:ascii="Times New Roman" w:hAnsi="Times New Roman" w:cs="Times New Roman"/>
          <w:i/>
        </w:rPr>
        <w:t>Comparing sets of stimulus-specific and generic genes with those identified by the CAGE data set.</w:t>
      </w:r>
    </w:p>
    <w:p w:rsidR="0049630D" w:rsidRDefault="0049630D" w:rsidP="00EC632F">
      <w:pPr>
        <w:jc w:val="both"/>
        <w:rPr>
          <w:rFonts w:ascii="Times New Roman" w:hAnsi="Times New Roman" w:cs="Times New Roman"/>
        </w:rPr>
      </w:pPr>
      <w:r w:rsidRPr="0049630D">
        <w:rPr>
          <w:rFonts w:ascii="Times New Roman" w:hAnsi="Times New Roman" w:cs="Times New Roman"/>
        </w:rPr>
        <w:t>We first</w:t>
      </w:r>
      <w:r>
        <w:rPr>
          <w:rFonts w:ascii="Times New Roman" w:hAnsi="Times New Roman" w:cs="Times New Roman"/>
        </w:rPr>
        <w:t xml:space="preserve"> identified the genes that had stimulus-specific expression profiles (highly divergent between EGF and HRG) or generic expression profiles (highly correlated between EGF and HRG) in the qPCR and microarray data sets. We compared the overlap in these </w:t>
      </w:r>
      <w:r w:rsidR="00F570D9">
        <w:rPr>
          <w:rFonts w:ascii="Times New Roman" w:hAnsi="Times New Roman" w:cs="Times New Roman"/>
        </w:rPr>
        <w:t xml:space="preserve">gene </w:t>
      </w:r>
      <w:r>
        <w:rPr>
          <w:rFonts w:ascii="Times New Roman" w:hAnsi="Times New Roman" w:cs="Times New Roman"/>
        </w:rPr>
        <w:t xml:space="preserve">lists with those obtained from the CAGE data set. A statistically significant overlap was observed for the microarray data set (two-sample Fisher’s exact test, P-value = </w:t>
      </w:r>
      <w:r w:rsidRPr="0044728B">
        <w:rPr>
          <w:rFonts w:ascii="Times New Roman" w:hAnsi="Times New Roman" w:cs="Times New Roman"/>
        </w:rPr>
        <w:t>1.3</w:t>
      </w:r>
      <w:r w:rsidR="00582FBC">
        <w:rPr>
          <w:rFonts w:ascii="Times New Roman" w:hAnsi="Times New Roman" w:cs="Times New Roman"/>
        </w:rPr>
        <w:t>8</w:t>
      </w:r>
      <w:r>
        <w:rPr>
          <w:rFonts w:ascii="Times New Roman" w:hAnsi="Times New Roman" w:cs="Times New Roman"/>
        </w:rPr>
        <w:t>×10</w:t>
      </w:r>
      <w:r w:rsidRPr="0049630D">
        <w:rPr>
          <w:rFonts w:ascii="Times New Roman" w:hAnsi="Times New Roman" w:cs="Times New Roman"/>
          <w:vertAlign w:val="superscript"/>
        </w:rPr>
        <w:t>-6</w:t>
      </w:r>
      <w:r w:rsidRPr="00582FBC">
        <w:rPr>
          <w:rFonts w:ascii="Times New Roman" w:hAnsi="Times New Roman" w:cs="Times New Roman"/>
        </w:rPr>
        <w:t xml:space="preserve"> with</w:t>
      </w:r>
      <w:r>
        <w:rPr>
          <w:rFonts w:ascii="Times New Roman" w:hAnsi="Times New Roman" w:cs="Times New Roman"/>
          <w:vertAlign w:val="superscript"/>
        </w:rPr>
        <w:t xml:space="preserve"> </w:t>
      </w:r>
      <w:r w:rsidR="00582FBC">
        <w:rPr>
          <w:rFonts w:ascii="Times New Roman" w:hAnsi="Times New Roman" w:cs="Times New Roman"/>
        </w:rPr>
        <w:t xml:space="preserve">OR = </w:t>
      </w:r>
      <w:r w:rsidR="00582FBC" w:rsidRPr="0044728B">
        <w:rPr>
          <w:rFonts w:ascii="Times New Roman" w:hAnsi="Times New Roman" w:cs="Times New Roman"/>
        </w:rPr>
        <w:t>2.24</w:t>
      </w:r>
      <w:r w:rsidR="00FA3FD6">
        <w:rPr>
          <w:rFonts w:ascii="Times New Roman" w:hAnsi="Times New Roman" w:cs="Times New Roman"/>
        </w:rPr>
        <w:t>, see Table 2</w:t>
      </w:r>
      <w:r w:rsidRPr="0049630D">
        <w:rPr>
          <w:rFonts w:ascii="Times New Roman" w:hAnsi="Times New Roman" w:cs="Times New Roman"/>
        </w:rPr>
        <w:t>)</w:t>
      </w:r>
      <w:r>
        <w:rPr>
          <w:rFonts w:ascii="Times New Roman" w:hAnsi="Times New Roman" w:cs="Times New Roman"/>
        </w:rPr>
        <w:t>.</w:t>
      </w:r>
    </w:p>
    <w:p w:rsidR="0049630D" w:rsidRDefault="0049630D" w:rsidP="0049630D">
      <w:pPr>
        <w:jc w:val="center"/>
        <w:rPr>
          <w:rFonts w:ascii="Times New Roman" w:hAnsi="Times New Roman" w:cs="Times New Roman"/>
        </w:rPr>
      </w:pPr>
      <w:r w:rsidRPr="0049630D">
        <w:rPr>
          <w:rFonts w:ascii="Times New Roman" w:hAnsi="Times New Roman" w:cs="Times New Roman"/>
          <w:b/>
        </w:rPr>
        <w:t>Table 2.</w:t>
      </w:r>
      <w:r>
        <w:rPr>
          <w:rFonts w:ascii="Times New Roman" w:hAnsi="Times New Roman" w:cs="Times New Roman"/>
        </w:rPr>
        <w:t xml:space="preserve"> Overlap in stimulus-specific and generic genes between the microarray data set and the CAGE data set.</w:t>
      </w:r>
    </w:p>
    <w:tbl>
      <w:tblPr>
        <w:tblStyle w:val="TableGrid"/>
        <w:tblW w:w="0" w:type="auto"/>
        <w:jc w:val="center"/>
        <w:tblLook w:val="04A0" w:firstRow="1" w:lastRow="0" w:firstColumn="1" w:lastColumn="0" w:noHBand="0" w:noVBand="1"/>
      </w:tblPr>
      <w:tblGrid>
        <w:gridCol w:w="2401"/>
        <w:gridCol w:w="2189"/>
        <w:gridCol w:w="2520"/>
      </w:tblGrid>
      <w:tr w:rsidR="0049630D" w:rsidTr="00185BF9">
        <w:trPr>
          <w:jc w:val="center"/>
        </w:trPr>
        <w:tc>
          <w:tcPr>
            <w:tcW w:w="2401" w:type="dxa"/>
            <w:vAlign w:val="center"/>
          </w:tcPr>
          <w:p w:rsidR="0049630D" w:rsidRDefault="0049630D" w:rsidP="0049630D">
            <w:pPr>
              <w:jc w:val="center"/>
              <w:rPr>
                <w:rFonts w:ascii="Times New Roman" w:hAnsi="Times New Roman" w:cs="Times New Roman"/>
              </w:rPr>
            </w:pPr>
          </w:p>
        </w:tc>
        <w:tc>
          <w:tcPr>
            <w:tcW w:w="2189" w:type="dxa"/>
            <w:vAlign w:val="center"/>
          </w:tcPr>
          <w:p w:rsidR="0049630D" w:rsidRDefault="0049630D" w:rsidP="0049630D">
            <w:pPr>
              <w:jc w:val="center"/>
              <w:rPr>
                <w:rFonts w:ascii="Times New Roman" w:hAnsi="Times New Roman" w:cs="Times New Roman"/>
              </w:rPr>
            </w:pPr>
            <w:r>
              <w:rPr>
                <w:rFonts w:ascii="Times New Roman" w:hAnsi="Times New Roman" w:cs="Times New Roman"/>
              </w:rPr>
              <w:t>Microarray-identified Generic Genes</w:t>
            </w:r>
          </w:p>
        </w:tc>
        <w:tc>
          <w:tcPr>
            <w:tcW w:w="2520" w:type="dxa"/>
            <w:vAlign w:val="center"/>
          </w:tcPr>
          <w:p w:rsidR="0049630D" w:rsidRDefault="0049630D" w:rsidP="0049630D">
            <w:pPr>
              <w:jc w:val="center"/>
              <w:rPr>
                <w:rFonts w:ascii="Times New Roman" w:hAnsi="Times New Roman" w:cs="Times New Roman"/>
              </w:rPr>
            </w:pPr>
            <w:r>
              <w:rPr>
                <w:rFonts w:ascii="Times New Roman" w:hAnsi="Times New Roman" w:cs="Times New Roman"/>
              </w:rPr>
              <w:t>Microarray-identified Stimulus-specific Genes</w:t>
            </w:r>
          </w:p>
        </w:tc>
      </w:tr>
      <w:tr w:rsidR="0049630D" w:rsidTr="00185BF9">
        <w:trPr>
          <w:jc w:val="center"/>
        </w:trPr>
        <w:tc>
          <w:tcPr>
            <w:tcW w:w="2401" w:type="dxa"/>
            <w:vAlign w:val="center"/>
          </w:tcPr>
          <w:p w:rsidR="0049630D" w:rsidRDefault="0049630D" w:rsidP="0049630D">
            <w:pPr>
              <w:jc w:val="center"/>
              <w:rPr>
                <w:rFonts w:ascii="Times New Roman" w:hAnsi="Times New Roman" w:cs="Times New Roman"/>
              </w:rPr>
            </w:pPr>
            <w:r>
              <w:rPr>
                <w:rFonts w:ascii="Times New Roman" w:hAnsi="Times New Roman" w:cs="Times New Roman"/>
              </w:rPr>
              <w:t>CAGE-identified Generic Genes</w:t>
            </w:r>
          </w:p>
        </w:tc>
        <w:tc>
          <w:tcPr>
            <w:tcW w:w="2189" w:type="dxa"/>
            <w:vAlign w:val="center"/>
          </w:tcPr>
          <w:p w:rsidR="0049630D" w:rsidRDefault="0049630D" w:rsidP="0049630D">
            <w:pPr>
              <w:jc w:val="center"/>
              <w:rPr>
                <w:rFonts w:ascii="Times New Roman" w:hAnsi="Times New Roman" w:cs="Times New Roman"/>
              </w:rPr>
            </w:pPr>
            <w:r>
              <w:rPr>
                <w:rFonts w:ascii="Times New Roman" w:hAnsi="Times New Roman" w:cs="Times New Roman"/>
              </w:rPr>
              <w:t>133</w:t>
            </w:r>
          </w:p>
        </w:tc>
        <w:tc>
          <w:tcPr>
            <w:tcW w:w="2520" w:type="dxa"/>
            <w:vAlign w:val="center"/>
          </w:tcPr>
          <w:p w:rsidR="0049630D" w:rsidRDefault="0049630D" w:rsidP="0049630D">
            <w:pPr>
              <w:jc w:val="center"/>
              <w:rPr>
                <w:rFonts w:ascii="Times New Roman" w:hAnsi="Times New Roman" w:cs="Times New Roman"/>
              </w:rPr>
            </w:pPr>
            <w:r>
              <w:rPr>
                <w:rFonts w:ascii="Times New Roman" w:hAnsi="Times New Roman" w:cs="Times New Roman"/>
              </w:rPr>
              <w:t>74</w:t>
            </w:r>
          </w:p>
        </w:tc>
      </w:tr>
      <w:tr w:rsidR="0049630D" w:rsidTr="00185BF9">
        <w:trPr>
          <w:jc w:val="center"/>
        </w:trPr>
        <w:tc>
          <w:tcPr>
            <w:tcW w:w="2401" w:type="dxa"/>
            <w:vAlign w:val="center"/>
          </w:tcPr>
          <w:p w:rsidR="0049630D" w:rsidRDefault="0049630D" w:rsidP="0049630D">
            <w:pPr>
              <w:jc w:val="center"/>
              <w:rPr>
                <w:rFonts w:ascii="Times New Roman" w:hAnsi="Times New Roman" w:cs="Times New Roman"/>
              </w:rPr>
            </w:pPr>
            <w:r>
              <w:rPr>
                <w:rFonts w:ascii="Times New Roman" w:hAnsi="Times New Roman" w:cs="Times New Roman"/>
              </w:rPr>
              <w:t>CAGE-identified Stimulus-specific Genes</w:t>
            </w:r>
          </w:p>
        </w:tc>
        <w:tc>
          <w:tcPr>
            <w:tcW w:w="2189" w:type="dxa"/>
            <w:vAlign w:val="center"/>
          </w:tcPr>
          <w:p w:rsidR="0049630D" w:rsidRDefault="0049630D" w:rsidP="0049630D">
            <w:pPr>
              <w:jc w:val="center"/>
              <w:rPr>
                <w:rFonts w:ascii="Times New Roman" w:hAnsi="Times New Roman" w:cs="Times New Roman"/>
              </w:rPr>
            </w:pPr>
            <w:r>
              <w:rPr>
                <w:rFonts w:ascii="Times New Roman" w:hAnsi="Times New Roman" w:cs="Times New Roman"/>
              </w:rPr>
              <w:t>246</w:t>
            </w:r>
          </w:p>
        </w:tc>
        <w:tc>
          <w:tcPr>
            <w:tcW w:w="2520" w:type="dxa"/>
            <w:vAlign w:val="center"/>
          </w:tcPr>
          <w:p w:rsidR="0049630D" w:rsidRDefault="0049630D" w:rsidP="0049630D">
            <w:pPr>
              <w:jc w:val="center"/>
              <w:rPr>
                <w:rFonts w:ascii="Times New Roman" w:hAnsi="Times New Roman" w:cs="Times New Roman"/>
              </w:rPr>
            </w:pPr>
            <w:r>
              <w:rPr>
                <w:rFonts w:ascii="Times New Roman" w:hAnsi="Times New Roman" w:cs="Times New Roman"/>
              </w:rPr>
              <w:t>307</w:t>
            </w:r>
          </w:p>
        </w:tc>
      </w:tr>
    </w:tbl>
    <w:p w:rsidR="0049630D" w:rsidRDefault="0049630D">
      <w:pPr>
        <w:rPr>
          <w:rFonts w:ascii="Times New Roman" w:hAnsi="Times New Roman" w:cs="Times New Roman"/>
        </w:rPr>
      </w:pPr>
    </w:p>
    <w:p w:rsidR="00EC632F" w:rsidRDefault="00EC632F" w:rsidP="00EC632F">
      <w:pPr>
        <w:jc w:val="center"/>
        <w:rPr>
          <w:rFonts w:ascii="Times New Roman" w:hAnsi="Times New Roman" w:cs="Times New Roman"/>
        </w:rPr>
      </w:pPr>
      <w:r w:rsidRPr="0049630D">
        <w:rPr>
          <w:rFonts w:ascii="Times New Roman" w:hAnsi="Times New Roman" w:cs="Times New Roman"/>
          <w:b/>
        </w:rPr>
        <w:t>Table</w:t>
      </w:r>
      <w:r>
        <w:rPr>
          <w:rFonts w:ascii="Times New Roman" w:hAnsi="Times New Roman" w:cs="Times New Roman"/>
          <w:b/>
        </w:rPr>
        <w:t xml:space="preserve"> 3</w:t>
      </w:r>
      <w:r w:rsidRPr="0049630D">
        <w:rPr>
          <w:rFonts w:ascii="Times New Roman" w:hAnsi="Times New Roman" w:cs="Times New Roman"/>
          <w:b/>
        </w:rPr>
        <w:t>.</w:t>
      </w:r>
      <w:r>
        <w:rPr>
          <w:rFonts w:ascii="Times New Roman" w:hAnsi="Times New Roman" w:cs="Times New Roman"/>
        </w:rPr>
        <w:t xml:space="preserve"> Overlap in stimulus-specific and generic genes between the qPCR data set and the CAGE data set.</w:t>
      </w:r>
    </w:p>
    <w:tbl>
      <w:tblPr>
        <w:tblStyle w:val="TableGrid"/>
        <w:tblW w:w="0" w:type="auto"/>
        <w:jc w:val="center"/>
        <w:tblLook w:val="04A0" w:firstRow="1" w:lastRow="0" w:firstColumn="1" w:lastColumn="0" w:noHBand="0" w:noVBand="1"/>
      </w:tblPr>
      <w:tblGrid>
        <w:gridCol w:w="2401"/>
        <w:gridCol w:w="2189"/>
        <w:gridCol w:w="2520"/>
      </w:tblGrid>
      <w:tr w:rsidR="0044728B" w:rsidTr="00185BF9">
        <w:trPr>
          <w:jc w:val="center"/>
        </w:trPr>
        <w:tc>
          <w:tcPr>
            <w:tcW w:w="2401" w:type="dxa"/>
            <w:vAlign w:val="center"/>
          </w:tcPr>
          <w:p w:rsidR="0044728B" w:rsidRDefault="0044728B" w:rsidP="00EC632F">
            <w:pPr>
              <w:jc w:val="center"/>
              <w:rPr>
                <w:rFonts w:ascii="Times New Roman" w:hAnsi="Times New Roman" w:cs="Times New Roman"/>
              </w:rPr>
            </w:pPr>
          </w:p>
        </w:tc>
        <w:tc>
          <w:tcPr>
            <w:tcW w:w="2189" w:type="dxa"/>
            <w:vAlign w:val="center"/>
          </w:tcPr>
          <w:p w:rsidR="0044728B" w:rsidRDefault="0044728B" w:rsidP="00EC632F">
            <w:pPr>
              <w:jc w:val="center"/>
              <w:rPr>
                <w:rFonts w:ascii="Times New Roman" w:hAnsi="Times New Roman" w:cs="Times New Roman"/>
              </w:rPr>
            </w:pPr>
            <w:proofErr w:type="spellStart"/>
            <w:r>
              <w:rPr>
                <w:rFonts w:ascii="Times New Roman" w:hAnsi="Times New Roman" w:cs="Times New Roman"/>
              </w:rPr>
              <w:t>qRT</w:t>
            </w:r>
            <w:proofErr w:type="spellEnd"/>
            <w:r>
              <w:rPr>
                <w:rFonts w:ascii="Times New Roman" w:hAnsi="Times New Roman" w:cs="Times New Roman"/>
              </w:rPr>
              <w:t>-PCR-identified Generic Genes</w:t>
            </w:r>
          </w:p>
        </w:tc>
        <w:tc>
          <w:tcPr>
            <w:tcW w:w="2520" w:type="dxa"/>
            <w:vAlign w:val="center"/>
          </w:tcPr>
          <w:p w:rsidR="0044728B" w:rsidRDefault="0044728B" w:rsidP="00EC632F">
            <w:pPr>
              <w:jc w:val="center"/>
              <w:rPr>
                <w:rFonts w:ascii="Times New Roman" w:hAnsi="Times New Roman" w:cs="Times New Roman"/>
              </w:rPr>
            </w:pPr>
            <w:proofErr w:type="spellStart"/>
            <w:r>
              <w:rPr>
                <w:rFonts w:ascii="Times New Roman" w:hAnsi="Times New Roman" w:cs="Times New Roman"/>
              </w:rPr>
              <w:t>qRT</w:t>
            </w:r>
            <w:proofErr w:type="spellEnd"/>
            <w:r>
              <w:rPr>
                <w:rFonts w:ascii="Times New Roman" w:hAnsi="Times New Roman" w:cs="Times New Roman"/>
              </w:rPr>
              <w:t>-PCR-identified Stimulus-specific Genes</w:t>
            </w:r>
          </w:p>
        </w:tc>
      </w:tr>
      <w:tr w:rsidR="0044728B" w:rsidTr="00185BF9">
        <w:trPr>
          <w:jc w:val="center"/>
        </w:trPr>
        <w:tc>
          <w:tcPr>
            <w:tcW w:w="2401" w:type="dxa"/>
            <w:vAlign w:val="center"/>
          </w:tcPr>
          <w:p w:rsidR="0044728B" w:rsidRDefault="0044728B" w:rsidP="00EC632F">
            <w:pPr>
              <w:jc w:val="center"/>
              <w:rPr>
                <w:rFonts w:ascii="Times New Roman" w:hAnsi="Times New Roman" w:cs="Times New Roman"/>
              </w:rPr>
            </w:pPr>
            <w:r>
              <w:rPr>
                <w:rFonts w:ascii="Times New Roman" w:hAnsi="Times New Roman" w:cs="Times New Roman"/>
              </w:rPr>
              <w:t>CAGE-identified Generic Genes</w:t>
            </w:r>
          </w:p>
        </w:tc>
        <w:tc>
          <w:tcPr>
            <w:tcW w:w="2189" w:type="dxa"/>
            <w:vAlign w:val="center"/>
          </w:tcPr>
          <w:p w:rsidR="0044728B" w:rsidRDefault="0044728B" w:rsidP="00EC632F">
            <w:pPr>
              <w:jc w:val="center"/>
              <w:rPr>
                <w:rFonts w:ascii="Times New Roman" w:hAnsi="Times New Roman" w:cs="Times New Roman"/>
              </w:rPr>
            </w:pPr>
            <w:r>
              <w:rPr>
                <w:rFonts w:ascii="Times New Roman" w:hAnsi="Times New Roman" w:cs="Times New Roman"/>
              </w:rPr>
              <w:t>32</w:t>
            </w:r>
          </w:p>
        </w:tc>
        <w:tc>
          <w:tcPr>
            <w:tcW w:w="2520" w:type="dxa"/>
            <w:vAlign w:val="center"/>
          </w:tcPr>
          <w:p w:rsidR="0044728B" w:rsidRDefault="0044728B" w:rsidP="00EC632F">
            <w:pPr>
              <w:jc w:val="center"/>
              <w:rPr>
                <w:rFonts w:ascii="Times New Roman" w:hAnsi="Times New Roman" w:cs="Times New Roman"/>
              </w:rPr>
            </w:pPr>
            <w:r>
              <w:rPr>
                <w:rFonts w:ascii="Times New Roman" w:hAnsi="Times New Roman" w:cs="Times New Roman"/>
              </w:rPr>
              <w:t>24</w:t>
            </w:r>
          </w:p>
        </w:tc>
      </w:tr>
      <w:tr w:rsidR="0044728B" w:rsidTr="00185BF9">
        <w:trPr>
          <w:jc w:val="center"/>
        </w:trPr>
        <w:tc>
          <w:tcPr>
            <w:tcW w:w="2401" w:type="dxa"/>
            <w:vAlign w:val="center"/>
          </w:tcPr>
          <w:p w:rsidR="0044728B" w:rsidRDefault="0044728B" w:rsidP="00EC632F">
            <w:pPr>
              <w:jc w:val="center"/>
              <w:rPr>
                <w:rFonts w:ascii="Times New Roman" w:hAnsi="Times New Roman" w:cs="Times New Roman"/>
              </w:rPr>
            </w:pPr>
            <w:r>
              <w:rPr>
                <w:rFonts w:ascii="Times New Roman" w:hAnsi="Times New Roman" w:cs="Times New Roman"/>
              </w:rPr>
              <w:t>CAGE-identified Stimulus-specific Genes</w:t>
            </w:r>
          </w:p>
        </w:tc>
        <w:tc>
          <w:tcPr>
            <w:tcW w:w="2189" w:type="dxa"/>
            <w:vAlign w:val="center"/>
          </w:tcPr>
          <w:p w:rsidR="0044728B" w:rsidRDefault="0044728B" w:rsidP="00EC632F">
            <w:pPr>
              <w:jc w:val="center"/>
              <w:rPr>
                <w:rFonts w:ascii="Times New Roman" w:hAnsi="Times New Roman" w:cs="Times New Roman"/>
              </w:rPr>
            </w:pPr>
            <w:r>
              <w:rPr>
                <w:rFonts w:ascii="Times New Roman" w:hAnsi="Times New Roman" w:cs="Times New Roman"/>
              </w:rPr>
              <w:t>62</w:t>
            </w:r>
          </w:p>
        </w:tc>
        <w:tc>
          <w:tcPr>
            <w:tcW w:w="2520" w:type="dxa"/>
            <w:vAlign w:val="center"/>
          </w:tcPr>
          <w:p w:rsidR="0044728B" w:rsidRDefault="0044728B" w:rsidP="00EC632F">
            <w:pPr>
              <w:jc w:val="center"/>
              <w:rPr>
                <w:rFonts w:ascii="Times New Roman" w:hAnsi="Times New Roman" w:cs="Times New Roman"/>
              </w:rPr>
            </w:pPr>
            <w:r>
              <w:rPr>
                <w:rFonts w:ascii="Times New Roman" w:hAnsi="Times New Roman" w:cs="Times New Roman"/>
              </w:rPr>
              <w:t>41</w:t>
            </w:r>
          </w:p>
        </w:tc>
      </w:tr>
    </w:tbl>
    <w:p w:rsidR="0044728B" w:rsidRDefault="0044728B">
      <w:pPr>
        <w:rPr>
          <w:rFonts w:ascii="Times New Roman" w:hAnsi="Times New Roman" w:cs="Times New Roman"/>
        </w:rPr>
      </w:pPr>
    </w:p>
    <w:p w:rsidR="00F570D9" w:rsidRDefault="00F570D9" w:rsidP="00F570D9">
      <w:pPr>
        <w:rPr>
          <w:rFonts w:ascii="Times New Roman" w:hAnsi="Times New Roman" w:cs="Times New Roman"/>
        </w:rPr>
      </w:pPr>
      <w:r>
        <w:rPr>
          <w:rFonts w:ascii="Times New Roman" w:hAnsi="Times New Roman" w:cs="Times New Roman"/>
        </w:rPr>
        <w:t xml:space="preserve">For the qPCR data set, the overlap observed was not statistically significant (P-value = 0.738, see Table 3). There were two factors that could have contributed to the lack of significance observed in the overlap of these gene lists. First, the </w:t>
      </w:r>
      <w:r w:rsidR="00AE00C1">
        <w:rPr>
          <w:rFonts w:ascii="Times New Roman" w:hAnsi="Times New Roman" w:cs="Times New Roman"/>
        </w:rPr>
        <w:t xml:space="preserve">resolution of gene coverage </w:t>
      </w:r>
      <w:r>
        <w:rPr>
          <w:rFonts w:ascii="Times New Roman" w:hAnsi="Times New Roman" w:cs="Times New Roman"/>
        </w:rPr>
        <w:t xml:space="preserve">was not the same in the qPCR data set, where only transcription factors were profiled, compared to the CAGE data set which was genome-wide. Second, the time course design was </w:t>
      </w:r>
      <w:r w:rsidR="00AE00C1">
        <w:rPr>
          <w:rFonts w:ascii="Times New Roman" w:hAnsi="Times New Roman" w:cs="Times New Roman"/>
        </w:rPr>
        <w:t xml:space="preserve">sparser </w:t>
      </w:r>
      <w:r>
        <w:rPr>
          <w:rFonts w:ascii="Times New Roman" w:hAnsi="Times New Roman" w:cs="Times New Roman"/>
        </w:rPr>
        <w:t xml:space="preserve">in the qPCR data </w:t>
      </w:r>
      <w:r>
        <w:rPr>
          <w:rFonts w:ascii="Times New Roman" w:hAnsi="Times New Roman" w:cs="Times New Roman"/>
        </w:rPr>
        <w:lastRenderedPageBreak/>
        <w:t>set where data was collected from six time points during 0 to 6hrs post-exposure to EGF or HRG, whereas for the CAGE data set, there were 16 time points between 0 to 8hrs post-exposure to EGF or HRG. While the time intervals overlap between the CAGE and qPCR data sets, it is possible that with the finer sampling in the CAGE data set, it was easier for the models to distinguish genes with stimulus-specific versus generic expression profiles. Due to the lack of significant overlap between CAGE and qPCR data sets, we chose to consider the comparison of further results between the CAGE and microarray data sets only.</w:t>
      </w:r>
    </w:p>
    <w:p w:rsidR="005214C8" w:rsidRDefault="00AE00C1" w:rsidP="00F570D9">
      <w:pPr>
        <w:rPr>
          <w:rFonts w:ascii="Times New Roman" w:hAnsi="Times New Roman" w:cs="Times New Roman"/>
        </w:rPr>
      </w:pPr>
      <w:r>
        <w:rPr>
          <w:rFonts w:ascii="Times New Roman" w:hAnsi="Times New Roman" w:cs="Times New Roman"/>
        </w:rPr>
        <w:t xml:space="preserve">It is worth </w:t>
      </w:r>
      <w:r w:rsidR="00E96DAA">
        <w:rPr>
          <w:rFonts w:ascii="Times New Roman" w:hAnsi="Times New Roman" w:cs="Times New Roman"/>
        </w:rPr>
        <w:t xml:space="preserve">highlighting </w:t>
      </w:r>
      <w:r>
        <w:rPr>
          <w:rFonts w:ascii="Times New Roman" w:hAnsi="Times New Roman" w:cs="Times New Roman"/>
        </w:rPr>
        <w:t xml:space="preserve">that amongst the 32 generic genes that were classified consistently in both CAGE and qPCR data sets, there </w:t>
      </w:r>
      <w:r w:rsidR="00E96DAA">
        <w:rPr>
          <w:rFonts w:ascii="Times New Roman" w:hAnsi="Times New Roman" w:cs="Times New Roman"/>
        </w:rPr>
        <w:t xml:space="preserve">were </w:t>
      </w:r>
      <w:r>
        <w:rPr>
          <w:rFonts w:ascii="Times New Roman" w:hAnsi="Times New Roman" w:cs="Times New Roman"/>
        </w:rPr>
        <w:t>several important transcription factors</w:t>
      </w:r>
      <w:r w:rsidR="00E96DAA">
        <w:rPr>
          <w:rFonts w:ascii="Times New Roman" w:hAnsi="Times New Roman" w:cs="Times New Roman"/>
        </w:rPr>
        <w:t xml:space="preserve"> namely</w:t>
      </w:r>
      <w:r>
        <w:rPr>
          <w:rFonts w:ascii="Times New Roman" w:hAnsi="Times New Roman" w:cs="Times New Roman"/>
        </w:rPr>
        <w:t xml:space="preserve"> </w:t>
      </w:r>
      <w:r w:rsidR="00E96DAA">
        <w:rPr>
          <w:rFonts w:ascii="Times New Roman" w:hAnsi="Times New Roman" w:cs="Times New Roman"/>
        </w:rPr>
        <w:t xml:space="preserve">EGR1, </w:t>
      </w:r>
      <w:r>
        <w:rPr>
          <w:rFonts w:ascii="Times New Roman" w:hAnsi="Times New Roman" w:cs="Times New Roman"/>
        </w:rPr>
        <w:t xml:space="preserve">FOS, </w:t>
      </w:r>
      <w:r w:rsidR="005214C8">
        <w:rPr>
          <w:rFonts w:ascii="Times New Roman" w:hAnsi="Times New Roman" w:cs="Times New Roman"/>
        </w:rPr>
        <w:t>SP3, SMAD3</w:t>
      </w:r>
      <w:r w:rsidR="00E96DAA">
        <w:rPr>
          <w:rFonts w:ascii="Times New Roman" w:hAnsi="Times New Roman" w:cs="Times New Roman"/>
        </w:rPr>
        <w:t xml:space="preserve">, BRIP1. Similarly for the 41 stimulus-specific genes, we saw key regulators such as </w:t>
      </w:r>
      <w:r w:rsidR="005214C8">
        <w:rPr>
          <w:rFonts w:ascii="Times New Roman" w:hAnsi="Times New Roman" w:cs="Times New Roman"/>
        </w:rPr>
        <w:t>FOSL2, FOXA1, JUN, JUNB</w:t>
      </w:r>
      <w:r w:rsidR="00E96DAA">
        <w:rPr>
          <w:rFonts w:ascii="Times New Roman" w:hAnsi="Times New Roman" w:cs="Times New Roman"/>
        </w:rPr>
        <w:t xml:space="preserve"> that were classified consistently in CAGE and qPCR data sets. Table 4 lists the generic and stimulus-specific genes that were consistent to both these data sets (sorted alphabetically). </w:t>
      </w:r>
    </w:p>
    <w:p w:rsidR="00E96DAA" w:rsidRDefault="00E96DAA" w:rsidP="00B724F0">
      <w:pPr>
        <w:jc w:val="center"/>
        <w:rPr>
          <w:rFonts w:ascii="Times New Roman" w:hAnsi="Times New Roman" w:cs="Times New Roman"/>
        </w:rPr>
      </w:pPr>
      <w:r w:rsidRPr="00B724F0">
        <w:rPr>
          <w:rFonts w:ascii="Times New Roman" w:hAnsi="Times New Roman" w:cs="Times New Roman"/>
          <w:b/>
        </w:rPr>
        <w:t>Table 4.</w:t>
      </w:r>
      <w:r>
        <w:rPr>
          <w:rFonts w:ascii="Times New Roman" w:hAnsi="Times New Roman" w:cs="Times New Roman"/>
        </w:rPr>
        <w:t xml:space="preserve"> Genes that were classified consistently between qPCR and CAGE data sets.</w:t>
      </w:r>
    </w:p>
    <w:tbl>
      <w:tblPr>
        <w:tblStyle w:val="TableGrid"/>
        <w:tblW w:w="0" w:type="auto"/>
        <w:jc w:val="center"/>
        <w:tblLook w:val="04A0" w:firstRow="1" w:lastRow="0" w:firstColumn="1" w:lastColumn="0" w:noHBand="0" w:noVBand="1"/>
      </w:tblPr>
      <w:tblGrid>
        <w:gridCol w:w="4364"/>
        <w:gridCol w:w="5981"/>
      </w:tblGrid>
      <w:tr w:rsidR="00E96DAA" w:rsidTr="00B724F0">
        <w:trPr>
          <w:jc w:val="center"/>
        </w:trPr>
        <w:tc>
          <w:tcPr>
            <w:tcW w:w="4364" w:type="dxa"/>
            <w:vAlign w:val="center"/>
          </w:tcPr>
          <w:p w:rsidR="00E96DAA" w:rsidRPr="00B724F0" w:rsidRDefault="00E96DAA" w:rsidP="00E96DAA">
            <w:pPr>
              <w:jc w:val="center"/>
              <w:rPr>
                <w:rFonts w:ascii="Times New Roman" w:hAnsi="Times New Roman" w:cs="Times New Roman"/>
                <w:b/>
              </w:rPr>
            </w:pPr>
            <w:r w:rsidRPr="00B724F0">
              <w:rPr>
                <w:rFonts w:ascii="Times New Roman" w:hAnsi="Times New Roman" w:cs="Times New Roman"/>
                <w:b/>
              </w:rPr>
              <w:t>Generic Genes</w:t>
            </w:r>
          </w:p>
        </w:tc>
        <w:tc>
          <w:tcPr>
            <w:tcW w:w="5981" w:type="dxa"/>
            <w:vAlign w:val="center"/>
          </w:tcPr>
          <w:p w:rsidR="00E96DAA" w:rsidRPr="00B724F0" w:rsidRDefault="00E96DAA" w:rsidP="00B724F0">
            <w:pPr>
              <w:jc w:val="center"/>
              <w:rPr>
                <w:rFonts w:ascii="Times New Roman" w:hAnsi="Times New Roman" w:cs="Times New Roman"/>
                <w:b/>
              </w:rPr>
            </w:pPr>
            <w:r w:rsidRPr="00B724F0">
              <w:rPr>
                <w:rFonts w:ascii="Times New Roman" w:hAnsi="Times New Roman" w:cs="Times New Roman"/>
                <w:b/>
              </w:rPr>
              <w:t>Stimulus-Specific Genes</w:t>
            </w:r>
          </w:p>
        </w:tc>
      </w:tr>
      <w:tr w:rsidR="00E96DAA" w:rsidTr="00B724F0">
        <w:trPr>
          <w:trHeight w:val="2177"/>
          <w:jc w:val="center"/>
        </w:trPr>
        <w:tc>
          <w:tcPr>
            <w:tcW w:w="4364" w:type="dxa"/>
            <w:vAlign w:val="center"/>
          </w:tcPr>
          <w:p w:rsidR="00E96DAA" w:rsidRDefault="00E96DAA" w:rsidP="00E96DAA">
            <w:pPr>
              <w:jc w:val="center"/>
              <w:rPr>
                <w:rFonts w:ascii="Times New Roman" w:hAnsi="Times New Roman" w:cs="Times New Roman"/>
              </w:rPr>
            </w:pPr>
            <w:r w:rsidRPr="00E96DAA">
              <w:rPr>
                <w:rFonts w:ascii="Times New Roman" w:hAnsi="Times New Roman" w:cs="Times New Roman"/>
              </w:rPr>
              <w:t>BCL3</w:t>
            </w:r>
            <w:r>
              <w:rPr>
                <w:rFonts w:ascii="Times New Roman" w:hAnsi="Times New Roman" w:cs="Times New Roman"/>
              </w:rPr>
              <w:t xml:space="preserve">, </w:t>
            </w:r>
            <w:r w:rsidRPr="00E96DAA">
              <w:rPr>
                <w:rFonts w:ascii="Times New Roman" w:hAnsi="Times New Roman" w:cs="Times New Roman"/>
              </w:rPr>
              <w:t>BRIP1</w:t>
            </w:r>
            <w:r>
              <w:rPr>
                <w:rFonts w:ascii="Times New Roman" w:hAnsi="Times New Roman" w:cs="Times New Roman"/>
              </w:rPr>
              <w:t xml:space="preserve">, </w:t>
            </w:r>
            <w:r w:rsidRPr="00E96DAA">
              <w:rPr>
                <w:rFonts w:ascii="Times New Roman" w:hAnsi="Times New Roman" w:cs="Times New Roman"/>
              </w:rPr>
              <w:t>BTG1</w:t>
            </w:r>
            <w:r>
              <w:rPr>
                <w:rFonts w:ascii="Times New Roman" w:hAnsi="Times New Roman" w:cs="Times New Roman"/>
              </w:rPr>
              <w:t xml:space="preserve">, </w:t>
            </w:r>
            <w:r w:rsidRPr="00E96DAA">
              <w:rPr>
                <w:rFonts w:ascii="Times New Roman" w:hAnsi="Times New Roman" w:cs="Times New Roman"/>
              </w:rPr>
              <w:t>BZW1</w:t>
            </w:r>
            <w:r>
              <w:rPr>
                <w:rFonts w:ascii="Times New Roman" w:hAnsi="Times New Roman" w:cs="Times New Roman"/>
              </w:rPr>
              <w:t xml:space="preserve">, </w:t>
            </w:r>
            <w:r w:rsidRPr="00E96DAA">
              <w:rPr>
                <w:rFonts w:ascii="Times New Roman" w:hAnsi="Times New Roman" w:cs="Times New Roman"/>
              </w:rPr>
              <w:t>CITED4</w:t>
            </w:r>
            <w:r>
              <w:rPr>
                <w:rFonts w:ascii="Times New Roman" w:hAnsi="Times New Roman" w:cs="Times New Roman"/>
              </w:rPr>
              <w:t xml:space="preserve">, </w:t>
            </w:r>
            <w:r w:rsidRPr="00E96DAA">
              <w:rPr>
                <w:rFonts w:ascii="Times New Roman" w:hAnsi="Times New Roman" w:cs="Times New Roman"/>
              </w:rPr>
              <w:t>DDX5</w:t>
            </w:r>
            <w:r>
              <w:rPr>
                <w:rFonts w:ascii="Times New Roman" w:hAnsi="Times New Roman" w:cs="Times New Roman"/>
              </w:rPr>
              <w:t xml:space="preserve">, </w:t>
            </w:r>
            <w:r w:rsidRPr="00E96DAA">
              <w:rPr>
                <w:rFonts w:ascii="Times New Roman" w:hAnsi="Times New Roman" w:cs="Times New Roman"/>
              </w:rPr>
              <w:t>EGR1</w:t>
            </w:r>
            <w:r>
              <w:rPr>
                <w:rFonts w:ascii="Times New Roman" w:hAnsi="Times New Roman" w:cs="Times New Roman"/>
              </w:rPr>
              <w:t xml:space="preserve">, </w:t>
            </w:r>
            <w:r w:rsidRPr="00E96DAA">
              <w:rPr>
                <w:rFonts w:ascii="Times New Roman" w:hAnsi="Times New Roman" w:cs="Times New Roman"/>
              </w:rPr>
              <w:t>EIF5B</w:t>
            </w:r>
            <w:r>
              <w:rPr>
                <w:rFonts w:ascii="Times New Roman" w:hAnsi="Times New Roman" w:cs="Times New Roman"/>
              </w:rPr>
              <w:t xml:space="preserve">, </w:t>
            </w:r>
            <w:r w:rsidRPr="00E96DAA">
              <w:rPr>
                <w:rFonts w:ascii="Times New Roman" w:hAnsi="Times New Roman" w:cs="Times New Roman"/>
              </w:rPr>
              <w:t>ELF3</w:t>
            </w:r>
            <w:r>
              <w:rPr>
                <w:rFonts w:ascii="Times New Roman" w:hAnsi="Times New Roman" w:cs="Times New Roman"/>
              </w:rPr>
              <w:t xml:space="preserve">, </w:t>
            </w:r>
            <w:r w:rsidRPr="00E96DAA">
              <w:rPr>
                <w:rFonts w:ascii="Times New Roman" w:hAnsi="Times New Roman" w:cs="Times New Roman"/>
              </w:rPr>
              <w:t>FOS</w:t>
            </w:r>
            <w:r>
              <w:rPr>
                <w:rFonts w:ascii="Times New Roman" w:hAnsi="Times New Roman" w:cs="Times New Roman"/>
              </w:rPr>
              <w:t>,</w:t>
            </w:r>
          </w:p>
          <w:p w:rsidR="00E96DAA" w:rsidRDefault="00E96DAA" w:rsidP="00E96DAA">
            <w:pPr>
              <w:jc w:val="center"/>
              <w:rPr>
                <w:rFonts w:ascii="Times New Roman" w:hAnsi="Times New Roman" w:cs="Times New Roman"/>
              </w:rPr>
            </w:pPr>
            <w:r w:rsidRPr="00E96DAA">
              <w:rPr>
                <w:rFonts w:ascii="Times New Roman" w:hAnsi="Times New Roman" w:cs="Times New Roman"/>
              </w:rPr>
              <w:t>GATA3</w:t>
            </w:r>
            <w:r>
              <w:rPr>
                <w:rFonts w:ascii="Times New Roman" w:hAnsi="Times New Roman" w:cs="Times New Roman"/>
              </w:rPr>
              <w:t xml:space="preserve">, </w:t>
            </w:r>
            <w:r w:rsidRPr="00E96DAA">
              <w:rPr>
                <w:rFonts w:ascii="Times New Roman" w:hAnsi="Times New Roman" w:cs="Times New Roman"/>
              </w:rPr>
              <w:t>HEY2</w:t>
            </w:r>
            <w:r>
              <w:rPr>
                <w:rFonts w:ascii="Times New Roman" w:hAnsi="Times New Roman" w:cs="Times New Roman"/>
              </w:rPr>
              <w:t xml:space="preserve">, </w:t>
            </w:r>
            <w:r w:rsidRPr="00E96DAA">
              <w:rPr>
                <w:rFonts w:ascii="Times New Roman" w:hAnsi="Times New Roman" w:cs="Times New Roman"/>
              </w:rPr>
              <w:t>HIST1H2BC</w:t>
            </w:r>
            <w:r>
              <w:rPr>
                <w:rFonts w:ascii="Times New Roman" w:hAnsi="Times New Roman" w:cs="Times New Roman"/>
              </w:rPr>
              <w:t xml:space="preserve">, </w:t>
            </w:r>
            <w:r w:rsidRPr="00E96DAA">
              <w:rPr>
                <w:rFonts w:ascii="Times New Roman" w:hAnsi="Times New Roman" w:cs="Times New Roman"/>
              </w:rPr>
              <w:t>HIST1H2BG</w:t>
            </w:r>
            <w:r>
              <w:rPr>
                <w:rFonts w:ascii="Times New Roman" w:hAnsi="Times New Roman" w:cs="Times New Roman"/>
              </w:rPr>
              <w:t xml:space="preserve">, </w:t>
            </w:r>
            <w:r w:rsidRPr="00E96DAA">
              <w:rPr>
                <w:rFonts w:ascii="Times New Roman" w:hAnsi="Times New Roman" w:cs="Times New Roman"/>
              </w:rPr>
              <w:t>HIST1H2BN</w:t>
            </w:r>
            <w:r>
              <w:rPr>
                <w:rFonts w:ascii="Times New Roman" w:hAnsi="Times New Roman" w:cs="Times New Roman"/>
              </w:rPr>
              <w:t xml:space="preserve">, </w:t>
            </w:r>
            <w:r w:rsidRPr="00E96DAA">
              <w:rPr>
                <w:rFonts w:ascii="Times New Roman" w:hAnsi="Times New Roman" w:cs="Times New Roman"/>
              </w:rPr>
              <w:t>ING1</w:t>
            </w:r>
            <w:r>
              <w:rPr>
                <w:rFonts w:ascii="Times New Roman" w:hAnsi="Times New Roman" w:cs="Times New Roman"/>
              </w:rPr>
              <w:t xml:space="preserve">, </w:t>
            </w:r>
            <w:r w:rsidRPr="00E96DAA">
              <w:rPr>
                <w:rFonts w:ascii="Times New Roman" w:hAnsi="Times New Roman" w:cs="Times New Roman"/>
              </w:rPr>
              <w:t>ING3</w:t>
            </w:r>
            <w:r>
              <w:rPr>
                <w:rFonts w:ascii="Times New Roman" w:hAnsi="Times New Roman" w:cs="Times New Roman"/>
              </w:rPr>
              <w:t xml:space="preserve">, </w:t>
            </w:r>
            <w:r w:rsidRPr="00E96DAA">
              <w:rPr>
                <w:rFonts w:ascii="Times New Roman" w:hAnsi="Times New Roman" w:cs="Times New Roman"/>
              </w:rPr>
              <w:t>KLF7</w:t>
            </w:r>
            <w:r>
              <w:rPr>
                <w:rFonts w:ascii="Times New Roman" w:hAnsi="Times New Roman" w:cs="Times New Roman"/>
              </w:rPr>
              <w:t xml:space="preserve">, </w:t>
            </w:r>
            <w:r w:rsidRPr="00E96DAA">
              <w:rPr>
                <w:rFonts w:ascii="Times New Roman" w:hAnsi="Times New Roman" w:cs="Times New Roman"/>
              </w:rPr>
              <w:t>MAFB</w:t>
            </w:r>
            <w:r>
              <w:rPr>
                <w:rFonts w:ascii="Times New Roman" w:hAnsi="Times New Roman" w:cs="Times New Roman"/>
              </w:rPr>
              <w:t xml:space="preserve">, </w:t>
            </w:r>
            <w:r w:rsidRPr="00E96DAA">
              <w:rPr>
                <w:rFonts w:ascii="Times New Roman" w:hAnsi="Times New Roman" w:cs="Times New Roman"/>
              </w:rPr>
              <w:t>NCOA4</w:t>
            </w:r>
            <w:r>
              <w:rPr>
                <w:rFonts w:ascii="Times New Roman" w:hAnsi="Times New Roman" w:cs="Times New Roman"/>
              </w:rPr>
              <w:t xml:space="preserve">, </w:t>
            </w:r>
            <w:r w:rsidRPr="00E96DAA">
              <w:rPr>
                <w:rFonts w:ascii="Times New Roman" w:hAnsi="Times New Roman" w:cs="Times New Roman"/>
              </w:rPr>
              <w:t>NR4A2</w:t>
            </w:r>
            <w:r>
              <w:rPr>
                <w:rFonts w:ascii="Times New Roman" w:hAnsi="Times New Roman" w:cs="Times New Roman"/>
              </w:rPr>
              <w:t xml:space="preserve">, </w:t>
            </w:r>
            <w:r w:rsidRPr="00E96DAA">
              <w:rPr>
                <w:rFonts w:ascii="Times New Roman" w:hAnsi="Times New Roman" w:cs="Times New Roman"/>
              </w:rPr>
              <w:t>PAX9</w:t>
            </w:r>
            <w:r>
              <w:rPr>
                <w:rFonts w:ascii="Times New Roman" w:hAnsi="Times New Roman" w:cs="Times New Roman"/>
              </w:rPr>
              <w:t xml:space="preserve">, </w:t>
            </w:r>
            <w:r w:rsidRPr="00E96DAA">
              <w:rPr>
                <w:rFonts w:ascii="Times New Roman" w:hAnsi="Times New Roman" w:cs="Times New Roman"/>
              </w:rPr>
              <w:t>PER1</w:t>
            </w:r>
            <w:r>
              <w:rPr>
                <w:rFonts w:ascii="Times New Roman" w:hAnsi="Times New Roman" w:cs="Times New Roman"/>
              </w:rPr>
              <w:t xml:space="preserve">, </w:t>
            </w:r>
            <w:r w:rsidRPr="00E96DAA">
              <w:rPr>
                <w:rFonts w:ascii="Times New Roman" w:hAnsi="Times New Roman" w:cs="Times New Roman"/>
              </w:rPr>
              <w:t>PITX1</w:t>
            </w:r>
            <w:r>
              <w:rPr>
                <w:rFonts w:ascii="Times New Roman" w:hAnsi="Times New Roman" w:cs="Times New Roman"/>
              </w:rPr>
              <w:t xml:space="preserve">, </w:t>
            </w:r>
            <w:r w:rsidRPr="00E96DAA">
              <w:rPr>
                <w:rFonts w:ascii="Times New Roman" w:hAnsi="Times New Roman" w:cs="Times New Roman"/>
              </w:rPr>
              <w:t>RORC</w:t>
            </w:r>
            <w:r>
              <w:rPr>
                <w:rFonts w:ascii="Times New Roman" w:hAnsi="Times New Roman" w:cs="Times New Roman"/>
              </w:rPr>
              <w:t xml:space="preserve">, </w:t>
            </w:r>
            <w:r w:rsidRPr="00E96DAA">
              <w:rPr>
                <w:rFonts w:ascii="Times New Roman" w:hAnsi="Times New Roman" w:cs="Times New Roman"/>
              </w:rPr>
              <w:t>SIAH2</w:t>
            </w:r>
            <w:r>
              <w:rPr>
                <w:rFonts w:ascii="Times New Roman" w:hAnsi="Times New Roman" w:cs="Times New Roman"/>
              </w:rPr>
              <w:t xml:space="preserve">, </w:t>
            </w:r>
            <w:r w:rsidRPr="00E96DAA">
              <w:rPr>
                <w:rFonts w:ascii="Times New Roman" w:hAnsi="Times New Roman" w:cs="Times New Roman"/>
              </w:rPr>
              <w:t>SKIL</w:t>
            </w:r>
            <w:r>
              <w:rPr>
                <w:rFonts w:ascii="Times New Roman" w:hAnsi="Times New Roman" w:cs="Times New Roman"/>
              </w:rPr>
              <w:t xml:space="preserve">, </w:t>
            </w:r>
            <w:r w:rsidRPr="00E96DAA">
              <w:rPr>
                <w:rFonts w:ascii="Times New Roman" w:hAnsi="Times New Roman" w:cs="Times New Roman"/>
              </w:rPr>
              <w:t>SMAD3</w:t>
            </w:r>
            <w:r>
              <w:rPr>
                <w:rFonts w:ascii="Times New Roman" w:hAnsi="Times New Roman" w:cs="Times New Roman"/>
              </w:rPr>
              <w:t xml:space="preserve">, </w:t>
            </w:r>
            <w:r w:rsidRPr="00E96DAA">
              <w:rPr>
                <w:rFonts w:ascii="Times New Roman" w:hAnsi="Times New Roman" w:cs="Times New Roman"/>
              </w:rPr>
              <w:t>SP3</w:t>
            </w:r>
            <w:r>
              <w:rPr>
                <w:rFonts w:ascii="Times New Roman" w:hAnsi="Times New Roman" w:cs="Times New Roman"/>
              </w:rPr>
              <w:t xml:space="preserve">, </w:t>
            </w:r>
            <w:r w:rsidRPr="00E96DAA">
              <w:rPr>
                <w:rFonts w:ascii="Times New Roman" w:hAnsi="Times New Roman" w:cs="Times New Roman"/>
              </w:rPr>
              <w:t>TFAP2C</w:t>
            </w:r>
            <w:r>
              <w:rPr>
                <w:rFonts w:ascii="Times New Roman" w:hAnsi="Times New Roman" w:cs="Times New Roman"/>
              </w:rPr>
              <w:t xml:space="preserve">, </w:t>
            </w:r>
            <w:r w:rsidRPr="00E96DAA">
              <w:rPr>
                <w:rFonts w:ascii="Times New Roman" w:hAnsi="Times New Roman" w:cs="Times New Roman"/>
              </w:rPr>
              <w:t>TFAP4</w:t>
            </w:r>
            <w:r>
              <w:rPr>
                <w:rFonts w:ascii="Times New Roman" w:hAnsi="Times New Roman" w:cs="Times New Roman"/>
              </w:rPr>
              <w:t xml:space="preserve">, </w:t>
            </w:r>
            <w:r w:rsidRPr="00E96DAA">
              <w:rPr>
                <w:rFonts w:ascii="Times New Roman" w:hAnsi="Times New Roman" w:cs="Times New Roman"/>
              </w:rPr>
              <w:t>ZNF467</w:t>
            </w:r>
          </w:p>
        </w:tc>
        <w:tc>
          <w:tcPr>
            <w:tcW w:w="5981" w:type="dxa"/>
            <w:vAlign w:val="center"/>
          </w:tcPr>
          <w:p w:rsidR="00E96DAA" w:rsidRDefault="00E96DAA" w:rsidP="00B724F0">
            <w:pPr>
              <w:jc w:val="center"/>
              <w:rPr>
                <w:rFonts w:ascii="Times New Roman" w:hAnsi="Times New Roman" w:cs="Times New Roman"/>
              </w:rPr>
            </w:pPr>
            <w:r w:rsidRPr="00E96DAA">
              <w:rPr>
                <w:rFonts w:ascii="Times New Roman" w:hAnsi="Times New Roman" w:cs="Times New Roman"/>
              </w:rPr>
              <w:t>ACTB</w:t>
            </w:r>
            <w:r>
              <w:rPr>
                <w:rFonts w:ascii="Times New Roman" w:hAnsi="Times New Roman" w:cs="Times New Roman"/>
              </w:rPr>
              <w:t xml:space="preserve">, </w:t>
            </w:r>
            <w:r w:rsidRPr="00E96DAA">
              <w:rPr>
                <w:rFonts w:ascii="Times New Roman" w:hAnsi="Times New Roman" w:cs="Times New Roman"/>
              </w:rPr>
              <w:t>ARID3B</w:t>
            </w:r>
            <w:r>
              <w:rPr>
                <w:rFonts w:ascii="Times New Roman" w:hAnsi="Times New Roman" w:cs="Times New Roman"/>
              </w:rPr>
              <w:t xml:space="preserve">, </w:t>
            </w:r>
            <w:r w:rsidRPr="00E96DAA">
              <w:rPr>
                <w:rFonts w:ascii="Times New Roman" w:hAnsi="Times New Roman" w:cs="Times New Roman"/>
              </w:rPr>
              <w:t>ATF4</w:t>
            </w:r>
            <w:r>
              <w:rPr>
                <w:rFonts w:ascii="Times New Roman" w:hAnsi="Times New Roman" w:cs="Times New Roman"/>
              </w:rPr>
              <w:t xml:space="preserve">, </w:t>
            </w:r>
            <w:r w:rsidRPr="00E96DAA">
              <w:rPr>
                <w:rFonts w:ascii="Times New Roman" w:hAnsi="Times New Roman" w:cs="Times New Roman"/>
              </w:rPr>
              <w:t>CBX3</w:t>
            </w:r>
            <w:r>
              <w:rPr>
                <w:rFonts w:ascii="Times New Roman" w:hAnsi="Times New Roman" w:cs="Times New Roman"/>
              </w:rPr>
              <w:t xml:space="preserve">, </w:t>
            </w:r>
            <w:r w:rsidRPr="00E96DAA">
              <w:rPr>
                <w:rFonts w:ascii="Times New Roman" w:hAnsi="Times New Roman" w:cs="Times New Roman"/>
              </w:rPr>
              <w:t>CEBPB</w:t>
            </w:r>
            <w:r>
              <w:rPr>
                <w:rFonts w:ascii="Times New Roman" w:hAnsi="Times New Roman" w:cs="Times New Roman"/>
              </w:rPr>
              <w:t xml:space="preserve">, </w:t>
            </w:r>
            <w:r w:rsidRPr="00E96DAA">
              <w:rPr>
                <w:rFonts w:ascii="Times New Roman" w:hAnsi="Times New Roman" w:cs="Times New Roman"/>
              </w:rPr>
              <w:t>CEBPD</w:t>
            </w:r>
            <w:r>
              <w:rPr>
                <w:rFonts w:ascii="Times New Roman" w:hAnsi="Times New Roman" w:cs="Times New Roman"/>
              </w:rPr>
              <w:t xml:space="preserve">, </w:t>
            </w:r>
            <w:r w:rsidRPr="00E96DAA">
              <w:rPr>
                <w:rFonts w:ascii="Times New Roman" w:hAnsi="Times New Roman" w:cs="Times New Roman"/>
              </w:rPr>
              <w:t>CENPB</w:t>
            </w:r>
            <w:r>
              <w:rPr>
                <w:rFonts w:ascii="Times New Roman" w:hAnsi="Times New Roman" w:cs="Times New Roman"/>
              </w:rPr>
              <w:t xml:space="preserve">, </w:t>
            </w:r>
            <w:r w:rsidRPr="00E96DAA">
              <w:rPr>
                <w:rFonts w:ascii="Times New Roman" w:hAnsi="Times New Roman" w:cs="Times New Roman"/>
              </w:rPr>
              <w:t>DEK</w:t>
            </w:r>
            <w:r>
              <w:rPr>
                <w:rFonts w:ascii="Times New Roman" w:hAnsi="Times New Roman" w:cs="Times New Roman"/>
              </w:rPr>
              <w:t xml:space="preserve">, </w:t>
            </w:r>
            <w:r w:rsidRPr="00E96DAA">
              <w:rPr>
                <w:rFonts w:ascii="Times New Roman" w:hAnsi="Times New Roman" w:cs="Times New Roman"/>
              </w:rPr>
              <w:t>DOT1L</w:t>
            </w:r>
            <w:r>
              <w:rPr>
                <w:rFonts w:ascii="Times New Roman" w:hAnsi="Times New Roman" w:cs="Times New Roman"/>
              </w:rPr>
              <w:t xml:space="preserve">, </w:t>
            </w:r>
            <w:r w:rsidRPr="00E96DAA">
              <w:rPr>
                <w:rFonts w:ascii="Times New Roman" w:hAnsi="Times New Roman" w:cs="Times New Roman"/>
              </w:rPr>
              <w:t>EAF1</w:t>
            </w:r>
            <w:r>
              <w:rPr>
                <w:rFonts w:ascii="Times New Roman" w:hAnsi="Times New Roman" w:cs="Times New Roman"/>
              </w:rPr>
              <w:t xml:space="preserve">, </w:t>
            </w:r>
            <w:r w:rsidRPr="00E96DAA">
              <w:rPr>
                <w:rFonts w:ascii="Times New Roman" w:hAnsi="Times New Roman" w:cs="Times New Roman"/>
              </w:rPr>
              <w:t>ELF4</w:t>
            </w:r>
            <w:r>
              <w:rPr>
                <w:rFonts w:ascii="Times New Roman" w:hAnsi="Times New Roman" w:cs="Times New Roman"/>
              </w:rPr>
              <w:t xml:space="preserve">, </w:t>
            </w:r>
            <w:r w:rsidRPr="00E96DAA">
              <w:rPr>
                <w:rFonts w:ascii="Times New Roman" w:hAnsi="Times New Roman" w:cs="Times New Roman"/>
              </w:rPr>
              <w:t>FOSL2</w:t>
            </w:r>
            <w:r>
              <w:rPr>
                <w:rFonts w:ascii="Times New Roman" w:hAnsi="Times New Roman" w:cs="Times New Roman"/>
              </w:rPr>
              <w:t xml:space="preserve">, </w:t>
            </w:r>
            <w:r w:rsidRPr="00E96DAA">
              <w:rPr>
                <w:rFonts w:ascii="Times New Roman" w:hAnsi="Times New Roman" w:cs="Times New Roman"/>
              </w:rPr>
              <w:t>FOXA1</w:t>
            </w:r>
            <w:r>
              <w:rPr>
                <w:rFonts w:ascii="Times New Roman" w:hAnsi="Times New Roman" w:cs="Times New Roman"/>
              </w:rPr>
              <w:t xml:space="preserve">, </w:t>
            </w:r>
            <w:r w:rsidRPr="00E96DAA">
              <w:rPr>
                <w:rFonts w:ascii="Times New Roman" w:hAnsi="Times New Roman" w:cs="Times New Roman"/>
              </w:rPr>
              <w:t>HAX1</w:t>
            </w:r>
            <w:r>
              <w:rPr>
                <w:rFonts w:ascii="Times New Roman" w:hAnsi="Times New Roman" w:cs="Times New Roman"/>
              </w:rPr>
              <w:t xml:space="preserve">, </w:t>
            </w:r>
            <w:r w:rsidRPr="00E96DAA">
              <w:rPr>
                <w:rFonts w:ascii="Times New Roman" w:hAnsi="Times New Roman" w:cs="Times New Roman"/>
              </w:rPr>
              <w:t>HIST1H2BE</w:t>
            </w:r>
            <w:r>
              <w:rPr>
                <w:rFonts w:ascii="Times New Roman" w:hAnsi="Times New Roman" w:cs="Times New Roman"/>
              </w:rPr>
              <w:t xml:space="preserve">, </w:t>
            </w:r>
            <w:r w:rsidRPr="00E96DAA">
              <w:rPr>
                <w:rFonts w:ascii="Times New Roman" w:hAnsi="Times New Roman" w:cs="Times New Roman"/>
              </w:rPr>
              <w:t>IRF1</w:t>
            </w:r>
            <w:r>
              <w:rPr>
                <w:rFonts w:ascii="Times New Roman" w:hAnsi="Times New Roman" w:cs="Times New Roman"/>
              </w:rPr>
              <w:t xml:space="preserve">, </w:t>
            </w:r>
            <w:r w:rsidRPr="00E96DAA">
              <w:rPr>
                <w:rFonts w:ascii="Times New Roman" w:hAnsi="Times New Roman" w:cs="Times New Roman"/>
              </w:rPr>
              <w:t>IRF7</w:t>
            </w:r>
            <w:r>
              <w:rPr>
                <w:rFonts w:ascii="Times New Roman" w:hAnsi="Times New Roman" w:cs="Times New Roman"/>
              </w:rPr>
              <w:t xml:space="preserve">, </w:t>
            </w:r>
            <w:r w:rsidRPr="00E96DAA">
              <w:rPr>
                <w:rFonts w:ascii="Times New Roman" w:hAnsi="Times New Roman" w:cs="Times New Roman"/>
              </w:rPr>
              <w:t>JDP2</w:t>
            </w:r>
            <w:r>
              <w:rPr>
                <w:rFonts w:ascii="Times New Roman" w:hAnsi="Times New Roman" w:cs="Times New Roman"/>
              </w:rPr>
              <w:t xml:space="preserve">, </w:t>
            </w:r>
            <w:r w:rsidRPr="00E96DAA">
              <w:rPr>
                <w:rFonts w:ascii="Times New Roman" w:hAnsi="Times New Roman" w:cs="Times New Roman"/>
              </w:rPr>
              <w:t>JUN</w:t>
            </w:r>
            <w:r>
              <w:rPr>
                <w:rFonts w:ascii="Times New Roman" w:hAnsi="Times New Roman" w:cs="Times New Roman"/>
              </w:rPr>
              <w:t xml:space="preserve">, </w:t>
            </w:r>
            <w:r w:rsidRPr="00E96DAA">
              <w:rPr>
                <w:rFonts w:ascii="Times New Roman" w:hAnsi="Times New Roman" w:cs="Times New Roman"/>
              </w:rPr>
              <w:t>JUNB</w:t>
            </w:r>
            <w:r>
              <w:rPr>
                <w:rFonts w:ascii="Times New Roman" w:hAnsi="Times New Roman" w:cs="Times New Roman"/>
              </w:rPr>
              <w:t xml:space="preserve">, </w:t>
            </w:r>
            <w:r w:rsidRPr="00E96DAA">
              <w:rPr>
                <w:rFonts w:ascii="Times New Roman" w:hAnsi="Times New Roman" w:cs="Times New Roman"/>
              </w:rPr>
              <w:t>KLF16</w:t>
            </w:r>
            <w:r>
              <w:rPr>
                <w:rFonts w:ascii="Times New Roman" w:hAnsi="Times New Roman" w:cs="Times New Roman"/>
              </w:rPr>
              <w:t xml:space="preserve">, </w:t>
            </w:r>
            <w:r w:rsidRPr="00E96DAA">
              <w:rPr>
                <w:rFonts w:ascii="Times New Roman" w:hAnsi="Times New Roman" w:cs="Times New Roman"/>
              </w:rPr>
              <w:t>MAP2K3</w:t>
            </w:r>
            <w:r>
              <w:rPr>
                <w:rFonts w:ascii="Times New Roman" w:hAnsi="Times New Roman" w:cs="Times New Roman"/>
              </w:rPr>
              <w:t xml:space="preserve">, </w:t>
            </w:r>
            <w:r w:rsidRPr="00E96DAA">
              <w:rPr>
                <w:rFonts w:ascii="Times New Roman" w:hAnsi="Times New Roman" w:cs="Times New Roman"/>
              </w:rPr>
              <w:t>MARS</w:t>
            </w:r>
            <w:r>
              <w:rPr>
                <w:rFonts w:ascii="Times New Roman" w:hAnsi="Times New Roman" w:cs="Times New Roman"/>
              </w:rPr>
              <w:t xml:space="preserve">, </w:t>
            </w:r>
            <w:r w:rsidRPr="00E96DAA">
              <w:rPr>
                <w:rFonts w:ascii="Times New Roman" w:hAnsi="Times New Roman" w:cs="Times New Roman"/>
              </w:rPr>
              <w:t>MAZ</w:t>
            </w:r>
            <w:r>
              <w:rPr>
                <w:rFonts w:ascii="Times New Roman" w:hAnsi="Times New Roman" w:cs="Times New Roman"/>
              </w:rPr>
              <w:t xml:space="preserve">, </w:t>
            </w:r>
            <w:r w:rsidRPr="00E96DAA">
              <w:rPr>
                <w:rFonts w:ascii="Times New Roman" w:hAnsi="Times New Roman" w:cs="Times New Roman"/>
              </w:rPr>
              <w:t>MYBBP1A</w:t>
            </w:r>
            <w:r>
              <w:rPr>
                <w:rFonts w:ascii="Times New Roman" w:hAnsi="Times New Roman" w:cs="Times New Roman"/>
              </w:rPr>
              <w:t xml:space="preserve">, </w:t>
            </w:r>
            <w:r w:rsidRPr="00E96DAA">
              <w:rPr>
                <w:rFonts w:ascii="Times New Roman" w:hAnsi="Times New Roman" w:cs="Times New Roman"/>
              </w:rPr>
              <w:t>NFKB2</w:t>
            </w:r>
            <w:r>
              <w:rPr>
                <w:rFonts w:ascii="Times New Roman" w:hAnsi="Times New Roman" w:cs="Times New Roman"/>
              </w:rPr>
              <w:t xml:space="preserve">, </w:t>
            </w:r>
            <w:r w:rsidRPr="00E96DAA">
              <w:rPr>
                <w:rFonts w:ascii="Times New Roman" w:hAnsi="Times New Roman" w:cs="Times New Roman"/>
              </w:rPr>
              <w:t>NFKBIA</w:t>
            </w:r>
            <w:r>
              <w:rPr>
                <w:rFonts w:ascii="Times New Roman" w:hAnsi="Times New Roman" w:cs="Times New Roman"/>
              </w:rPr>
              <w:t xml:space="preserve">, </w:t>
            </w:r>
            <w:r w:rsidRPr="00E96DAA">
              <w:rPr>
                <w:rFonts w:ascii="Times New Roman" w:hAnsi="Times New Roman" w:cs="Times New Roman"/>
              </w:rPr>
              <w:t>OVOL1</w:t>
            </w:r>
            <w:r>
              <w:rPr>
                <w:rFonts w:ascii="Times New Roman" w:hAnsi="Times New Roman" w:cs="Times New Roman"/>
              </w:rPr>
              <w:t xml:space="preserve">, </w:t>
            </w:r>
            <w:r w:rsidRPr="00E96DAA">
              <w:rPr>
                <w:rFonts w:ascii="Times New Roman" w:hAnsi="Times New Roman" w:cs="Times New Roman"/>
              </w:rPr>
              <w:t>POLR1B</w:t>
            </w:r>
            <w:r>
              <w:rPr>
                <w:rFonts w:ascii="Times New Roman" w:hAnsi="Times New Roman" w:cs="Times New Roman"/>
              </w:rPr>
              <w:t xml:space="preserve">, </w:t>
            </w:r>
            <w:r w:rsidRPr="00E96DAA">
              <w:rPr>
                <w:rFonts w:ascii="Times New Roman" w:hAnsi="Times New Roman" w:cs="Times New Roman"/>
              </w:rPr>
              <w:t>PPAN</w:t>
            </w:r>
            <w:r>
              <w:rPr>
                <w:rFonts w:ascii="Times New Roman" w:hAnsi="Times New Roman" w:cs="Times New Roman"/>
              </w:rPr>
              <w:t xml:space="preserve">, </w:t>
            </w:r>
            <w:r w:rsidRPr="00E96DAA">
              <w:rPr>
                <w:rFonts w:ascii="Times New Roman" w:hAnsi="Times New Roman" w:cs="Times New Roman"/>
              </w:rPr>
              <w:t>PXN</w:t>
            </w:r>
            <w:r>
              <w:rPr>
                <w:rFonts w:ascii="Times New Roman" w:hAnsi="Times New Roman" w:cs="Times New Roman"/>
              </w:rPr>
              <w:t xml:space="preserve">, </w:t>
            </w:r>
            <w:r w:rsidRPr="00E96DAA">
              <w:rPr>
                <w:rFonts w:ascii="Times New Roman" w:hAnsi="Times New Roman" w:cs="Times New Roman"/>
              </w:rPr>
              <w:t>RARA</w:t>
            </w:r>
            <w:r>
              <w:rPr>
                <w:rFonts w:ascii="Times New Roman" w:hAnsi="Times New Roman" w:cs="Times New Roman"/>
              </w:rPr>
              <w:t xml:space="preserve">, </w:t>
            </w:r>
            <w:r w:rsidRPr="00E96DAA">
              <w:rPr>
                <w:rFonts w:ascii="Times New Roman" w:hAnsi="Times New Roman" w:cs="Times New Roman"/>
              </w:rPr>
              <w:t>RRS1</w:t>
            </w:r>
            <w:r>
              <w:rPr>
                <w:rFonts w:ascii="Times New Roman" w:hAnsi="Times New Roman" w:cs="Times New Roman"/>
              </w:rPr>
              <w:t xml:space="preserve">, </w:t>
            </w:r>
            <w:r w:rsidRPr="00E96DAA">
              <w:rPr>
                <w:rFonts w:ascii="Times New Roman" w:hAnsi="Times New Roman" w:cs="Times New Roman"/>
              </w:rPr>
              <w:t>SLC2A4RG</w:t>
            </w:r>
            <w:r>
              <w:rPr>
                <w:rFonts w:ascii="Times New Roman" w:hAnsi="Times New Roman" w:cs="Times New Roman"/>
              </w:rPr>
              <w:t xml:space="preserve">, </w:t>
            </w:r>
            <w:r w:rsidRPr="00E96DAA">
              <w:rPr>
                <w:rFonts w:ascii="Times New Roman" w:hAnsi="Times New Roman" w:cs="Times New Roman"/>
              </w:rPr>
              <w:t>TFAP2A</w:t>
            </w:r>
            <w:r>
              <w:rPr>
                <w:rFonts w:ascii="Times New Roman" w:hAnsi="Times New Roman" w:cs="Times New Roman"/>
              </w:rPr>
              <w:t xml:space="preserve">, </w:t>
            </w:r>
            <w:r w:rsidRPr="00E96DAA">
              <w:rPr>
                <w:rFonts w:ascii="Times New Roman" w:hAnsi="Times New Roman" w:cs="Times New Roman"/>
              </w:rPr>
              <w:t>TRIB3</w:t>
            </w:r>
            <w:r>
              <w:rPr>
                <w:rFonts w:ascii="Times New Roman" w:hAnsi="Times New Roman" w:cs="Times New Roman"/>
              </w:rPr>
              <w:t xml:space="preserve">, </w:t>
            </w:r>
            <w:r w:rsidRPr="00E96DAA">
              <w:rPr>
                <w:rFonts w:ascii="Times New Roman" w:hAnsi="Times New Roman" w:cs="Times New Roman"/>
              </w:rPr>
              <w:t>TRIM25</w:t>
            </w:r>
            <w:r>
              <w:rPr>
                <w:rFonts w:ascii="Times New Roman" w:hAnsi="Times New Roman" w:cs="Times New Roman"/>
              </w:rPr>
              <w:t xml:space="preserve">, </w:t>
            </w:r>
            <w:r w:rsidRPr="00E96DAA">
              <w:rPr>
                <w:rFonts w:ascii="Times New Roman" w:hAnsi="Times New Roman" w:cs="Times New Roman"/>
              </w:rPr>
              <w:t>TRIM29</w:t>
            </w:r>
            <w:r>
              <w:rPr>
                <w:rFonts w:ascii="Times New Roman" w:hAnsi="Times New Roman" w:cs="Times New Roman"/>
              </w:rPr>
              <w:t xml:space="preserve">, </w:t>
            </w:r>
            <w:r w:rsidRPr="00E96DAA">
              <w:rPr>
                <w:rFonts w:ascii="Times New Roman" w:hAnsi="Times New Roman" w:cs="Times New Roman"/>
              </w:rPr>
              <w:t>ZFP36</w:t>
            </w:r>
            <w:r>
              <w:rPr>
                <w:rFonts w:ascii="Times New Roman" w:hAnsi="Times New Roman" w:cs="Times New Roman"/>
              </w:rPr>
              <w:t xml:space="preserve">, </w:t>
            </w:r>
            <w:r w:rsidRPr="00E96DAA">
              <w:rPr>
                <w:rFonts w:ascii="Times New Roman" w:hAnsi="Times New Roman" w:cs="Times New Roman"/>
              </w:rPr>
              <w:t>ZNF324</w:t>
            </w:r>
            <w:r>
              <w:rPr>
                <w:rFonts w:ascii="Times New Roman" w:hAnsi="Times New Roman" w:cs="Times New Roman"/>
              </w:rPr>
              <w:t xml:space="preserve">, </w:t>
            </w:r>
            <w:r w:rsidRPr="00E96DAA">
              <w:rPr>
                <w:rFonts w:ascii="Times New Roman" w:hAnsi="Times New Roman" w:cs="Times New Roman"/>
              </w:rPr>
              <w:t>ZNF398</w:t>
            </w:r>
          </w:p>
        </w:tc>
      </w:tr>
    </w:tbl>
    <w:p w:rsidR="00E96DAA" w:rsidRDefault="00E96DAA" w:rsidP="00F570D9">
      <w:pPr>
        <w:rPr>
          <w:rFonts w:ascii="Times New Roman" w:hAnsi="Times New Roman" w:cs="Times New Roman"/>
        </w:rPr>
      </w:pPr>
    </w:p>
    <w:p w:rsidR="00315EA3" w:rsidRPr="00C10EF7" w:rsidRDefault="00315EA3">
      <w:pPr>
        <w:rPr>
          <w:rFonts w:ascii="Times New Roman" w:hAnsi="Times New Roman" w:cs="Times New Roman"/>
          <w:i/>
        </w:rPr>
      </w:pPr>
      <w:r w:rsidRPr="00C10EF7">
        <w:rPr>
          <w:rFonts w:ascii="Times New Roman" w:hAnsi="Times New Roman" w:cs="Times New Roman"/>
          <w:i/>
        </w:rPr>
        <w:t>Investigating expression activity of</w:t>
      </w:r>
      <w:r w:rsidR="0049395B">
        <w:rPr>
          <w:rFonts w:ascii="Times New Roman" w:hAnsi="Times New Roman" w:cs="Times New Roman"/>
          <w:i/>
        </w:rPr>
        <w:t xml:space="preserve"> individual</w:t>
      </w:r>
      <w:r w:rsidRPr="00C10EF7">
        <w:rPr>
          <w:rFonts w:ascii="Times New Roman" w:hAnsi="Times New Roman" w:cs="Times New Roman"/>
          <w:i/>
        </w:rPr>
        <w:t xml:space="preserve"> generic and stimulus-specific genes in microarray and </w:t>
      </w:r>
      <w:r w:rsidR="0062664A" w:rsidRPr="00C10EF7">
        <w:rPr>
          <w:rFonts w:ascii="Times New Roman" w:hAnsi="Times New Roman" w:cs="Times New Roman"/>
          <w:i/>
        </w:rPr>
        <w:t xml:space="preserve">CAGE </w:t>
      </w:r>
      <w:r w:rsidRPr="00C10EF7">
        <w:rPr>
          <w:rFonts w:ascii="Times New Roman" w:hAnsi="Times New Roman" w:cs="Times New Roman"/>
          <w:i/>
        </w:rPr>
        <w:t>data sets.</w:t>
      </w:r>
    </w:p>
    <w:p w:rsidR="006D08CE" w:rsidRDefault="0049395B">
      <w:pPr>
        <w:rPr>
          <w:rFonts w:ascii="Times New Roman" w:hAnsi="Times New Roman" w:cs="Times New Roman"/>
        </w:rPr>
      </w:pPr>
      <w:r>
        <w:rPr>
          <w:rFonts w:ascii="Times New Roman" w:hAnsi="Times New Roman" w:cs="Times New Roman"/>
        </w:rPr>
        <w:t xml:space="preserve">We </w:t>
      </w:r>
      <w:r w:rsidR="00745C16">
        <w:rPr>
          <w:rFonts w:ascii="Times New Roman" w:hAnsi="Times New Roman" w:cs="Times New Roman"/>
        </w:rPr>
        <w:t xml:space="preserve">inspected the gene expression profiles </w:t>
      </w:r>
      <w:r w:rsidR="006D08CE">
        <w:rPr>
          <w:rFonts w:ascii="Times New Roman" w:hAnsi="Times New Roman" w:cs="Times New Roman"/>
        </w:rPr>
        <w:t xml:space="preserve">of </w:t>
      </w:r>
      <w:r w:rsidR="00745C16">
        <w:rPr>
          <w:rFonts w:ascii="Times New Roman" w:hAnsi="Times New Roman" w:cs="Times New Roman"/>
        </w:rPr>
        <w:t xml:space="preserve">individual generic and stimulus-specific genes in both microarray and CAGE data sets to determine whether similar patterns of expression activity could be observed. </w:t>
      </w:r>
      <w:r w:rsidR="006D08CE">
        <w:rPr>
          <w:rFonts w:ascii="Times New Roman" w:hAnsi="Times New Roman" w:cs="Times New Roman"/>
        </w:rPr>
        <w:t xml:space="preserve">Two genes, STRAP and CYTH2 were classified as generic in both CAGE and microarray data sets. The expression profiles for </w:t>
      </w:r>
      <w:r w:rsidR="00745C16">
        <w:rPr>
          <w:rFonts w:ascii="Times New Roman" w:hAnsi="Times New Roman" w:cs="Times New Roman"/>
        </w:rPr>
        <w:t xml:space="preserve">CYTH2 appeared to be </w:t>
      </w:r>
      <w:r w:rsidR="006D08CE">
        <w:rPr>
          <w:rFonts w:ascii="Times New Roman" w:hAnsi="Times New Roman" w:cs="Times New Roman"/>
        </w:rPr>
        <w:t xml:space="preserve">quite </w:t>
      </w:r>
      <w:r w:rsidR="00745C16">
        <w:rPr>
          <w:rFonts w:ascii="Times New Roman" w:hAnsi="Times New Roman" w:cs="Times New Roman"/>
        </w:rPr>
        <w:t xml:space="preserve">similar in the microarray data set (Fig. 1B) compared to the CAGE data set (Fig. 2B). </w:t>
      </w:r>
      <w:r w:rsidR="006D08CE">
        <w:rPr>
          <w:rFonts w:ascii="Times New Roman" w:hAnsi="Times New Roman" w:cs="Times New Roman"/>
        </w:rPr>
        <w:t xml:space="preserve">For STRAP, the microarray profile shows more divergence between the EGF and HRG time courses (Fig. 1A) than in the CAGE profile (Fig. 1B). </w:t>
      </w:r>
    </w:p>
    <w:p w:rsidR="0049395B" w:rsidRDefault="006D08CE">
      <w:pPr>
        <w:rPr>
          <w:rFonts w:ascii="Times New Roman" w:hAnsi="Times New Roman" w:cs="Times New Roman"/>
        </w:rPr>
      </w:pPr>
      <w:r>
        <w:rPr>
          <w:rFonts w:ascii="Times New Roman" w:hAnsi="Times New Roman" w:cs="Times New Roman"/>
        </w:rPr>
        <w:t>T</w:t>
      </w:r>
      <w:r w:rsidR="00745C16">
        <w:rPr>
          <w:rFonts w:ascii="Times New Roman" w:hAnsi="Times New Roman" w:cs="Times New Roman"/>
        </w:rPr>
        <w:t xml:space="preserve">wo </w:t>
      </w:r>
      <w:r>
        <w:rPr>
          <w:rFonts w:ascii="Times New Roman" w:hAnsi="Times New Roman" w:cs="Times New Roman"/>
        </w:rPr>
        <w:t xml:space="preserve">genes, </w:t>
      </w:r>
      <w:r w:rsidR="00745C16">
        <w:rPr>
          <w:rFonts w:ascii="Times New Roman" w:hAnsi="Times New Roman" w:cs="Times New Roman"/>
        </w:rPr>
        <w:t xml:space="preserve">FHL2 and FLNA </w:t>
      </w:r>
      <w:r>
        <w:rPr>
          <w:rFonts w:ascii="Times New Roman" w:hAnsi="Times New Roman" w:cs="Times New Roman"/>
        </w:rPr>
        <w:t>were both classified as stimulus-specific genes in the microarray and CAGE data sets</w:t>
      </w:r>
      <w:r w:rsidR="00745C16">
        <w:rPr>
          <w:rFonts w:ascii="Times New Roman" w:hAnsi="Times New Roman" w:cs="Times New Roman"/>
        </w:rPr>
        <w:t>.</w:t>
      </w:r>
      <w:r>
        <w:rPr>
          <w:rFonts w:ascii="Times New Roman" w:hAnsi="Times New Roman" w:cs="Times New Roman"/>
        </w:rPr>
        <w:t xml:space="preserve"> Although both genes have profiles that diverge between the EGF and HRG time courses, it appears as if the timing of this divergence is somewhat different between the CAGE and microarray data sets. For instance, FHL2 has initial divergence in the microarray profile (Fig. 1C) where this divergence occurs much later in the CAGE profile (Fig. 2C). Similarly, the observation pertains to FLNA (Figs. 1D and 2D). This could be due to the differences in sampling of time points for in CAGE and microarray data sets where </w:t>
      </w:r>
      <w:r w:rsidR="0084075B">
        <w:rPr>
          <w:rFonts w:ascii="Times New Roman" w:hAnsi="Times New Roman" w:cs="Times New Roman"/>
        </w:rPr>
        <w:t>the later occurs between 0 to 8hrs, while the microarray data set occurs between 0 and 72hrs. It is highly possible that the later phases of the CAGE profile correspond to the earlier phases of the microarray profile.</w:t>
      </w:r>
    </w:p>
    <w:p w:rsidR="00797AB7" w:rsidRDefault="00797AB7" w:rsidP="00797AB7">
      <w:pPr>
        <w:rPr>
          <w:rFonts w:ascii="Times New Roman" w:hAnsi="Times New Roman" w:cs="Times New Roman"/>
        </w:rPr>
      </w:pPr>
      <w:r>
        <w:rPr>
          <w:rFonts w:ascii="Times New Roman" w:hAnsi="Times New Roman" w:cs="Times New Roman"/>
        </w:rPr>
        <w:t xml:space="preserve">In the main paper we had highlighted four stimulus-specific genes that were associated with significant fold changes in the EGF and HRG time courses in the CAGE data. These were PHLDA2, TNFRSF11B, EGR1 and DUSP5. Inspection of the same four genes in the microarray data showed that they also adopted similar patterns of divergent expression (see Fig. 3). </w:t>
      </w:r>
    </w:p>
    <w:p w:rsidR="00797AB7" w:rsidRDefault="00797AB7">
      <w:pPr>
        <w:rPr>
          <w:rFonts w:ascii="Times New Roman" w:hAnsi="Times New Roman" w:cs="Times New Roman"/>
          <w:b/>
        </w:rPr>
      </w:pPr>
    </w:p>
    <w:p w:rsidR="00797AB7" w:rsidRDefault="00797AB7">
      <w:pPr>
        <w:rPr>
          <w:rFonts w:ascii="Times New Roman" w:hAnsi="Times New Roman" w:cs="Times New Roman"/>
          <w:b/>
        </w:rPr>
      </w:pPr>
      <w:r>
        <w:rPr>
          <w:rFonts w:ascii="Times New Roman" w:hAnsi="Times New Roman" w:cs="Times New Roman"/>
          <w:b/>
        </w:rPr>
        <w:br w:type="page"/>
      </w:r>
    </w:p>
    <w:p w:rsidR="00E4639E" w:rsidRDefault="00E4639E" w:rsidP="00185BF9">
      <w:pPr>
        <w:rPr>
          <w:rFonts w:ascii="Times New Roman" w:hAnsi="Times New Roman" w:cs="Times New Roman"/>
          <w:b/>
        </w:rPr>
      </w:pPr>
    </w:p>
    <w:p w:rsidR="00E4639E" w:rsidRDefault="00E4639E" w:rsidP="00185BF9">
      <w:pPr>
        <w:rPr>
          <w:rFonts w:ascii="Times New Roman" w:hAnsi="Times New Roman" w:cs="Times New Roman"/>
          <w:b/>
        </w:rPr>
      </w:pPr>
    </w:p>
    <w:p w:rsidR="00E4639E" w:rsidRDefault="00E4639E" w:rsidP="00185BF9">
      <w:pPr>
        <w:rPr>
          <w:rFonts w:ascii="Times New Roman" w:hAnsi="Times New Roman" w:cs="Times New Roman"/>
          <w:b/>
        </w:rPr>
      </w:pPr>
    </w:p>
    <w:p w:rsidR="00E4639E" w:rsidRDefault="00E4639E" w:rsidP="00185BF9">
      <w:pPr>
        <w:rPr>
          <w:rFonts w:ascii="Times New Roman" w:hAnsi="Times New Roman" w:cs="Times New Roman"/>
          <w:b/>
        </w:rPr>
      </w:pPr>
    </w:p>
    <w:p w:rsidR="0049395B" w:rsidRDefault="0049395B" w:rsidP="00E4639E">
      <w:pPr>
        <w:jc w:val="center"/>
        <w:rPr>
          <w:rFonts w:ascii="Times New Roman" w:hAnsi="Times New Roman" w:cs="Times New Roman"/>
        </w:rPr>
      </w:pPr>
      <w:r w:rsidRPr="00745C16">
        <w:rPr>
          <w:rFonts w:ascii="Times New Roman" w:hAnsi="Times New Roman" w:cs="Times New Roman"/>
          <w:b/>
        </w:rPr>
        <w:t>Fig 1.</w:t>
      </w:r>
      <w:r>
        <w:rPr>
          <w:rFonts w:ascii="Times New Roman" w:hAnsi="Times New Roman" w:cs="Times New Roman"/>
        </w:rPr>
        <w:t xml:space="preserve"> </w:t>
      </w:r>
      <w:r w:rsidR="00745C16">
        <w:rPr>
          <w:rFonts w:ascii="Times New Roman" w:hAnsi="Times New Roman" w:cs="Times New Roman"/>
        </w:rPr>
        <w:t>Individual gene expression profiles from the m</w:t>
      </w:r>
      <w:r>
        <w:rPr>
          <w:rFonts w:ascii="Times New Roman" w:hAnsi="Times New Roman" w:cs="Times New Roman"/>
        </w:rPr>
        <w:t>icroarray data</w:t>
      </w:r>
      <w:r w:rsidR="00745C16">
        <w:rPr>
          <w:rFonts w:ascii="Times New Roman" w:hAnsi="Times New Roman" w:cs="Times New Roman"/>
        </w:rPr>
        <w:t xml:space="preserve"> set</w:t>
      </w:r>
      <w:r>
        <w:rPr>
          <w:rFonts w:ascii="Times New Roman" w:hAnsi="Times New Roman" w:cs="Times New Roman"/>
        </w:rPr>
        <w:t>.</w:t>
      </w:r>
      <w:r w:rsidR="00745C16">
        <w:rPr>
          <w:rFonts w:ascii="Times New Roman" w:hAnsi="Times New Roman" w:cs="Times New Roman"/>
        </w:rPr>
        <w:t xml:space="preserve"> A. STRAP and B. CYTH2 are two examples of generic genes. C. FHL2 and D. FLNA are two examples of stimulus-specific genes.</w:t>
      </w:r>
    </w:p>
    <w:p w:rsidR="00797AB7" w:rsidRDefault="00797AB7" w:rsidP="00185BF9">
      <w:pPr>
        <w:rPr>
          <w:rFonts w:ascii="Times New Roman" w:hAnsi="Times New Roman" w:cs="Times New Roman"/>
        </w:rPr>
      </w:pPr>
    </w:p>
    <w:p w:rsidR="0049395B" w:rsidRDefault="00745C16" w:rsidP="00745C16">
      <w:pPr>
        <w:jc w:val="center"/>
        <w:rPr>
          <w:rFonts w:ascii="Times New Roman" w:hAnsi="Times New Roman" w:cs="Times New Roman"/>
        </w:rPr>
      </w:pPr>
      <w:r w:rsidRPr="00745C16">
        <w:rPr>
          <w:noProof/>
        </w:rPr>
        <w:drawing>
          <wp:inline distT="0" distB="0" distL="0" distR="0" wp14:anchorId="63A884D1" wp14:editId="0A557DB7">
            <wp:extent cx="6400800" cy="4490047"/>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4490047"/>
                    </a:xfrm>
                    <a:prstGeom prst="rect">
                      <a:avLst/>
                    </a:prstGeom>
                  </pic:spPr>
                </pic:pic>
              </a:graphicData>
            </a:graphic>
          </wp:inline>
        </w:drawing>
      </w:r>
    </w:p>
    <w:p w:rsidR="0049395B" w:rsidRDefault="0049395B">
      <w:pPr>
        <w:rPr>
          <w:rFonts w:ascii="Times New Roman" w:hAnsi="Times New Roman" w:cs="Times New Roman"/>
        </w:rPr>
      </w:pPr>
    </w:p>
    <w:p w:rsidR="00E633A4" w:rsidRDefault="00E633A4">
      <w:pPr>
        <w:rPr>
          <w:rFonts w:ascii="Times New Roman" w:hAnsi="Times New Roman" w:cs="Times New Roman"/>
          <w:b/>
        </w:rPr>
      </w:pPr>
      <w:r>
        <w:rPr>
          <w:rFonts w:ascii="Times New Roman" w:hAnsi="Times New Roman" w:cs="Times New Roman"/>
          <w:b/>
        </w:rPr>
        <w:br w:type="page"/>
      </w:r>
    </w:p>
    <w:p w:rsidR="00E4639E" w:rsidRDefault="00E4639E" w:rsidP="00E4639E">
      <w:pPr>
        <w:rPr>
          <w:rFonts w:ascii="Times New Roman" w:hAnsi="Times New Roman" w:cs="Times New Roman"/>
          <w:b/>
        </w:rPr>
      </w:pPr>
    </w:p>
    <w:p w:rsidR="00E4639E" w:rsidRDefault="00E4639E" w:rsidP="00E4639E">
      <w:pPr>
        <w:rPr>
          <w:rFonts w:ascii="Times New Roman" w:hAnsi="Times New Roman" w:cs="Times New Roman"/>
          <w:b/>
        </w:rPr>
      </w:pPr>
    </w:p>
    <w:p w:rsidR="00E4639E" w:rsidRDefault="00E4639E" w:rsidP="00E4639E">
      <w:pPr>
        <w:rPr>
          <w:rFonts w:ascii="Times New Roman" w:hAnsi="Times New Roman" w:cs="Times New Roman"/>
          <w:b/>
        </w:rPr>
      </w:pPr>
    </w:p>
    <w:p w:rsidR="00E4639E" w:rsidRDefault="00E4639E" w:rsidP="00E4639E">
      <w:pPr>
        <w:rPr>
          <w:rFonts w:ascii="Times New Roman" w:hAnsi="Times New Roman" w:cs="Times New Roman"/>
          <w:b/>
        </w:rPr>
      </w:pPr>
    </w:p>
    <w:p w:rsidR="0049395B" w:rsidRDefault="0049395B" w:rsidP="00E4639E">
      <w:pPr>
        <w:jc w:val="center"/>
        <w:rPr>
          <w:rFonts w:ascii="Times New Roman" w:hAnsi="Times New Roman" w:cs="Times New Roman"/>
        </w:rPr>
      </w:pPr>
      <w:r w:rsidRPr="00745C16">
        <w:rPr>
          <w:rFonts w:ascii="Times New Roman" w:hAnsi="Times New Roman" w:cs="Times New Roman"/>
          <w:b/>
        </w:rPr>
        <w:t>Fig 2.</w:t>
      </w:r>
      <w:r>
        <w:rPr>
          <w:rFonts w:ascii="Times New Roman" w:hAnsi="Times New Roman" w:cs="Times New Roman"/>
        </w:rPr>
        <w:t xml:space="preserve"> </w:t>
      </w:r>
      <w:r w:rsidR="00745C16">
        <w:rPr>
          <w:rFonts w:ascii="Times New Roman" w:hAnsi="Times New Roman" w:cs="Times New Roman"/>
        </w:rPr>
        <w:t xml:space="preserve">Individual gene expression profiles from the CAGE data set. </w:t>
      </w:r>
      <w:r w:rsidR="00745C16" w:rsidRPr="00745C16">
        <w:rPr>
          <w:rFonts w:ascii="Times New Roman" w:hAnsi="Times New Roman" w:cs="Times New Roman"/>
          <w:b/>
        </w:rPr>
        <w:t>A.</w:t>
      </w:r>
      <w:r w:rsidR="00745C16">
        <w:rPr>
          <w:rFonts w:ascii="Times New Roman" w:hAnsi="Times New Roman" w:cs="Times New Roman"/>
        </w:rPr>
        <w:t xml:space="preserve"> STRAP and </w:t>
      </w:r>
      <w:r w:rsidR="00745C16" w:rsidRPr="00745C16">
        <w:rPr>
          <w:rFonts w:ascii="Times New Roman" w:hAnsi="Times New Roman" w:cs="Times New Roman"/>
          <w:b/>
        </w:rPr>
        <w:t>B.</w:t>
      </w:r>
      <w:r w:rsidR="00745C16">
        <w:rPr>
          <w:rFonts w:ascii="Times New Roman" w:hAnsi="Times New Roman" w:cs="Times New Roman"/>
        </w:rPr>
        <w:t xml:space="preserve"> CYTH2 are two examples of generic genes. </w:t>
      </w:r>
      <w:r w:rsidR="00745C16" w:rsidRPr="00745C16">
        <w:rPr>
          <w:rFonts w:ascii="Times New Roman" w:hAnsi="Times New Roman" w:cs="Times New Roman"/>
          <w:b/>
        </w:rPr>
        <w:t>C.</w:t>
      </w:r>
      <w:r w:rsidR="00745C16">
        <w:rPr>
          <w:rFonts w:ascii="Times New Roman" w:hAnsi="Times New Roman" w:cs="Times New Roman"/>
        </w:rPr>
        <w:t xml:space="preserve"> FHL2 and </w:t>
      </w:r>
      <w:r w:rsidR="00745C16" w:rsidRPr="00745C16">
        <w:rPr>
          <w:rFonts w:ascii="Times New Roman" w:hAnsi="Times New Roman" w:cs="Times New Roman"/>
          <w:b/>
        </w:rPr>
        <w:t>D.</w:t>
      </w:r>
      <w:r w:rsidR="00745C16">
        <w:rPr>
          <w:rFonts w:ascii="Times New Roman" w:hAnsi="Times New Roman" w:cs="Times New Roman"/>
        </w:rPr>
        <w:t xml:space="preserve"> FLNA are two examples of stimulus-specific genes.</w:t>
      </w:r>
    </w:p>
    <w:p w:rsidR="00E4639E" w:rsidRDefault="00E4639E">
      <w:pPr>
        <w:rPr>
          <w:rFonts w:ascii="Times New Roman" w:hAnsi="Times New Roman" w:cs="Times New Roman"/>
        </w:rPr>
      </w:pPr>
    </w:p>
    <w:p w:rsidR="0049395B" w:rsidRDefault="0049395B" w:rsidP="00E4639E">
      <w:pPr>
        <w:jc w:val="center"/>
        <w:rPr>
          <w:rFonts w:ascii="Times New Roman" w:hAnsi="Times New Roman" w:cs="Times New Roman"/>
        </w:rPr>
      </w:pPr>
      <w:r w:rsidRPr="0049395B">
        <w:rPr>
          <w:noProof/>
        </w:rPr>
        <w:drawing>
          <wp:inline distT="0" distB="0" distL="0" distR="0" wp14:anchorId="4B3FE35F" wp14:editId="25BF03AF">
            <wp:extent cx="6400800" cy="4490046"/>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4490046"/>
                    </a:xfrm>
                    <a:prstGeom prst="rect">
                      <a:avLst/>
                    </a:prstGeom>
                  </pic:spPr>
                </pic:pic>
              </a:graphicData>
            </a:graphic>
          </wp:inline>
        </w:drawing>
      </w:r>
    </w:p>
    <w:p w:rsidR="00F570D9" w:rsidRDefault="00F570D9">
      <w:pPr>
        <w:rPr>
          <w:rFonts w:ascii="Times New Roman" w:hAnsi="Times New Roman" w:cs="Times New Roman"/>
        </w:rPr>
      </w:pPr>
    </w:p>
    <w:p w:rsidR="00745C16" w:rsidRDefault="00E633A4" w:rsidP="00E4639E">
      <w:pPr>
        <w:jc w:val="center"/>
        <w:rPr>
          <w:rFonts w:ascii="Times New Roman" w:hAnsi="Times New Roman" w:cs="Times New Roman"/>
        </w:rPr>
      </w:pPr>
      <w:r>
        <w:rPr>
          <w:rFonts w:ascii="Times New Roman" w:hAnsi="Times New Roman" w:cs="Times New Roman"/>
          <w:b/>
        </w:rPr>
        <w:br w:type="page"/>
      </w:r>
      <w:r w:rsidR="00745C16" w:rsidRPr="00793AD6">
        <w:rPr>
          <w:rFonts w:ascii="Times New Roman" w:hAnsi="Times New Roman" w:cs="Times New Roman"/>
          <w:b/>
        </w:rPr>
        <w:lastRenderedPageBreak/>
        <w:t>Fig. 3.</w:t>
      </w:r>
      <w:r w:rsidR="00745C16">
        <w:rPr>
          <w:rFonts w:ascii="Times New Roman" w:hAnsi="Times New Roman" w:cs="Times New Roman"/>
        </w:rPr>
        <w:t xml:space="preserve"> </w:t>
      </w:r>
      <w:r w:rsidR="00FB6A86">
        <w:rPr>
          <w:rFonts w:ascii="Times New Roman" w:hAnsi="Times New Roman" w:cs="Times New Roman"/>
        </w:rPr>
        <w:t xml:space="preserve">Individual gene expression profiles from the microarray data set for four stimulus-specific genes that had significant changes in the EGF and HRG time courses. </w:t>
      </w:r>
      <w:r w:rsidR="00FB6A86" w:rsidRPr="00745C16">
        <w:rPr>
          <w:rFonts w:ascii="Times New Roman" w:hAnsi="Times New Roman" w:cs="Times New Roman"/>
          <w:b/>
        </w:rPr>
        <w:t>A.</w:t>
      </w:r>
      <w:r w:rsidR="00FB6A86">
        <w:rPr>
          <w:rFonts w:ascii="Times New Roman" w:hAnsi="Times New Roman" w:cs="Times New Roman"/>
        </w:rPr>
        <w:t xml:space="preserve"> PHLDA2, </w:t>
      </w:r>
      <w:r w:rsidR="00FB6A86" w:rsidRPr="00745C16">
        <w:rPr>
          <w:rFonts w:ascii="Times New Roman" w:hAnsi="Times New Roman" w:cs="Times New Roman"/>
          <w:b/>
        </w:rPr>
        <w:t>B.</w:t>
      </w:r>
      <w:r w:rsidR="00FB6A86">
        <w:rPr>
          <w:rFonts w:ascii="Times New Roman" w:hAnsi="Times New Roman" w:cs="Times New Roman"/>
        </w:rPr>
        <w:t xml:space="preserve"> TNFRSF11B, </w:t>
      </w:r>
      <w:r w:rsidR="00FB6A86" w:rsidRPr="00745C16">
        <w:rPr>
          <w:rFonts w:ascii="Times New Roman" w:hAnsi="Times New Roman" w:cs="Times New Roman"/>
          <w:b/>
        </w:rPr>
        <w:t>C.</w:t>
      </w:r>
      <w:r w:rsidR="00FB6A86">
        <w:rPr>
          <w:rFonts w:ascii="Times New Roman" w:hAnsi="Times New Roman" w:cs="Times New Roman"/>
        </w:rPr>
        <w:t xml:space="preserve"> EGR1 and </w:t>
      </w:r>
      <w:r w:rsidR="00FB6A86" w:rsidRPr="00745C16">
        <w:rPr>
          <w:rFonts w:ascii="Times New Roman" w:hAnsi="Times New Roman" w:cs="Times New Roman"/>
          <w:b/>
        </w:rPr>
        <w:t>D.</w:t>
      </w:r>
      <w:r w:rsidR="00FB6A86">
        <w:rPr>
          <w:rFonts w:ascii="Times New Roman" w:hAnsi="Times New Roman" w:cs="Times New Roman"/>
        </w:rPr>
        <w:t xml:space="preserve"> DUSP5.</w:t>
      </w:r>
    </w:p>
    <w:p w:rsidR="00745C16" w:rsidRDefault="00745C16" w:rsidP="00745C16">
      <w:pPr>
        <w:jc w:val="center"/>
        <w:rPr>
          <w:rFonts w:ascii="Times New Roman" w:hAnsi="Times New Roman" w:cs="Times New Roman"/>
        </w:rPr>
      </w:pPr>
      <w:r w:rsidRPr="00745C16">
        <w:rPr>
          <w:noProof/>
        </w:rPr>
        <w:drawing>
          <wp:inline distT="0" distB="0" distL="0" distR="0" wp14:anchorId="0FEA17AE" wp14:editId="057198B5">
            <wp:extent cx="6400800" cy="449004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4490046"/>
                    </a:xfrm>
                    <a:prstGeom prst="rect">
                      <a:avLst/>
                    </a:prstGeom>
                  </pic:spPr>
                </pic:pic>
              </a:graphicData>
            </a:graphic>
          </wp:inline>
        </w:drawing>
      </w:r>
    </w:p>
    <w:p w:rsidR="0084075B" w:rsidRDefault="0084075B">
      <w:pPr>
        <w:rPr>
          <w:rFonts w:ascii="Times New Roman" w:hAnsi="Times New Roman" w:cs="Times New Roman"/>
          <w:i/>
        </w:rPr>
      </w:pPr>
    </w:p>
    <w:p w:rsidR="00315EA3" w:rsidRDefault="0062664A">
      <w:pPr>
        <w:rPr>
          <w:rFonts w:ascii="Times New Roman" w:hAnsi="Times New Roman" w:cs="Times New Roman"/>
          <w:i/>
        </w:rPr>
      </w:pPr>
      <w:r w:rsidRPr="00C10EF7">
        <w:rPr>
          <w:rFonts w:ascii="Times New Roman" w:hAnsi="Times New Roman" w:cs="Times New Roman"/>
          <w:i/>
        </w:rPr>
        <w:t>Validation of enriched pathways in generic and stimulus-specific genes in microarray and CAGE data sets.</w:t>
      </w:r>
    </w:p>
    <w:p w:rsidR="006803AA" w:rsidRDefault="00B345B0">
      <w:pPr>
        <w:rPr>
          <w:rFonts w:ascii="Times New Roman" w:hAnsi="Times New Roman" w:cs="Times New Roman"/>
        </w:rPr>
      </w:pPr>
      <w:r>
        <w:rPr>
          <w:rFonts w:ascii="Times New Roman" w:hAnsi="Times New Roman" w:cs="Times New Roman"/>
        </w:rPr>
        <w:t xml:space="preserve">We tested the lists of stimulus-specific and generic genes identified from the microarray data set for enrichment of GO terms and KEGG pathways. We compared the statistically-significant terms with those obtained from the CAGE data set, and identified some terms that were observed </w:t>
      </w:r>
      <w:r w:rsidR="0084075B">
        <w:rPr>
          <w:rFonts w:ascii="Times New Roman" w:hAnsi="Times New Roman" w:cs="Times New Roman"/>
        </w:rPr>
        <w:t xml:space="preserve">in </w:t>
      </w:r>
      <w:r>
        <w:rPr>
          <w:rFonts w:ascii="Times New Roman" w:hAnsi="Times New Roman" w:cs="Times New Roman"/>
        </w:rPr>
        <w:t xml:space="preserve">both CAGE and microarray data. For the generic genes, overlapping terms </w:t>
      </w:r>
      <w:r w:rsidR="006803AA">
        <w:rPr>
          <w:rFonts w:ascii="Times New Roman" w:hAnsi="Times New Roman" w:cs="Times New Roman"/>
        </w:rPr>
        <w:t xml:space="preserve">for GO:BP </w:t>
      </w:r>
      <w:r>
        <w:rPr>
          <w:rFonts w:ascii="Times New Roman" w:hAnsi="Times New Roman" w:cs="Times New Roman"/>
        </w:rPr>
        <w:t xml:space="preserve">were </w:t>
      </w:r>
      <w:r w:rsidR="006803AA">
        <w:rPr>
          <w:rFonts w:ascii="Times New Roman" w:hAnsi="Times New Roman" w:cs="Times New Roman"/>
        </w:rPr>
        <w:t xml:space="preserve">“negative regulation of transcription, DNA-templated”, “positive regulation of apoptotic genes”; for GO:CC were nucleoplasm, nucleus, cytoplasm, cytosol; and for GO:MF protein binding, transcription coactivator activity (see Table </w:t>
      </w:r>
      <w:r w:rsidR="00B724F0">
        <w:rPr>
          <w:rFonts w:ascii="Times New Roman" w:hAnsi="Times New Roman" w:cs="Times New Roman"/>
        </w:rPr>
        <w:t>5</w:t>
      </w:r>
      <w:r w:rsidR="006803AA">
        <w:rPr>
          <w:rFonts w:ascii="Times New Roman" w:hAnsi="Times New Roman" w:cs="Times New Roman"/>
        </w:rPr>
        <w:t xml:space="preserve">). </w:t>
      </w:r>
    </w:p>
    <w:p w:rsidR="006803AA" w:rsidRDefault="006803AA">
      <w:pPr>
        <w:rPr>
          <w:rFonts w:ascii="Times New Roman" w:hAnsi="Times New Roman" w:cs="Times New Roman"/>
        </w:rPr>
      </w:pPr>
      <w:r>
        <w:rPr>
          <w:rFonts w:ascii="Times New Roman" w:hAnsi="Times New Roman" w:cs="Times New Roman"/>
        </w:rPr>
        <w:t>For the stimulus-specific genes, overlapping terms were for GO:BP “positive regulation of transcription from RNA polymerase II promoter”,</w:t>
      </w:r>
      <w:r w:rsidR="00F87A24">
        <w:rPr>
          <w:rFonts w:ascii="Times New Roman" w:hAnsi="Times New Roman" w:cs="Times New Roman"/>
        </w:rPr>
        <w:t xml:space="preserve"> “negative regulation of transcription from RNA polymerase II promoter”, “negative regulation of transcription, DNA-templated”;</w:t>
      </w:r>
      <w:r>
        <w:rPr>
          <w:rFonts w:ascii="Times New Roman" w:hAnsi="Times New Roman" w:cs="Times New Roman"/>
        </w:rPr>
        <w:t xml:space="preserve"> for GO:CC nucleus, nucleolus, focal adhesion; and for GO:MF protein binding. The list of stimulus-specific genes identified from the CAGE data set were enriched for some KEGG terms, and the ones that overlapped with the microarray data were p53 signaling pathway, Shigellosis, MAPK signaling pathway, pathogenic </w:t>
      </w:r>
      <w:r w:rsidRPr="006803AA">
        <w:rPr>
          <w:rFonts w:ascii="Times New Roman" w:hAnsi="Times New Roman" w:cs="Times New Roman"/>
          <w:i/>
        </w:rPr>
        <w:t>Escherichia coli</w:t>
      </w:r>
      <w:r>
        <w:rPr>
          <w:rFonts w:ascii="Times New Roman" w:hAnsi="Times New Roman" w:cs="Times New Roman"/>
        </w:rPr>
        <w:t xml:space="preserve"> infection, and bladder cancer</w:t>
      </w:r>
      <w:r w:rsidR="0050140E">
        <w:rPr>
          <w:rFonts w:ascii="Times New Roman" w:hAnsi="Times New Roman" w:cs="Times New Roman"/>
        </w:rPr>
        <w:t xml:space="preserve"> (see Table </w:t>
      </w:r>
      <w:r w:rsidR="00B724F0">
        <w:rPr>
          <w:rFonts w:ascii="Times New Roman" w:hAnsi="Times New Roman" w:cs="Times New Roman"/>
        </w:rPr>
        <w:t>6</w:t>
      </w:r>
      <w:r w:rsidR="0050140E">
        <w:rPr>
          <w:rFonts w:ascii="Times New Roman" w:hAnsi="Times New Roman" w:cs="Times New Roman"/>
        </w:rPr>
        <w:t>)</w:t>
      </w:r>
      <w:r>
        <w:rPr>
          <w:rFonts w:ascii="Times New Roman" w:hAnsi="Times New Roman" w:cs="Times New Roman"/>
        </w:rPr>
        <w:t>.</w:t>
      </w:r>
    </w:p>
    <w:p w:rsidR="0050140E" w:rsidRDefault="0050140E">
      <w:pPr>
        <w:rPr>
          <w:rFonts w:ascii="Times New Roman" w:hAnsi="Times New Roman" w:cs="Times New Roman"/>
          <w:b/>
        </w:rPr>
      </w:pPr>
      <w:r>
        <w:rPr>
          <w:rFonts w:ascii="Times New Roman" w:hAnsi="Times New Roman" w:cs="Times New Roman"/>
        </w:rPr>
        <w:t xml:space="preserve">While there are some </w:t>
      </w:r>
      <w:r w:rsidR="0084075B">
        <w:rPr>
          <w:rFonts w:ascii="Times New Roman" w:hAnsi="Times New Roman" w:cs="Times New Roman"/>
        </w:rPr>
        <w:t xml:space="preserve">clear </w:t>
      </w:r>
      <w:r w:rsidR="00326D92">
        <w:rPr>
          <w:rFonts w:ascii="Times New Roman" w:hAnsi="Times New Roman" w:cs="Times New Roman"/>
        </w:rPr>
        <w:t xml:space="preserve">data-specific </w:t>
      </w:r>
      <w:r>
        <w:rPr>
          <w:rFonts w:ascii="Times New Roman" w:hAnsi="Times New Roman" w:cs="Times New Roman"/>
        </w:rPr>
        <w:t xml:space="preserve">differences </w:t>
      </w:r>
      <w:r w:rsidR="00326D92">
        <w:rPr>
          <w:rFonts w:ascii="Times New Roman" w:hAnsi="Times New Roman" w:cs="Times New Roman"/>
        </w:rPr>
        <w:t xml:space="preserve">observed in </w:t>
      </w:r>
      <w:r>
        <w:rPr>
          <w:rFonts w:ascii="Times New Roman" w:hAnsi="Times New Roman" w:cs="Times New Roman"/>
        </w:rPr>
        <w:t xml:space="preserve">the results obtained from the CAGE and microarray data sets </w:t>
      </w:r>
      <w:r w:rsidR="00326D92">
        <w:rPr>
          <w:rFonts w:ascii="Times New Roman" w:hAnsi="Times New Roman" w:cs="Times New Roman"/>
        </w:rPr>
        <w:t xml:space="preserve">for </w:t>
      </w:r>
      <w:r>
        <w:rPr>
          <w:rFonts w:ascii="Times New Roman" w:hAnsi="Times New Roman" w:cs="Times New Roman"/>
        </w:rPr>
        <w:t xml:space="preserve">functional enrichment, overall </w:t>
      </w:r>
      <w:r w:rsidR="0084075B">
        <w:rPr>
          <w:rFonts w:ascii="Times New Roman" w:hAnsi="Times New Roman" w:cs="Times New Roman"/>
        </w:rPr>
        <w:t xml:space="preserve">there is a smaller </w:t>
      </w:r>
      <w:r>
        <w:rPr>
          <w:rFonts w:ascii="Times New Roman" w:hAnsi="Times New Roman" w:cs="Times New Roman"/>
        </w:rPr>
        <w:t xml:space="preserve">subset of </w:t>
      </w:r>
      <w:r w:rsidR="0084075B">
        <w:rPr>
          <w:rFonts w:ascii="Times New Roman" w:hAnsi="Times New Roman" w:cs="Times New Roman"/>
        </w:rPr>
        <w:t xml:space="preserve">significant </w:t>
      </w:r>
      <w:r>
        <w:rPr>
          <w:rFonts w:ascii="Times New Roman" w:hAnsi="Times New Roman" w:cs="Times New Roman"/>
        </w:rPr>
        <w:t>terms were observed in both data sets</w:t>
      </w:r>
      <w:r w:rsidR="003F6649">
        <w:rPr>
          <w:rFonts w:ascii="Times New Roman" w:hAnsi="Times New Roman" w:cs="Times New Roman"/>
        </w:rPr>
        <w:t xml:space="preserve">. Taken together these comparisons suggest that </w:t>
      </w:r>
      <w:r w:rsidR="0084075B">
        <w:rPr>
          <w:rFonts w:ascii="Times New Roman" w:hAnsi="Times New Roman" w:cs="Times New Roman"/>
        </w:rPr>
        <w:t xml:space="preserve">there is some commonality between </w:t>
      </w:r>
      <w:r w:rsidR="003F6649">
        <w:rPr>
          <w:rFonts w:ascii="Times New Roman" w:hAnsi="Times New Roman" w:cs="Times New Roman"/>
        </w:rPr>
        <w:t xml:space="preserve">the results obtained from the CAGE data set </w:t>
      </w:r>
      <w:r w:rsidR="0084075B">
        <w:rPr>
          <w:rFonts w:ascii="Times New Roman" w:hAnsi="Times New Roman" w:cs="Times New Roman"/>
        </w:rPr>
        <w:t>and those from the microarray data set</w:t>
      </w:r>
      <w:r>
        <w:rPr>
          <w:rFonts w:ascii="Times New Roman" w:hAnsi="Times New Roman" w:cs="Times New Roman"/>
        </w:rPr>
        <w:t>.</w:t>
      </w:r>
    </w:p>
    <w:p w:rsidR="00037581" w:rsidRDefault="00037581">
      <w:pPr>
        <w:rPr>
          <w:rFonts w:ascii="Times New Roman" w:hAnsi="Times New Roman" w:cs="Times New Roman"/>
          <w:b/>
        </w:rPr>
      </w:pPr>
    </w:p>
    <w:sectPr w:rsidR="00037581" w:rsidSect="006803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MS Mincho"/>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7E7"/>
    <w:multiLevelType w:val="hybridMultilevel"/>
    <w:tmpl w:val="56905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97"/>
    <w:rsid w:val="00037581"/>
    <w:rsid w:val="000D1C0E"/>
    <w:rsid w:val="00152667"/>
    <w:rsid w:val="00165E55"/>
    <w:rsid w:val="00185BF9"/>
    <w:rsid w:val="00202475"/>
    <w:rsid w:val="00245AF4"/>
    <w:rsid w:val="00315EA3"/>
    <w:rsid w:val="00326D92"/>
    <w:rsid w:val="003F6649"/>
    <w:rsid w:val="0044728B"/>
    <w:rsid w:val="00463B97"/>
    <w:rsid w:val="00476F35"/>
    <w:rsid w:val="0049395B"/>
    <w:rsid w:val="0049554A"/>
    <w:rsid w:val="0049630D"/>
    <w:rsid w:val="0050140E"/>
    <w:rsid w:val="005214C8"/>
    <w:rsid w:val="00582FBC"/>
    <w:rsid w:val="005E535A"/>
    <w:rsid w:val="0062664A"/>
    <w:rsid w:val="00635755"/>
    <w:rsid w:val="006803AA"/>
    <w:rsid w:val="006D08CE"/>
    <w:rsid w:val="00745C16"/>
    <w:rsid w:val="00793AD6"/>
    <w:rsid w:val="00797AB7"/>
    <w:rsid w:val="0084075B"/>
    <w:rsid w:val="009E614D"/>
    <w:rsid w:val="00AE00C1"/>
    <w:rsid w:val="00B31C79"/>
    <w:rsid w:val="00B345B0"/>
    <w:rsid w:val="00B724F0"/>
    <w:rsid w:val="00BD1863"/>
    <w:rsid w:val="00BE48AF"/>
    <w:rsid w:val="00C0751D"/>
    <w:rsid w:val="00C10EF7"/>
    <w:rsid w:val="00CB78E3"/>
    <w:rsid w:val="00D7280B"/>
    <w:rsid w:val="00DB72B2"/>
    <w:rsid w:val="00E4639E"/>
    <w:rsid w:val="00E633A4"/>
    <w:rsid w:val="00E96DAA"/>
    <w:rsid w:val="00EC632F"/>
    <w:rsid w:val="00F117D7"/>
    <w:rsid w:val="00F570D9"/>
    <w:rsid w:val="00F61F09"/>
    <w:rsid w:val="00F87A24"/>
    <w:rsid w:val="00FA3FD6"/>
    <w:rsid w:val="00FB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2C453-8F9C-4E21-B156-30162076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14D"/>
    <w:pPr>
      <w:ind w:left="720"/>
      <w:contextualSpacing/>
    </w:pPr>
  </w:style>
  <w:style w:type="paragraph" w:customStyle="1" w:styleId="TableContents">
    <w:name w:val="Table Contents"/>
    <w:basedOn w:val="Normal"/>
    <w:rsid w:val="00BE48AF"/>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3238">
      <w:bodyDiv w:val="1"/>
      <w:marLeft w:val="0"/>
      <w:marRight w:val="0"/>
      <w:marTop w:val="0"/>
      <w:marBottom w:val="0"/>
      <w:divBdr>
        <w:top w:val="none" w:sz="0" w:space="0" w:color="auto"/>
        <w:left w:val="none" w:sz="0" w:space="0" w:color="auto"/>
        <w:bottom w:val="none" w:sz="0" w:space="0" w:color="auto"/>
        <w:right w:val="none" w:sz="0" w:space="0" w:color="auto"/>
      </w:divBdr>
    </w:div>
    <w:div w:id="1059552695">
      <w:bodyDiv w:val="1"/>
      <w:marLeft w:val="0"/>
      <w:marRight w:val="0"/>
      <w:marTop w:val="0"/>
      <w:marBottom w:val="0"/>
      <w:divBdr>
        <w:top w:val="none" w:sz="0" w:space="0" w:color="auto"/>
        <w:left w:val="none" w:sz="0" w:space="0" w:color="auto"/>
        <w:bottom w:val="none" w:sz="0" w:space="0" w:color="auto"/>
        <w:right w:val="none" w:sz="0" w:space="0" w:color="auto"/>
      </w:divBdr>
    </w:div>
    <w:div w:id="1432235405">
      <w:bodyDiv w:val="1"/>
      <w:marLeft w:val="0"/>
      <w:marRight w:val="0"/>
      <w:marTop w:val="0"/>
      <w:marBottom w:val="0"/>
      <w:divBdr>
        <w:top w:val="none" w:sz="0" w:space="0" w:color="auto"/>
        <w:left w:val="none" w:sz="0" w:space="0" w:color="auto"/>
        <w:bottom w:val="none" w:sz="0" w:space="0" w:color="auto"/>
        <w:right w:val="none" w:sz="0" w:space="0" w:color="auto"/>
      </w:divBdr>
    </w:div>
    <w:div w:id="1442644331">
      <w:bodyDiv w:val="1"/>
      <w:marLeft w:val="0"/>
      <w:marRight w:val="0"/>
      <w:marTop w:val="0"/>
      <w:marBottom w:val="0"/>
      <w:divBdr>
        <w:top w:val="none" w:sz="0" w:space="0" w:color="auto"/>
        <w:left w:val="none" w:sz="0" w:space="0" w:color="auto"/>
        <w:bottom w:val="none" w:sz="0" w:space="0" w:color="auto"/>
        <w:right w:val="none" w:sz="0" w:space="0" w:color="auto"/>
      </w:divBdr>
    </w:div>
    <w:div w:id="1497572058">
      <w:bodyDiv w:val="1"/>
      <w:marLeft w:val="0"/>
      <w:marRight w:val="0"/>
      <w:marTop w:val="0"/>
      <w:marBottom w:val="0"/>
      <w:divBdr>
        <w:top w:val="none" w:sz="0" w:space="0" w:color="auto"/>
        <w:left w:val="none" w:sz="0" w:space="0" w:color="auto"/>
        <w:bottom w:val="none" w:sz="0" w:space="0" w:color="auto"/>
        <w:right w:val="none" w:sz="0" w:space="0" w:color="auto"/>
      </w:divBdr>
    </w:div>
    <w:div w:id="1523517453">
      <w:bodyDiv w:val="1"/>
      <w:marLeft w:val="0"/>
      <w:marRight w:val="0"/>
      <w:marTop w:val="0"/>
      <w:marBottom w:val="0"/>
      <w:divBdr>
        <w:top w:val="none" w:sz="0" w:space="0" w:color="auto"/>
        <w:left w:val="none" w:sz="0" w:space="0" w:color="auto"/>
        <w:bottom w:val="none" w:sz="0" w:space="0" w:color="auto"/>
        <w:right w:val="none" w:sz="0" w:space="0" w:color="auto"/>
      </w:divBdr>
    </w:div>
    <w:div w:id="1542934101">
      <w:bodyDiv w:val="1"/>
      <w:marLeft w:val="0"/>
      <w:marRight w:val="0"/>
      <w:marTop w:val="0"/>
      <w:marBottom w:val="0"/>
      <w:divBdr>
        <w:top w:val="none" w:sz="0" w:space="0" w:color="auto"/>
        <w:left w:val="none" w:sz="0" w:space="0" w:color="auto"/>
        <w:bottom w:val="none" w:sz="0" w:space="0" w:color="auto"/>
        <w:right w:val="none" w:sz="0" w:space="0" w:color="auto"/>
      </w:divBdr>
    </w:div>
    <w:div w:id="17932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C874-4C58-4108-AC89-9CD9A212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dc:creator>
  <cp:keywords/>
  <dc:description/>
  <cp:lastModifiedBy>Jessica Mar</cp:lastModifiedBy>
  <cp:revision>35</cp:revision>
  <dcterms:created xsi:type="dcterms:W3CDTF">2015-09-14T05:37:00Z</dcterms:created>
  <dcterms:modified xsi:type="dcterms:W3CDTF">2015-11-24T19:17:00Z</dcterms:modified>
</cp:coreProperties>
</file>