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77" w:rsidRPr="00D50C20" w:rsidRDefault="006C7777" w:rsidP="00D70975">
      <w:pPr>
        <w:pStyle w:val="NormalWeb"/>
        <w:jc w:val="center"/>
        <w:rPr>
          <w:b/>
        </w:rPr>
      </w:pPr>
      <w:proofErr w:type="gramStart"/>
      <w:r>
        <w:rPr>
          <w:b/>
        </w:rPr>
        <w:t>S1 File.</w:t>
      </w:r>
      <w:proofErr w:type="gramEnd"/>
      <w:r>
        <w:rPr>
          <w:b/>
        </w:rPr>
        <w:t xml:space="preserve"> </w:t>
      </w:r>
      <w:r w:rsidR="001B1054" w:rsidRPr="00D50C20">
        <w:rPr>
          <w:b/>
        </w:rPr>
        <w:t>Supporting Information</w:t>
      </w:r>
    </w:p>
    <w:p w:rsidR="001B1054" w:rsidRPr="00D50C20" w:rsidRDefault="001B1054" w:rsidP="001B1054">
      <w:pPr>
        <w:pStyle w:val="Legend"/>
        <w:spacing w:before="120"/>
        <w:rPr>
          <w:sz w:val="24"/>
          <w:szCs w:val="24"/>
        </w:rPr>
      </w:pPr>
      <w:r w:rsidRPr="00D50C20">
        <w:rPr>
          <w:b/>
          <w:sz w:val="24"/>
          <w:szCs w:val="24"/>
        </w:rPr>
        <w:t>Table</w:t>
      </w:r>
      <w:r w:rsidR="00997B58">
        <w:rPr>
          <w:b/>
          <w:sz w:val="24"/>
          <w:szCs w:val="24"/>
        </w:rPr>
        <w:t xml:space="preserve"> A</w:t>
      </w:r>
      <w:r w:rsidR="00D70975" w:rsidRPr="00D50C20">
        <w:rPr>
          <w:b/>
          <w:sz w:val="24"/>
          <w:szCs w:val="24"/>
        </w:rPr>
        <w:t>.</w:t>
      </w:r>
      <w:r w:rsidRPr="00D50C20">
        <w:rPr>
          <w:b/>
          <w:sz w:val="24"/>
          <w:szCs w:val="24"/>
        </w:rPr>
        <w:t xml:space="preserve"> Bivariate correlations between baseline variables (</w:t>
      </w:r>
      <w:r w:rsidRPr="00D50C20">
        <w:rPr>
          <w:b/>
          <w:i/>
          <w:sz w:val="24"/>
          <w:szCs w:val="24"/>
        </w:rPr>
        <w:t>N</w:t>
      </w:r>
      <w:r w:rsidRPr="00D50C20">
        <w:rPr>
          <w:b/>
          <w:sz w:val="24"/>
          <w:szCs w:val="24"/>
        </w:rPr>
        <w:t xml:space="preserve"> = 48).</w:t>
      </w:r>
      <w:r w:rsidRPr="00D50C2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884"/>
        <w:gridCol w:w="795"/>
        <w:gridCol w:w="797"/>
        <w:gridCol w:w="797"/>
        <w:gridCol w:w="795"/>
        <w:gridCol w:w="797"/>
        <w:gridCol w:w="797"/>
      </w:tblGrid>
      <w:tr w:rsidR="001B1054" w:rsidRPr="00D50C20" w:rsidTr="00D50C20">
        <w:trPr>
          <w:trHeight w:val="298"/>
        </w:trPr>
        <w:tc>
          <w:tcPr>
            <w:tcW w:w="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6</w:t>
            </w:r>
          </w:p>
        </w:tc>
      </w:tr>
      <w:tr w:rsidR="001B1054" w:rsidRPr="00D50C20" w:rsidTr="00D50C20">
        <w:trPr>
          <w:trHeight w:val="204"/>
        </w:trPr>
        <w:tc>
          <w:tcPr>
            <w:tcW w:w="367" w:type="dxa"/>
            <w:tcBorders>
              <w:top w:val="single" w:sz="4" w:space="0" w:color="000000" w:themeColor="text1"/>
            </w:tcBorders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BMIz</w:t>
            </w:r>
            <w:proofErr w:type="spellEnd"/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at Baseline</w:t>
            </w:r>
          </w:p>
        </w:tc>
        <w:tc>
          <w:tcPr>
            <w:tcW w:w="795" w:type="dxa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.31*</w:t>
            </w:r>
          </w:p>
        </w:tc>
        <w:tc>
          <w:tcPr>
            <w:tcW w:w="797" w:type="dxa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-.34*</w:t>
            </w:r>
          </w:p>
        </w:tc>
        <w:tc>
          <w:tcPr>
            <w:tcW w:w="795" w:type="dxa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tabs>
                <w:tab w:val="decimal" w:pos="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.13</w:t>
            </w:r>
          </w:p>
        </w:tc>
        <w:tc>
          <w:tcPr>
            <w:tcW w:w="797" w:type="dxa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.09</w:t>
            </w:r>
          </w:p>
        </w:tc>
        <w:tc>
          <w:tcPr>
            <w:tcW w:w="797" w:type="dxa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tabs>
                <w:tab w:val="decimal" w:pos="77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-.10</w:t>
            </w:r>
          </w:p>
        </w:tc>
      </w:tr>
      <w:tr w:rsidR="001B1054" w:rsidRPr="00D50C20" w:rsidTr="00D50C20">
        <w:trPr>
          <w:trHeight w:val="264"/>
        </w:trPr>
        <w:tc>
          <w:tcPr>
            <w:tcW w:w="367" w:type="dxa"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84" w:type="dxa"/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TAT</w:t>
            </w:r>
            <w:r w:rsidRPr="00D50C20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AU"/>
              </w:rPr>
              <w:t>2500</w:t>
            </w:r>
          </w:p>
        </w:tc>
        <w:tc>
          <w:tcPr>
            <w:tcW w:w="795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-.36*</w:t>
            </w:r>
          </w:p>
        </w:tc>
        <w:tc>
          <w:tcPr>
            <w:tcW w:w="795" w:type="dxa"/>
            <w:hideMark/>
          </w:tcPr>
          <w:p w:rsidR="001B1054" w:rsidRPr="00D50C20" w:rsidRDefault="001B1054" w:rsidP="009C5C4E">
            <w:pPr>
              <w:tabs>
                <w:tab w:val="decimal" w:pos="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-.23</w:t>
            </w: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.01</w:t>
            </w: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tabs>
                <w:tab w:val="decimal" w:pos="77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-.01</w:t>
            </w:r>
          </w:p>
        </w:tc>
      </w:tr>
      <w:tr w:rsidR="001B1054" w:rsidRPr="00D50C20" w:rsidTr="00D50C20">
        <w:trPr>
          <w:trHeight w:val="207"/>
        </w:trPr>
        <w:tc>
          <w:tcPr>
            <w:tcW w:w="367" w:type="dxa"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884" w:type="dxa"/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MLiT</w:t>
            </w:r>
            <w:r w:rsidRPr="00D50C20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AU"/>
              </w:rPr>
              <w:t>200</w:t>
            </w:r>
          </w:p>
        </w:tc>
        <w:tc>
          <w:tcPr>
            <w:tcW w:w="795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95" w:type="dxa"/>
            <w:hideMark/>
          </w:tcPr>
          <w:p w:rsidR="001B1054" w:rsidRPr="00D50C20" w:rsidRDefault="001B1054" w:rsidP="009C5C4E">
            <w:pPr>
              <w:tabs>
                <w:tab w:val="decimal" w:pos="286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.45**</w:t>
            </w: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.10</w:t>
            </w: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tabs>
                <w:tab w:val="decimal" w:pos="77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.08</w:t>
            </w:r>
          </w:p>
        </w:tc>
      </w:tr>
      <w:tr w:rsidR="001B1054" w:rsidRPr="00D50C20" w:rsidTr="00D50C20">
        <w:trPr>
          <w:trHeight w:val="248"/>
        </w:trPr>
        <w:tc>
          <w:tcPr>
            <w:tcW w:w="367" w:type="dxa"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884" w:type="dxa"/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Sleep </w:t>
            </w:r>
            <w:proofErr w:type="spellStart"/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Midpoint</w:t>
            </w:r>
            <w:r w:rsidRPr="00D50C20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AU"/>
              </w:rPr>
              <w:t>a</w:t>
            </w:r>
            <w:proofErr w:type="spellEnd"/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795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5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.15</w:t>
            </w: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tabs>
                <w:tab w:val="decimal" w:pos="77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-.13</w:t>
            </w:r>
          </w:p>
        </w:tc>
      </w:tr>
      <w:tr w:rsidR="001B1054" w:rsidRPr="00D50C20" w:rsidTr="00D50C20">
        <w:trPr>
          <w:trHeight w:val="276"/>
        </w:trPr>
        <w:tc>
          <w:tcPr>
            <w:tcW w:w="367" w:type="dxa"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884" w:type="dxa"/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Sleep Duration</w:t>
            </w:r>
          </w:p>
        </w:tc>
        <w:tc>
          <w:tcPr>
            <w:tcW w:w="795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5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tabs>
                <w:tab w:val="decimal" w:pos="77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-.14</w:t>
            </w:r>
          </w:p>
        </w:tc>
      </w:tr>
      <w:tr w:rsidR="001B1054" w:rsidRPr="00D50C20" w:rsidTr="00D50C20">
        <w:trPr>
          <w:trHeight w:val="140"/>
        </w:trPr>
        <w:tc>
          <w:tcPr>
            <w:tcW w:w="367" w:type="dxa"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884" w:type="dxa"/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795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5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7" w:type="dxa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</w:tr>
    </w:tbl>
    <w:p w:rsidR="001B1054" w:rsidRPr="00D50C20" w:rsidRDefault="001B1054" w:rsidP="001B1054">
      <w:pPr>
        <w:rPr>
          <w:sz w:val="24"/>
          <w:szCs w:val="24"/>
        </w:rPr>
      </w:pPr>
      <w:r w:rsidRPr="00D50C20">
        <w:rPr>
          <w:sz w:val="24"/>
          <w:szCs w:val="24"/>
        </w:rPr>
        <w:t xml:space="preserve">Note: </w:t>
      </w:r>
      <w:r w:rsidRPr="00D50C20">
        <w:rPr>
          <w:sz w:val="24"/>
          <w:szCs w:val="24"/>
          <w:lang w:val="en-AU"/>
        </w:rPr>
        <w:t>TAT</w:t>
      </w:r>
      <w:r w:rsidRPr="00D50C20">
        <w:rPr>
          <w:sz w:val="24"/>
          <w:szCs w:val="24"/>
          <w:vertAlign w:val="superscript"/>
          <w:lang w:val="en-AU"/>
        </w:rPr>
        <w:t>2500</w:t>
      </w:r>
      <w:r w:rsidRPr="00D50C20">
        <w:rPr>
          <w:sz w:val="24"/>
          <w:szCs w:val="24"/>
        </w:rPr>
        <w:t xml:space="preserve"> is Time above threshold of 2500 lux; </w:t>
      </w:r>
      <w:r w:rsidRPr="00D50C20">
        <w:rPr>
          <w:sz w:val="24"/>
          <w:szCs w:val="24"/>
          <w:lang w:val="en-AU"/>
        </w:rPr>
        <w:t>MLiT</w:t>
      </w:r>
      <w:r w:rsidRPr="00D50C20">
        <w:rPr>
          <w:sz w:val="24"/>
          <w:szCs w:val="24"/>
          <w:vertAlign w:val="superscript"/>
          <w:lang w:val="en-AU"/>
        </w:rPr>
        <w:t>200</w:t>
      </w:r>
      <w:r w:rsidRPr="00D50C20">
        <w:rPr>
          <w:sz w:val="24"/>
          <w:szCs w:val="24"/>
        </w:rPr>
        <w:t xml:space="preserve"> is Mean Light above Threshold of 200lux</w:t>
      </w:r>
      <w:bookmarkStart w:id="0" w:name="_GoBack"/>
      <w:bookmarkEnd w:id="0"/>
    </w:p>
    <w:p w:rsidR="001B1054" w:rsidRPr="00D50C20" w:rsidRDefault="001B1054" w:rsidP="001B1054">
      <w:pPr>
        <w:rPr>
          <w:sz w:val="24"/>
          <w:szCs w:val="24"/>
        </w:rPr>
      </w:pPr>
      <w:r w:rsidRPr="00D50C20">
        <w:rPr>
          <w:sz w:val="24"/>
          <w:szCs w:val="24"/>
        </w:rPr>
        <w:t>*p &lt; .05, **p &lt; .01</w:t>
      </w:r>
    </w:p>
    <w:p w:rsidR="001B1054" w:rsidRPr="00D50C20" w:rsidRDefault="001B1054" w:rsidP="001B1054">
      <w:pPr>
        <w:rPr>
          <w:sz w:val="24"/>
          <w:szCs w:val="24"/>
        </w:rPr>
      </w:pPr>
      <w:proofErr w:type="spellStart"/>
      <w:proofErr w:type="gramStart"/>
      <w:r w:rsidRPr="00D50C20">
        <w:rPr>
          <w:rFonts w:eastAsia="Times New Roman"/>
          <w:color w:val="000000"/>
          <w:sz w:val="24"/>
          <w:szCs w:val="24"/>
          <w:vertAlign w:val="superscript"/>
          <w:lang w:eastAsia="en-AU"/>
        </w:rPr>
        <w:t>a</w:t>
      </w:r>
      <w:r w:rsidRPr="00D50C20">
        <w:rPr>
          <w:sz w:val="24"/>
          <w:szCs w:val="24"/>
        </w:rPr>
        <w:t>Sleep</w:t>
      </w:r>
      <w:proofErr w:type="spellEnd"/>
      <w:proofErr w:type="gramEnd"/>
      <w:r w:rsidRPr="00D50C20">
        <w:rPr>
          <w:sz w:val="24"/>
          <w:szCs w:val="24"/>
        </w:rPr>
        <w:t xml:space="preserve"> Midpoint has been log transformed</w:t>
      </w:r>
    </w:p>
    <w:p w:rsidR="00997B58" w:rsidRDefault="00997B58" w:rsidP="001B1054">
      <w:pPr>
        <w:pStyle w:val="Legend"/>
        <w:spacing w:before="120"/>
        <w:rPr>
          <w:b/>
          <w:sz w:val="24"/>
          <w:szCs w:val="24"/>
        </w:rPr>
      </w:pPr>
    </w:p>
    <w:p w:rsidR="001B1054" w:rsidRPr="00D50C20" w:rsidRDefault="001B1054" w:rsidP="001B1054">
      <w:pPr>
        <w:pStyle w:val="Legend"/>
        <w:spacing w:before="120"/>
        <w:rPr>
          <w:sz w:val="24"/>
          <w:szCs w:val="24"/>
        </w:rPr>
      </w:pPr>
      <w:r w:rsidRPr="00D50C20">
        <w:rPr>
          <w:b/>
          <w:sz w:val="24"/>
          <w:szCs w:val="24"/>
        </w:rPr>
        <w:t>Table</w:t>
      </w:r>
      <w:r w:rsidR="00997B58">
        <w:rPr>
          <w:b/>
          <w:sz w:val="24"/>
          <w:szCs w:val="24"/>
        </w:rPr>
        <w:t xml:space="preserve"> B</w:t>
      </w:r>
      <w:r w:rsidR="00D70975" w:rsidRPr="00D50C20">
        <w:rPr>
          <w:b/>
          <w:sz w:val="24"/>
          <w:szCs w:val="24"/>
        </w:rPr>
        <w:t>.</w:t>
      </w:r>
      <w:r w:rsidRPr="00D50C20">
        <w:rPr>
          <w:b/>
          <w:sz w:val="24"/>
          <w:szCs w:val="24"/>
        </w:rPr>
        <w:t xml:space="preserve"> Bivariate correlations between follow-up and baseline measures (</w:t>
      </w:r>
      <w:r w:rsidRPr="00D50C20">
        <w:rPr>
          <w:b/>
          <w:i/>
          <w:sz w:val="24"/>
          <w:szCs w:val="24"/>
        </w:rPr>
        <w:t xml:space="preserve">N = </w:t>
      </w:r>
      <w:r w:rsidRPr="00D50C20">
        <w:rPr>
          <w:b/>
          <w:sz w:val="24"/>
          <w:szCs w:val="24"/>
        </w:rPr>
        <w:t>39).</w:t>
      </w:r>
      <w:r w:rsidRPr="00D50C20">
        <w:rPr>
          <w:sz w:val="24"/>
          <w:szCs w:val="24"/>
        </w:rPr>
        <w:t xml:space="preserve"> </w:t>
      </w:r>
    </w:p>
    <w:tbl>
      <w:tblPr>
        <w:tblStyle w:val="TableGrid"/>
        <w:tblW w:w="376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875"/>
        <w:gridCol w:w="611"/>
        <w:gridCol w:w="1041"/>
        <w:gridCol w:w="827"/>
        <w:gridCol w:w="827"/>
        <w:gridCol w:w="827"/>
        <w:gridCol w:w="827"/>
      </w:tblGrid>
      <w:tr w:rsidR="001B1054" w:rsidRPr="00D50C20" w:rsidTr="00D50C20">
        <w:trPr>
          <w:trHeight w:val="299"/>
        </w:trPr>
        <w:tc>
          <w:tcPr>
            <w:tcW w:w="25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0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2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2</w:t>
            </w:r>
          </w:p>
        </w:tc>
        <w:tc>
          <w:tcPr>
            <w:tcW w:w="57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3</w:t>
            </w:r>
          </w:p>
        </w:tc>
        <w:tc>
          <w:tcPr>
            <w:tcW w:w="57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  <w:tc>
          <w:tcPr>
            <w:tcW w:w="57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6</w:t>
            </w:r>
          </w:p>
        </w:tc>
      </w:tr>
      <w:tr w:rsidR="001B1054" w:rsidRPr="00D50C20" w:rsidTr="00D50C20">
        <w:trPr>
          <w:trHeight w:val="299"/>
        </w:trPr>
        <w:tc>
          <w:tcPr>
            <w:tcW w:w="255" w:type="pct"/>
            <w:tcBorders>
              <w:top w:val="single" w:sz="4" w:space="0" w:color="000000" w:themeColor="text1"/>
            </w:tcBorders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302" w:type="pct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BMIz</w:t>
            </w:r>
            <w:proofErr w:type="spellEnd"/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at Follow-up</w:t>
            </w:r>
          </w:p>
        </w:tc>
        <w:tc>
          <w:tcPr>
            <w:tcW w:w="424" w:type="pct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tabs>
                <w:tab w:val="decimal" w:pos="203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.65***</w:t>
            </w:r>
          </w:p>
        </w:tc>
        <w:tc>
          <w:tcPr>
            <w:tcW w:w="574" w:type="pct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tabs>
                <w:tab w:val="decimal" w:pos="306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.36*</w:t>
            </w:r>
          </w:p>
        </w:tc>
        <w:tc>
          <w:tcPr>
            <w:tcW w:w="574" w:type="pct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tabs>
                <w:tab w:val="decimal" w:pos="12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.21</w:t>
            </w:r>
          </w:p>
        </w:tc>
        <w:tc>
          <w:tcPr>
            <w:tcW w:w="574" w:type="pct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tabs>
                <w:tab w:val="decimal" w:pos="42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-.07</w:t>
            </w:r>
          </w:p>
        </w:tc>
        <w:tc>
          <w:tcPr>
            <w:tcW w:w="574" w:type="pct"/>
            <w:tcBorders>
              <w:top w:val="single" w:sz="4" w:space="0" w:color="000000" w:themeColor="text1"/>
            </w:tcBorders>
            <w:hideMark/>
          </w:tcPr>
          <w:p w:rsidR="001B1054" w:rsidRPr="00D50C20" w:rsidRDefault="001B1054" w:rsidP="009C5C4E">
            <w:pPr>
              <w:tabs>
                <w:tab w:val="decimal" w:pos="10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-.04</w:t>
            </w:r>
          </w:p>
        </w:tc>
      </w:tr>
      <w:tr w:rsidR="001B1054" w:rsidRPr="00D50C20" w:rsidTr="00D50C20">
        <w:trPr>
          <w:trHeight w:val="299"/>
        </w:trPr>
        <w:tc>
          <w:tcPr>
            <w:tcW w:w="255" w:type="pct"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302" w:type="pct"/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BMIz</w:t>
            </w:r>
            <w:proofErr w:type="spellEnd"/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at Baseline</w:t>
            </w:r>
          </w:p>
        </w:tc>
        <w:tc>
          <w:tcPr>
            <w:tcW w:w="424" w:type="pct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23" w:type="pct"/>
            <w:hideMark/>
          </w:tcPr>
          <w:p w:rsidR="001B1054" w:rsidRPr="00D50C20" w:rsidRDefault="001B1054" w:rsidP="009C5C4E">
            <w:pPr>
              <w:tabs>
                <w:tab w:val="decimal" w:pos="10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306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-.00</w:t>
            </w: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12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.22</w:t>
            </w: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42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.06</w:t>
            </w: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10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-.16</w:t>
            </w:r>
          </w:p>
        </w:tc>
      </w:tr>
      <w:tr w:rsidR="001B1054" w:rsidRPr="00D50C20" w:rsidTr="00D50C20">
        <w:trPr>
          <w:trHeight w:val="299"/>
        </w:trPr>
        <w:tc>
          <w:tcPr>
            <w:tcW w:w="255" w:type="pct"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302" w:type="pct"/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TAT</w:t>
            </w:r>
            <w:r w:rsidRPr="00D50C20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AU"/>
              </w:rPr>
              <w:t>10</w:t>
            </w:r>
          </w:p>
        </w:tc>
        <w:tc>
          <w:tcPr>
            <w:tcW w:w="424" w:type="pct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23" w:type="pct"/>
            <w:hideMark/>
          </w:tcPr>
          <w:p w:rsidR="001B1054" w:rsidRPr="00D50C20" w:rsidRDefault="001B1054" w:rsidP="009C5C4E">
            <w:pPr>
              <w:tabs>
                <w:tab w:val="decimal" w:pos="203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10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12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-.27</w:t>
            </w: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42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-.10</w:t>
            </w: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10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.10</w:t>
            </w:r>
          </w:p>
        </w:tc>
      </w:tr>
      <w:tr w:rsidR="001B1054" w:rsidRPr="00D50C20" w:rsidTr="00D50C20">
        <w:trPr>
          <w:trHeight w:val="299"/>
        </w:trPr>
        <w:tc>
          <w:tcPr>
            <w:tcW w:w="255" w:type="pct"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302" w:type="pct"/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Sleep </w:t>
            </w:r>
            <w:proofErr w:type="spellStart"/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Midpoint</w:t>
            </w:r>
            <w:r w:rsidRPr="00D50C20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AU"/>
              </w:rPr>
              <w:t>a</w:t>
            </w:r>
            <w:proofErr w:type="spellEnd"/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424" w:type="pct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23" w:type="pct"/>
            <w:hideMark/>
          </w:tcPr>
          <w:p w:rsidR="001B1054" w:rsidRPr="00D50C20" w:rsidRDefault="001B1054" w:rsidP="009C5C4E">
            <w:pPr>
              <w:tabs>
                <w:tab w:val="decimal" w:pos="203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432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12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42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.04</w:t>
            </w: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10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-.05</w:t>
            </w:r>
          </w:p>
        </w:tc>
      </w:tr>
      <w:tr w:rsidR="001B1054" w:rsidRPr="00D50C20" w:rsidTr="00D50C20">
        <w:trPr>
          <w:trHeight w:val="299"/>
        </w:trPr>
        <w:tc>
          <w:tcPr>
            <w:tcW w:w="255" w:type="pct"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302" w:type="pct"/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Sleep Duration</w:t>
            </w:r>
          </w:p>
        </w:tc>
        <w:tc>
          <w:tcPr>
            <w:tcW w:w="424" w:type="pct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23" w:type="pct"/>
            <w:hideMark/>
          </w:tcPr>
          <w:p w:rsidR="001B1054" w:rsidRPr="00D50C20" w:rsidRDefault="001B1054" w:rsidP="009C5C4E">
            <w:pPr>
              <w:tabs>
                <w:tab w:val="decimal" w:pos="203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432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12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12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10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-.12</w:t>
            </w:r>
          </w:p>
        </w:tc>
      </w:tr>
      <w:tr w:rsidR="001B1054" w:rsidRPr="00D50C20" w:rsidTr="00D50C20">
        <w:trPr>
          <w:trHeight w:val="299"/>
        </w:trPr>
        <w:tc>
          <w:tcPr>
            <w:tcW w:w="255" w:type="pct"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302" w:type="pct"/>
            <w:hideMark/>
          </w:tcPr>
          <w:p w:rsidR="001B1054" w:rsidRPr="00D50C20" w:rsidRDefault="001B1054" w:rsidP="009C5C4E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424" w:type="pct"/>
            <w:hideMark/>
          </w:tcPr>
          <w:p w:rsidR="001B1054" w:rsidRPr="00D50C20" w:rsidRDefault="001B1054" w:rsidP="009C5C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23" w:type="pct"/>
            <w:hideMark/>
          </w:tcPr>
          <w:p w:rsidR="001B1054" w:rsidRPr="00D50C20" w:rsidRDefault="001B1054" w:rsidP="009C5C4E">
            <w:pPr>
              <w:tabs>
                <w:tab w:val="decimal" w:pos="203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432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12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42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4" w:type="pct"/>
            <w:hideMark/>
          </w:tcPr>
          <w:p w:rsidR="001B1054" w:rsidRPr="00D50C20" w:rsidRDefault="001B1054" w:rsidP="009C5C4E">
            <w:pPr>
              <w:tabs>
                <w:tab w:val="decimal" w:pos="10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</w:tr>
    </w:tbl>
    <w:p w:rsidR="001B1054" w:rsidRPr="00D50C20" w:rsidRDefault="001B1054" w:rsidP="001B1054">
      <w:pPr>
        <w:rPr>
          <w:sz w:val="24"/>
          <w:szCs w:val="24"/>
        </w:rPr>
      </w:pPr>
      <w:r w:rsidRPr="00D50C20">
        <w:rPr>
          <w:sz w:val="24"/>
          <w:szCs w:val="24"/>
        </w:rPr>
        <w:t xml:space="preserve">Note: </w:t>
      </w:r>
      <w:r w:rsidRPr="00D50C20">
        <w:rPr>
          <w:sz w:val="24"/>
          <w:szCs w:val="24"/>
          <w:lang w:val="en-AU"/>
        </w:rPr>
        <w:t>TAT</w:t>
      </w:r>
      <w:r w:rsidRPr="00D50C20">
        <w:rPr>
          <w:sz w:val="24"/>
          <w:szCs w:val="24"/>
          <w:vertAlign w:val="superscript"/>
          <w:lang w:val="en-AU"/>
        </w:rPr>
        <w:t>2500</w:t>
      </w:r>
      <w:r w:rsidRPr="00D50C20">
        <w:rPr>
          <w:sz w:val="24"/>
          <w:szCs w:val="24"/>
        </w:rPr>
        <w:t xml:space="preserve"> is Time above threshold of 2500 lux; </w:t>
      </w:r>
      <w:r w:rsidRPr="00D50C20">
        <w:rPr>
          <w:sz w:val="24"/>
          <w:szCs w:val="24"/>
          <w:lang w:val="en-AU"/>
        </w:rPr>
        <w:t>MLiT</w:t>
      </w:r>
      <w:r w:rsidRPr="00D50C20">
        <w:rPr>
          <w:sz w:val="24"/>
          <w:szCs w:val="24"/>
          <w:vertAlign w:val="superscript"/>
          <w:lang w:val="en-AU"/>
        </w:rPr>
        <w:t>200</w:t>
      </w:r>
      <w:r w:rsidRPr="00D50C20">
        <w:rPr>
          <w:sz w:val="24"/>
          <w:szCs w:val="24"/>
        </w:rPr>
        <w:t xml:space="preserve"> is Mean Light above Threshold of 200lux</w:t>
      </w:r>
    </w:p>
    <w:p w:rsidR="001B1054" w:rsidRPr="00D50C20" w:rsidRDefault="001B1054" w:rsidP="001B1054">
      <w:pPr>
        <w:rPr>
          <w:sz w:val="24"/>
          <w:szCs w:val="24"/>
        </w:rPr>
      </w:pPr>
      <w:r w:rsidRPr="00D50C20">
        <w:rPr>
          <w:sz w:val="24"/>
          <w:szCs w:val="24"/>
        </w:rPr>
        <w:t>*p &lt; .05, ***p &lt; .001</w:t>
      </w:r>
    </w:p>
    <w:p w:rsidR="001B1054" w:rsidRPr="00D50C20" w:rsidRDefault="001B1054" w:rsidP="001B1054">
      <w:pPr>
        <w:rPr>
          <w:sz w:val="24"/>
          <w:szCs w:val="24"/>
        </w:rPr>
      </w:pPr>
      <w:proofErr w:type="spellStart"/>
      <w:proofErr w:type="gramStart"/>
      <w:r w:rsidRPr="00D50C20">
        <w:rPr>
          <w:rFonts w:eastAsia="Times New Roman"/>
          <w:color w:val="000000"/>
          <w:sz w:val="24"/>
          <w:szCs w:val="24"/>
          <w:vertAlign w:val="superscript"/>
          <w:lang w:eastAsia="en-AU"/>
        </w:rPr>
        <w:t>a</w:t>
      </w:r>
      <w:r w:rsidRPr="00D50C20">
        <w:rPr>
          <w:rFonts w:eastAsia="Times New Roman"/>
          <w:color w:val="000000"/>
          <w:sz w:val="24"/>
          <w:szCs w:val="24"/>
          <w:lang w:eastAsia="en-AU"/>
        </w:rPr>
        <w:t>Sleep</w:t>
      </w:r>
      <w:proofErr w:type="spellEnd"/>
      <w:proofErr w:type="gramEnd"/>
      <w:r w:rsidRPr="00D50C20">
        <w:rPr>
          <w:rFonts w:eastAsia="Times New Roman"/>
          <w:color w:val="000000"/>
          <w:sz w:val="24"/>
          <w:szCs w:val="24"/>
          <w:lang w:eastAsia="en-AU"/>
        </w:rPr>
        <w:t xml:space="preserve"> Midpoint has been log transformed</w:t>
      </w:r>
    </w:p>
    <w:p w:rsidR="009C5C4E" w:rsidRDefault="009C5C4E"/>
    <w:p w:rsidR="002B37A8" w:rsidRPr="00D50C20" w:rsidRDefault="002B37A8" w:rsidP="002B37A8">
      <w:pPr>
        <w:pStyle w:val="Legend"/>
        <w:spacing w:before="120"/>
        <w:rPr>
          <w:sz w:val="24"/>
          <w:szCs w:val="24"/>
        </w:rPr>
      </w:pPr>
      <w:r w:rsidRPr="00D50C20">
        <w:rPr>
          <w:b/>
          <w:sz w:val="24"/>
          <w:szCs w:val="24"/>
        </w:rPr>
        <w:t>Table</w:t>
      </w:r>
      <w:r w:rsidR="00997B58">
        <w:rPr>
          <w:b/>
          <w:sz w:val="24"/>
          <w:szCs w:val="24"/>
        </w:rPr>
        <w:t xml:space="preserve"> C</w:t>
      </w:r>
      <w:r w:rsidRPr="00D50C2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Proportion of </w:t>
      </w:r>
      <w:r w:rsidR="004451A0">
        <w:rPr>
          <w:b/>
          <w:sz w:val="24"/>
          <w:szCs w:val="24"/>
        </w:rPr>
        <w:t xml:space="preserve">parents in each identified </w:t>
      </w:r>
      <w:r>
        <w:rPr>
          <w:b/>
          <w:sz w:val="24"/>
          <w:szCs w:val="24"/>
        </w:rPr>
        <w:t>ethnic</w:t>
      </w:r>
      <w:r w:rsidR="004451A0">
        <w:rPr>
          <w:b/>
          <w:sz w:val="24"/>
          <w:szCs w:val="24"/>
        </w:rPr>
        <w:t xml:space="preserve"> group</w:t>
      </w:r>
      <w:r>
        <w:rPr>
          <w:b/>
          <w:sz w:val="24"/>
          <w:szCs w:val="24"/>
        </w:rPr>
        <w:t xml:space="preserve"> </w:t>
      </w:r>
      <w:r w:rsidRPr="00D50C20">
        <w:rPr>
          <w:b/>
          <w:sz w:val="24"/>
          <w:szCs w:val="24"/>
        </w:rPr>
        <w:t>(</w:t>
      </w:r>
      <w:r w:rsidRPr="00D50C20">
        <w:rPr>
          <w:b/>
          <w:i/>
          <w:sz w:val="24"/>
          <w:szCs w:val="24"/>
        </w:rPr>
        <w:t xml:space="preserve">N = </w:t>
      </w:r>
      <w:r>
        <w:rPr>
          <w:b/>
          <w:sz w:val="24"/>
          <w:szCs w:val="24"/>
        </w:rPr>
        <w:t>42</w:t>
      </w:r>
      <w:r w:rsidRPr="00D50C20">
        <w:rPr>
          <w:b/>
          <w:sz w:val="24"/>
          <w:szCs w:val="24"/>
        </w:rPr>
        <w:t>).</w:t>
      </w:r>
      <w:r w:rsidRPr="00D50C20">
        <w:rPr>
          <w:sz w:val="24"/>
          <w:szCs w:val="24"/>
        </w:rPr>
        <w:t xml:space="preserve"> </w:t>
      </w:r>
    </w:p>
    <w:tbl>
      <w:tblPr>
        <w:tblStyle w:val="TableGrid"/>
        <w:tblW w:w="3535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8"/>
      </w:tblGrid>
      <w:tr w:rsidR="002B37A8" w:rsidRPr="00D50C20" w:rsidTr="000D4DA2">
        <w:trPr>
          <w:trHeight w:val="299"/>
        </w:trPr>
        <w:tc>
          <w:tcPr>
            <w:tcW w:w="269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2B37A8" w:rsidRPr="00D50C20" w:rsidRDefault="002B37A8" w:rsidP="00394C89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230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2B37A8" w:rsidRPr="00D50C20" w:rsidRDefault="002B37A8" w:rsidP="004451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  <w:t>Proportion of Parents (%)</w:t>
            </w:r>
          </w:p>
        </w:tc>
      </w:tr>
      <w:tr w:rsidR="002B37A8" w:rsidRPr="00D50C20" w:rsidTr="000D4DA2">
        <w:trPr>
          <w:trHeight w:val="299"/>
        </w:trPr>
        <w:tc>
          <w:tcPr>
            <w:tcW w:w="2697" w:type="pct"/>
            <w:tcBorders>
              <w:top w:val="single" w:sz="4" w:space="0" w:color="000000" w:themeColor="text1"/>
            </w:tcBorders>
            <w:hideMark/>
          </w:tcPr>
          <w:p w:rsidR="002B37A8" w:rsidRPr="00D50C20" w:rsidRDefault="002B37A8" w:rsidP="00394C89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Oceania</w:t>
            </w:r>
          </w:p>
        </w:tc>
        <w:tc>
          <w:tcPr>
            <w:tcW w:w="2303" w:type="pct"/>
            <w:tcBorders>
              <w:top w:val="single" w:sz="4" w:space="0" w:color="000000" w:themeColor="text1"/>
            </w:tcBorders>
            <w:hideMark/>
          </w:tcPr>
          <w:p w:rsidR="002B37A8" w:rsidRPr="00D50C20" w:rsidRDefault="002B37A8" w:rsidP="00394C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66.7</w:t>
            </w:r>
          </w:p>
        </w:tc>
      </w:tr>
      <w:tr w:rsidR="002B37A8" w:rsidRPr="00D50C20" w:rsidTr="000D4DA2">
        <w:trPr>
          <w:trHeight w:val="299"/>
        </w:trPr>
        <w:tc>
          <w:tcPr>
            <w:tcW w:w="2697" w:type="pct"/>
            <w:hideMark/>
          </w:tcPr>
          <w:p w:rsidR="002B37A8" w:rsidRPr="00D50C20" w:rsidRDefault="002B37A8" w:rsidP="00394C89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North-East Asian</w:t>
            </w:r>
          </w:p>
        </w:tc>
        <w:tc>
          <w:tcPr>
            <w:tcW w:w="2303" w:type="pct"/>
            <w:hideMark/>
          </w:tcPr>
          <w:p w:rsidR="002B37A8" w:rsidRPr="00D50C20" w:rsidRDefault="002B37A8" w:rsidP="00394C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4.8</w:t>
            </w:r>
          </w:p>
        </w:tc>
      </w:tr>
      <w:tr w:rsidR="002B37A8" w:rsidRPr="00D50C20" w:rsidTr="000D4DA2">
        <w:trPr>
          <w:trHeight w:val="299"/>
        </w:trPr>
        <w:tc>
          <w:tcPr>
            <w:tcW w:w="2697" w:type="pct"/>
            <w:hideMark/>
          </w:tcPr>
          <w:p w:rsidR="002B37A8" w:rsidRPr="00D50C20" w:rsidRDefault="002B37A8" w:rsidP="00394C8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North African and Middle Eastern</w:t>
            </w:r>
          </w:p>
        </w:tc>
        <w:tc>
          <w:tcPr>
            <w:tcW w:w="2303" w:type="pct"/>
            <w:hideMark/>
          </w:tcPr>
          <w:p w:rsidR="002B37A8" w:rsidRPr="00D50C20" w:rsidRDefault="002B37A8" w:rsidP="00394C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2.4</w:t>
            </w:r>
          </w:p>
        </w:tc>
      </w:tr>
      <w:tr w:rsidR="002B37A8" w:rsidRPr="00D50C20" w:rsidTr="000D4DA2">
        <w:trPr>
          <w:trHeight w:val="299"/>
        </w:trPr>
        <w:tc>
          <w:tcPr>
            <w:tcW w:w="2697" w:type="pct"/>
            <w:hideMark/>
          </w:tcPr>
          <w:p w:rsidR="002B37A8" w:rsidRPr="00D50C20" w:rsidRDefault="002B37A8" w:rsidP="00394C89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Southern and Central Asian</w:t>
            </w:r>
            <w:r w:rsidRPr="00D50C20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303" w:type="pct"/>
            <w:hideMark/>
          </w:tcPr>
          <w:p w:rsidR="002B37A8" w:rsidRPr="00D50C20" w:rsidRDefault="002B37A8" w:rsidP="00394C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2.4</w:t>
            </w:r>
          </w:p>
        </w:tc>
      </w:tr>
      <w:tr w:rsidR="002B37A8" w:rsidRPr="00D50C20" w:rsidTr="000D4DA2">
        <w:trPr>
          <w:trHeight w:val="299"/>
        </w:trPr>
        <w:tc>
          <w:tcPr>
            <w:tcW w:w="2697" w:type="pct"/>
            <w:hideMark/>
          </w:tcPr>
          <w:p w:rsidR="002B37A8" w:rsidRPr="00D50C20" w:rsidRDefault="002B37A8" w:rsidP="00394C89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North-West European</w:t>
            </w:r>
          </w:p>
        </w:tc>
        <w:tc>
          <w:tcPr>
            <w:tcW w:w="2303" w:type="pct"/>
            <w:hideMark/>
          </w:tcPr>
          <w:p w:rsidR="002B37A8" w:rsidRPr="00D50C20" w:rsidRDefault="002B37A8" w:rsidP="00394C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7.1</w:t>
            </w:r>
          </w:p>
        </w:tc>
      </w:tr>
      <w:tr w:rsidR="002B37A8" w:rsidRPr="00D50C20" w:rsidTr="000D4DA2">
        <w:trPr>
          <w:trHeight w:val="299"/>
        </w:trPr>
        <w:tc>
          <w:tcPr>
            <w:tcW w:w="2697" w:type="pct"/>
            <w:hideMark/>
          </w:tcPr>
          <w:p w:rsidR="002B37A8" w:rsidRPr="00D50C20" w:rsidRDefault="002B37A8" w:rsidP="00394C89">
            <w:pPr>
              <w:rPr>
                <w:rFonts w:eastAsia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Southern and Eastern European</w:t>
            </w:r>
          </w:p>
        </w:tc>
        <w:tc>
          <w:tcPr>
            <w:tcW w:w="2303" w:type="pct"/>
            <w:hideMark/>
          </w:tcPr>
          <w:p w:rsidR="002B37A8" w:rsidRPr="00D50C20" w:rsidRDefault="002B37A8" w:rsidP="00394C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4.8</w:t>
            </w:r>
          </w:p>
        </w:tc>
      </w:tr>
      <w:tr w:rsidR="002B37A8" w:rsidRPr="00D50C20" w:rsidTr="000D4DA2">
        <w:trPr>
          <w:trHeight w:val="299"/>
        </w:trPr>
        <w:tc>
          <w:tcPr>
            <w:tcW w:w="2697" w:type="pct"/>
          </w:tcPr>
          <w:p w:rsidR="002B37A8" w:rsidRDefault="002B37A8" w:rsidP="00394C8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No Specific Ethnic Identification</w:t>
            </w:r>
          </w:p>
        </w:tc>
        <w:tc>
          <w:tcPr>
            <w:tcW w:w="2303" w:type="pct"/>
          </w:tcPr>
          <w:p w:rsidR="002B37A8" w:rsidRPr="00D50C20" w:rsidRDefault="002B37A8" w:rsidP="00394C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11.9</w:t>
            </w:r>
          </w:p>
        </w:tc>
      </w:tr>
    </w:tbl>
    <w:p w:rsidR="002B37A8" w:rsidRPr="00997B58" w:rsidRDefault="002B37A8">
      <w:pPr>
        <w:rPr>
          <w:sz w:val="24"/>
          <w:szCs w:val="24"/>
        </w:rPr>
      </w:pPr>
      <w:r w:rsidRPr="00D50C20">
        <w:rPr>
          <w:sz w:val="24"/>
          <w:szCs w:val="24"/>
        </w:rPr>
        <w:lastRenderedPageBreak/>
        <w:t xml:space="preserve">Note: </w:t>
      </w:r>
      <w:r w:rsidR="004451A0">
        <w:rPr>
          <w:sz w:val="24"/>
          <w:szCs w:val="24"/>
        </w:rPr>
        <w:t xml:space="preserve">Ethnic group classification was identified </w:t>
      </w:r>
      <w:r w:rsidR="00906618">
        <w:rPr>
          <w:sz w:val="24"/>
          <w:szCs w:val="24"/>
        </w:rPr>
        <w:t>in accordance to</w:t>
      </w:r>
      <w:r w:rsidR="004451A0">
        <w:rPr>
          <w:sz w:val="24"/>
          <w:szCs w:val="24"/>
        </w:rPr>
        <w:t xml:space="preserve"> the Australian Bureau of Statistics - Australian Standard Classification of Cultural and Ethnic Groups (ASCCEG), 2011</w:t>
      </w:r>
      <w:r w:rsidR="00F77200">
        <w:rPr>
          <w:rStyle w:val="FootnoteReference"/>
          <w:sz w:val="24"/>
          <w:szCs w:val="24"/>
        </w:rPr>
        <w:footnoteReference w:id="1"/>
      </w:r>
      <w:r w:rsidR="004451A0">
        <w:rPr>
          <w:sz w:val="24"/>
          <w:szCs w:val="24"/>
        </w:rPr>
        <w:t xml:space="preserve">. </w:t>
      </w:r>
    </w:p>
    <w:sectPr w:rsidR="002B37A8" w:rsidRPr="00997B58" w:rsidSect="009C5C4E">
      <w:headerReference w:type="default" r:id="rId8"/>
      <w:headerReference w:type="first" r:id="rId9"/>
      <w:pgSz w:w="12240" w:h="15840"/>
      <w:pgMar w:top="1440" w:right="1440" w:bottom="1440" w:left="1440" w:header="432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4E" w:rsidRDefault="009C5C4E" w:rsidP="001B1054">
      <w:r>
        <w:separator/>
      </w:r>
    </w:p>
  </w:endnote>
  <w:endnote w:type="continuationSeparator" w:id="0">
    <w:p w:rsidR="009C5C4E" w:rsidRDefault="009C5C4E" w:rsidP="001B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4E" w:rsidRDefault="009C5C4E" w:rsidP="001B1054">
      <w:r>
        <w:separator/>
      </w:r>
    </w:p>
  </w:footnote>
  <w:footnote w:type="continuationSeparator" w:id="0">
    <w:p w:rsidR="009C5C4E" w:rsidRDefault="009C5C4E" w:rsidP="001B1054">
      <w:r>
        <w:continuationSeparator/>
      </w:r>
    </w:p>
  </w:footnote>
  <w:footnote w:id="1">
    <w:p w:rsidR="00F77200" w:rsidRPr="00F77200" w:rsidRDefault="00F77200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proofErr w:type="gramStart"/>
      <w:r>
        <w:t>Australian Bureau of Statistics.</w:t>
      </w:r>
      <w:proofErr w:type="gramEnd"/>
      <w:r>
        <w:t xml:space="preserve"> </w:t>
      </w:r>
      <w:proofErr w:type="gramStart"/>
      <w:r w:rsidRPr="00BF1452">
        <w:t>1249.0 - Australian Standard Classification of Cult</w:t>
      </w:r>
      <w:r>
        <w:t>ural and Ethnic Groups (ASCCEG).</w:t>
      </w:r>
      <w:proofErr w:type="gramEnd"/>
      <w:r w:rsidRPr="00BF1452">
        <w:t xml:space="preserve"> 2011</w:t>
      </w:r>
      <w:r>
        <w:t xml:space="preserve">. Available online at: </w:t>
      </w:r>
      <w:hyperlink r:id="rId1" w:history="1">
        <w:r w:rsidRPr="00583D18">
          <w:rPr>
            <w:rStyle w:val="Hyperlink"/>
          </w:rPr>
          <w:t>http://www.abs.gov.au/ausstats/abs@.nsf/Latestproducts/1249.0Main%20Features12011?opendocument&amp;tabname=Summary&amp;prodno=1249.0&amp;issue=2011&amp;num=&amp;view</w:t>
        </w:r>
      </w:hyperlink>
      <w:r w:rsidRPr="00BF1452">
        <w:t>=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4E" w:rsidRDefault="009C5C4E">
    <w:pPr>
      <w:pStyle w:val="Header"/>
    </w:pPr>
    <w:r>
      <w:tab/>
    </w:r>
    <w:r>
      <w:tab/>
    </w:r>
    <w:r w:rsidR="00C71680">
      <w:fldChar w:fldCharType="begin"/>
    </w:r>
    <w:r w:rsidR="00D50C20">
      <w:instrText xml:space="preserve"> PAGE   \* MERGEFORMAT </w:instrText>
    </w:r>
    <w:r w:rsidR="00C71680">
      <w:fldChar w:fldCharType="separate"/>
    </w:r>
    <w:r w:rsidR="00997B58">
      <w:rPr>
        <w:noProof/>
      </w:rPr>
      <w:t>2</w:t>
    </w:r>
    <w:r w:rsidR="00C7168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4E" w:rsidRDefault="00D70975" w:rsidP="009C5C4E">
    <w:pPr>
      <w:pStyle w:val="Header"/>
    </w:pPr>
    <w:r w:rsidRPr="00E023A8">
      <w:t>Environmental Light Exposure is Associated with Increased Body Mass in Children</w:t>
    </w:r>
    <w:r>
      <w:t xml:space="preserve">         </w:t>
    </w:r>
    <w:r>
      <w:tab/>
    </w:r>
    <w:r w:rsidR="00C71680">
      <w:fldChar w:fldCharType="begin"/>
    </w:r>
    <w:r w:rsidR="00D50C20">
      <w:instrText xml:space="preserve"> PAGE   \* MERGEFORMAT </w:instrText>
    </w:r>
    <w:r w:rsidR="00C71680">
      <w:fldChar w:fldCharType="separate"/>
    </w:r>
    <w:r w:rsidR="00997B58">
      <w:rPr>
        <w:noProof/>
      </w:rPr>
      <w:t>1</w:t>
    </w:r>
    <w:r w:rsidR="00C71680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054"/>
    <w:rsid w:val="000D4DA2"/>
    <w:rsid w:val="001B1054"/>
    <w:rsid w:val="002467EB"/>
    <w:rsid w:val="002B37A8"/>
    <w:rsid w:val="00396BFC"/>
    <w:rsid w:val="003C795B"/>
    <w:rsid w:val="004451A0"/>
    <w:rsid w:val="005B3D1F"/>
    <w:rsid w:val="006C7777"/>
    <w:rsid w:val="00767423"/>
    <w:rsid w:val="008B20D1"/>
    <w:rsid w:val="008B6E0A"/>
    <w:rsid w:val="00906618"/>
    <w:rsid w:val="00997B58"/>
    <w:rsid w:val="009B1800"/>
    <w:rsid w:val="009C5C4E"/>
    <w:rsid w:val="00A638A7"/>
    <w:rsid w:val="00AA18C1"/>
    <w:rsid w:val="00AE3BCD"/>
    <w:rsid w:val="00BE47C1"/>
    <w:rsid w:val="00C71680"/>
    <w:rsid w:val="00D43C61"/>
    <w:rsid w:val="00D50C20"/>
    <w:rsid w:val="00D70975"/>
    <w:rsid w:val="00F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1B1054"/>
  </w:style>
  <w:style w:type="paragraph" w:styleId="Header">
    <w:name w:val="header"/>
    <w:basedOn w:val="Normal"/>
    <w:link w:val="HeaderChar"/>
    <w:rsid w:val="001B105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B10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B1054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character" w:styleId="LineNumber">
    <w:name w:val="line number"/>
    <w:basedOn w:val="DefaultParagraphFont"/>
    <w:uiPriority w:val="99"/>
    <w:semiHidden/>
    <w:unhideWhenUsed/>
    <w:rsid w:val="001B1054"/>
  </w:style>
  <w:style w:type="paragraph" w:styleId="Footer">
    <w:name w:val="footer"/>
    <w:basedOn w:val="Normal"/>
    <w:link w:val="FooterChar"/>
    <w:uiPriority w:val="99"/>
    <w:unhideWhenUsed/>
    <w:rsid w:val="001B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054"/>
    <w:rPr>
      <w:rFonts w:ascii="Times New Roman" w:eastAsia="Calibri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B1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A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720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200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2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1B1054"/>
  </w:style>
  <w:style w:type="paragraph" w:styleId="Header">
    <w:name w:val="header"/>
    <w:basedOn w:val="Normal"/>
    <w:link w:val="HeaderChar"/>
    <w:rsid w:val="001B105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B10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B1054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character" w:styleId="LineNumber">
    <w:name w:val="line number"/>
    <w:basedOn w:val="DefaultParagraphFont"/>
    <w:uiPriority w:val="99"/>
    <w:semiHidden/>
    <w:unhideWhenUsed/>
    <w:rsid w:val="001B1054"/>
  </w:style>
  <w:style w:type="paragraph" w:styleId="Footer">
    <w:name w:val="footer"/>
    <w:basedOn w:val="Normal"/>
    <w:link w:val="FooterChar"/>
    <w:uiPriority w:val="99"/>
    <w:unhideWhenUsed/>
    <w:rsid w:val="001B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054"/>
    <w:rPr>
      <w:rFonts w:ascii="Times New Roman" w:eastAsia="Calibri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B10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A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720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200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2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7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.gov.au/ausstats/abs@.nsf/Latestproducts/1249.0Main%20Features12011?opendocument&amp;tabname=Summary&amp;prodno=1249.0&amp;issue=2011&amp;num=&amp;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13D8-C5BF-4034-958F-C83D4A79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D4181276.dotm</Template>
  <TotalTime>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pattinsc</dc:creator>
  <cp:lastModifiedBy>pattinsc</cp:lastModifiedBy>
  <cp:revision>3</cp:revision>
  <dcterms:created xsi:type="dcterms:W3CDTF">2015-11-24T00:49:00Z</dcterms:created>
  <dcterms:modified xsi:type="dcterms:W3CDTF">2015-11-26T00:04:00Z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cassandra.pattinson@qut.edu.au@www.mendeley.com</vt:lpwstr>
  </property>
</Properties>
</file>