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6E" w:rsidRPr="00741A68" w:rsidRDefault="00741A68" w:rsidP="00741A68">
      <w:pPr>
        <w:spacing w:after="120" w:line="480" w:lineRule="auto"/>
        <w:jc w:val="center"/>
        <w:rPr>
          <w:rFonts w:ascii="Arial" w:hAnsi="Arial" w:cs="Arial"/>
          <w:b/>
          <w:bCs/>
          <w:sz w:val="36"/>
          <w:szCs w:val="24"/>
          <w:lang w:val="en-GB"/>
        </w:rPr>
      </w:pPr>
      <w:r w:rsidRPr="00741A68">
        <w:rPr>
          <w:rFonts w:ascii="Arial" w:hAnsi="Arial" w:cs="Arial"/>
          <w:b/>
          <w:bCs/>
          <w:sz w:val="36"/>
          <w:szCs w:val="24"/>
          <w:lang w:val="en-GB"/>
        </w:rPr>
        <w:t>S1 Protocol</w:t>
      </w:r>
    </w:p>
    <w:p w:rsidR="00066A98" w:rsidRPr="00CD2D6E" w:rsidRDefault="00CD2D6E" w:rsidP="001D71F7">
      <w:pPr>
        <w:spacing w:after="120" w:line="480" w:lineRule="auto"/>
        <w:rPr>
          <w:rFonts w:ascii="Arial" w:hAnsi="Arial" w:cs="Arial"/>
          <w:b/>
          <w:bCs/>
          <w:sz w:val="32"/>
          <w:szCs w:val="24"/>
          <w:lang w:val="en-GB"/>
        </w:rPr>
      </w:pPr>
      <w:r w:rsidRPr="00CD2D6E">
        <w:rPr>
          <w:rFonts w:ascii="Arial" w:hAnsi="Arial" w:cs="Arial"/>
          <w:b/>
          <w:bCs/>
          <w:sz w:val="32"/>
          <w:szCs w:val="24"/>
          <w:lang w:val="en-GB"/>
        </w:rPr>
        <w:t>Western-blot analysis</w:t>
      </w:r>
    </w:p>
    <w:p w:rsidR="00066A98" w:rsidRPr="00CD2D6E" w:rsidRDefault="00066A98" w:rsidP="004675DD">
      <w:pPr>
        <w:spacing w:after="0" w:line="480" w:lineRule="auto"/>
        <w:ind w:firstLine="567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GB"/>
        </w:rPr>
        <w:t xml:space="preserve">Monolayers of A549 cells were mock-infected with MVATGN33.1 or infected at a multiplicity of infection of 1 with MVATG18377. MG132 (proteasome inhibitor, 10 µM) was added 30 min post-infection and cells were lysed 24 h post-infection.  Infected cells lysate were subjected to SDS-PAGE (4-15 % </w:t>
      </w:r>
      <w:proofErr w:type="spellStart"/>
      <w:r w:rsidRPr="00CD2D6E">
        <w:rPr>
          <w:rFonts w:ascii="Arial" w:hAnsi="Arial" w:cs="Arial"/>
          <w:szCs w:val="24"/>
          <w:lang w:val="en-GB"/>
        </w:rPr>
        <w:t>Criterion</w:t>
      </w:r>
      <w:r w:rsidRPr="00CD2D6E">
        <w:rPr>
          <w:rFonts w:ascii="Arial" w:hAnsi="Arial" w:cs="Arial"/>
          <w:szCs w:val="24"/>
          <w:vertAlign w:val="superscript"/>
          <w:lang w:val="en-GB"/>
        </w:rPr>
        <w:t>TM</w:t>
      </w:r>
      <w:proofErr w:type="spellEnd"/>
      <w:r w:rsidRPr="00CD2D6E">
        <w:rPr>
          <w:rFonts w:ascii="Arial" w:hAnsi="Arial" w:cs="Arial"/>
          <w:szCs w:val="24"/>
          <w:lang w:val="en-GB"/>
        </w:rPr>
        <w:t xml:space="preserve"> TGX</w:t>
      </w:r>
      <w:r w:rsidRPr="00CD2D6E">
        <w:rPr>
          <w:rFonts w:ascii="Arial" w:hAnsi="Arial" w:cs="Arial"/>
          <w:szCs w:val="24"/>
          <w:vertAlign w:val="superscript"/>
          <w:lang w:val="en-GB"/>
        </w:rPr>
        <w:t xml:space="preserve">TM </w:t>
      </w:r>
      <w:r w:rsidRPr="00CD2D6E">
        <w:rPr>
          <w:rFonts w:ascii="Arial" w:hAnsi="Arial" w:cs="Arial"/>
          <w:szCs w:val="24"/>
          <w:lang w:val="en-GB"/>
        </w:rPr>
        <w:t xml:space="preserve">gels, </w:t>
      </w:r>
      <w:proofErr w:type="spellStart"/>
      <w:r w:rsidRPr="00CD2D6E">
        <w:rPr>
          <w:rFonts w:ascii="Arial" w:hAnsi="Arial" w:cs="Arial"/>
          <w:szCs w:val="24"/>
          <w:lang w:val="en-GB"/>
        </w:rPr>
        <w:t>Biorad</w:t>
      </w:r>
      <w:proofErr w:type="spellEnd"/>
      <w:r w:rsidRPr="00CD2D6E">
        <w:rPr>
          <w:rFonts w:ascii="Arial" w:hAnsi="Arial" w:cs="Arial"/>
          <w:szCs w:val="24"/>
          <w:lang w:val="en-GB"/>
        </w:rPr>
        <w:t xml:space="preserve">) and the separated proteins were transferred to PVDF membranes for immunoblotting. The following primary antibodies were used for the detection of mycobacterial fusions: monoclonal antibody for ESAT6 (clone </w:t>
      </w:r>
      <w:r w:rsidRPr="00CD2D6E">
        <w:rPr>
          <w:rFonts w:ascii="Arial" w:hAnsi="Arial" w:cs="Arial"/>
          <w:szCs w:val="24"/>
          <w:lang w:val="en-US"/>
        </w:rPr>
        <w:t>HYB076-08, Santa-Cruz</w:t>
      </w:r>
      <w:r w:rsidRPr="00CD2D6E">
        <w:rPr>
          <w:rFonts w:ascii="Arial" w:hAnsi="Arial" w:cs="Arial"/>
          <w:szCs w:val="24"/>
          <w:lang w:val="en-GB"/>
        </w:rPr>
        <w:t xml:space="preserve">); monoclonal antibody for Rv2626 (clone </w:t>
      </w:r>
      <w:r w:rsidRPr="00CD2D6E">
        <w:rPr>
          <w:rFonts w:ascii="Arial" w:hAnsi="Arial" w:cs="Arial"/>
          <w:szCs w:val="24"/>
          <w:lang w:val="en-US"/>
        </w:rPr>
        <w:t>26A11, Lifespan-Biosciences</w:t>
      </w:r>
      <w:r w:rsidRPr="00CD2D6E">
        <w:rPr>
          <w:rFonts w:ascii="Arial" w:hAnsi="Arial" w:cs="Arial"/>
          <w:szCs w:val="24"/>
          <w:lang w:val="en-GB"/>
        </w:rPr>
        <w:t xml:space="preserve">) and polyclonal rabbit antibody for Rv3407 and for Rv0111 (generated by </w:t>
      </w:r>
      <w:proofErr w:type="spellStart"/>
      <w:r w:rsidRPr="00CD2D6E">
        <w:rPr>
          <w:rFonts w:ascii="Arial" w:hAnsi="Arial" w:cs="Arial"/>
          <w:szCs w:val="24"/>
          <w:lang w:val="en-US"/>
        </w:rPr>
        <w:t>Eurogentec</w:t>
      </w:r>
      <w:proofErr w:type="spellEnd"/>
      <w:r w:rsidRPr="00CD2D6E">
        <w:rPr>
          <w:rFonts w:ascii="Arial" w:hAnsi="Arial" w:cs="Arial"/>
          <w:szCs w:val="24"/>
          <w:lang w:val="en-US"/>
        </w:rPr>
        <w:t>; Seraing, Belgium</w:t>
      </w:r>
      <w:r w:rsidRPr="00CD2D6E">
        <w:rPr>
          <w:rFonts w:ascii="Arial" w:hAnsi="Arial" w:cs="Arial"/>
          <w:szCs w:val="24"/>
          <w:lang w:val="en-GB"/>
        </w:rPr>
        <w:t>)</w:t>
      </w:r>
      <w:r w:rsidRPr="00CD2D6E">
        <w:rPr>
          <w:rFonts w:ascii="Arial" w:hAnsi="Arial" w:cs="Arial"/>
          <w:szCs w:val="24"/>
          <w:lang w:val="en-US"/>
        </w:rPr>
        <w:t>. Goat anti-mouse or anti-rabbit HRP conjugated antibodies (</w:t>
      </w:r>
      <w:proofErr w:type="spellStart"/>
      <w:r w:rsidRPr="00CD2D6E">
        <w:rPr>
          <w:rFonts w:ascii="Arial" w:hAnsi="Arial" w:cs="Arial"/>
          <w:szCs w:val="24"/>
          <w:lang w:val="en-US"/>
        </w:rPr>
        <w:t>DakoCytomation</w:t>
      </w:r>
      <w:proofErr w:type="spellEnd"/>
      <w:r w:rsidRPr="00CD2D6E">
        <w:rPr>
          <w:rFonts w:ascii="Arial" w:hAnsi="Arial" w:cs="Arial"/>
          <w:szCs w:val="24"/>
          <w:lang w:val="en-US"/>
        </w:rPr>
        <w:t xml:space="preserve">) were used as secondary antibody and </w:t>
      </w:r>
      <w:proofErr w:type="spellStart"/>
      <w:r w:rsidRPr="00CD2D6E">
        <w:rPr>
          <w:rFonts w:ascii="Arial" w:hAnsi="Arial" w:cs="Arial"/>
          <w:szCs w:val="24"/>
          <w:lang w:val="en-US"/>
        </w:rPr>
        <w:t>immunocomplexes</w:t>
      </w:r>
      <w:proofErr w:type="spellEnd"/>
      <w:r w:rsidRPr="00CD2D6E">
        <w:rPr>
          <w:rFonts w:ascii="Arial" w:hAnsi="Arial" w:cs="Arial"/>
          <w:szCs w:val="24"/>
          <w:lang w:val="en-US"/>
        </w:rPr>
        <w:t xml:space="preserve"> were detected using an enhanced HRP-</w:t>
      </w:r>
      <w:proofErr w:type="spellStart"/>
      <w:r w:rsidRPr="00CD2D6E">
        <w:rPr>
          <w:rFonts w:ascii="Arial" w:hAnsi="Arial" w:cs="Arial"/>
          <w:szCs w:val="24"/>
          <w:lang w:val="en-US"/>
        </w:rPr>
        <w:t>luminol</w:t>
      </w:r>
      <w:proofErr w:type="spellEnd"/>
      <w:r w:rsidRPr="00CD2D6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CD2D6E">
        <w:rPr>
          <w:rFonts w:ascii="Arial" w:hAnsi="Arial" w:cs="Arial"/>
          <w:szCs w:val="24"/>
          <w:lang w:val="en-US"/>
        </w:rPr>
        <w:t>chemiluminescence</w:t>
      </w:r>
      <w:proofErr w:type="spellEnd"/>
      <w:r w:rsidRPr="00CD2D6E">
        <w:rPr>
          <w:rFonts w:ascii="Arial" w:hAnsi="Arial" w:cs="Arial"/>
          <w:szCs w:val="24"/>
          <w:lang w:val="en-US"/>
        </w:rPr>
        <w:t xml:space="preserve"> system (Immune-Star Western-C, </w:t>
      </w:r>
      <w:proofErr w:type="spellStart"/>
      <w:r w:rsidRPr="00CD2D6E">
        <w:rPr>
          <w:rFonts w:ascii="Arial" w:hAnsi="Arial" w:cs="Arial"/>
          <w:szCs w:val="24"/>
          <w:lang w:val="en-US"/>
        </w:rPr>
        <w:t>Biorad</w:t>
      </w:r>
      <w:proofErr w:type="spellEnd"/>
      <w:r w:rsidRPr="00CD2D6E">
        <w:rPr>
          <w:rFonts w:ascii="Arial" w:hAnsi="Arial" w:cs="Arial"/>
          <w:szCs w:val="24"/>
          <w:lang w:val="en-US"/>
        </w:rPr>
        <w:t>).</w:t>
      </w:r>
    </w:p>
    <w:p w:rsidR="00066A98" w:rsidRPr="00CD2D6E" w:rsidRDefault="00066A98" w:rsidP="00F42CEB">
      <w:pPr>
        <w:tabs>
          <w:tab w:val="left" w:pos="3615"/>
        </w:tabs>
        <w:spacing w:line="480" w:lineRule="auto"/>
        <w:jc w:val="both"/>
        <w:rPr>
          <w:rFonts w:ascii="Arial" w:hAnsi="Arial" w:cs="Arial"/>
          <w:szCs w:val="24"/>
          <w:lang w:val="en-US"/>
        </w:rPr>
      </w:pPr>
    </w:p>
    <w:p w:rsidR="00802B2F" w:rsidRPr="00CD2D6E" w:rsidRDefault="00802B2F" w:rsidP="00802B2F">
      <w:pPr>
        <w:spacing w:after="120" w:line="480" w:lineRule="auto"/>
        <w:jc w:val="both"/>
        <w:rPr>
          <w:rFonts w:ascii="Arial" w:hAnsi="Arial" w:cs="Arial"/>
          <w:b/>
          <w:sz w:val="32"/>
          <w:szCs w:val="24"/>
          <w:lang w:val="en-US"/>
        </w:rPr>
      </w:pPr>
      <w:r w:rsidRPr="00CD2D6E">
        <w:rPr>
          <w:rFonts w:ascii="Arial" w:hAnsi="Arial" w:cs="Arial"/>
          <w:b/>
          <w:sz w:val="32"/>
          <w:szCs w:val="24"/>
          <w:lang w:val="en-US"/>
        </w:rPr>
        <w:t>Peptide library</w:t>
      </w:r>
    </w:p>
    <w:p w:rsidR="00802B2F" w:rsidRPr="00CD2D6E" w:rsidRDefault="00802B2F" w:rsidP="004675DD">
      <w:pPr>
        <w:spacing w:line="480" w:lineRule="auto"/>
        <w:ind w:firstLine="567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t xml:space="preserve">In order to stimulate </w:t>
      </w:r>
      <w:r w:rsidRPr="00CD2D6E">
        <w:rPr>
          <w:rFonts w:ascii="Arial" w:hAnsi="Arial" w:cs="Arial"/>
          <w:i/>
          <w:szCs w:val="24"/>
          <w:lang w:val="en-US"/>
        </w:rPr>
        <w:t>ex vivo</w:t>
      </w:r>
      <w:r w:rsidRPr="00CD2D6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CD2D6E">
        <w:rPr>
          <w:rFonts w:ascii="Arial" w:hAnsi="Arial" w:cs="Arial"/>
          <w:szCs w:val="24"/>
          <w:lang w:val="en-US"/>
        </w:rPr>
        <w:t>splenocytes</w:t>
      </w:r>
      <w:proofErr w:type="spellEnd"/>
      <w:r w:rsidRPr="00CD2D6E">
        <w:rPr>
          <w:rFonts w:ascii="Arial" w:hAnsi="Arial" w:cs="Arial"/>
          <w:szCs w:val="24"/>
          <w:lang w:val="en-US"/>
        </w:rPr>
        <w:t xml:space="preserve"> from immunized mice, we used a peptide library (synthesized by </w:t>
      </w:r>
      <w:proofErr w:type="spellStart"/>
      <w:r w:rsidRPr="00CD2D6E">
        <w:rPr>
          <w:rFonts w:ascii="Arial" w:hAnsi="Arial" w:cs="Arial"/>
          <w:szCs w:val="24"/>
          <w:lang w:val="en-US"/>
        </w:rPr>
        <w:t>ProImmune</w:t>
      </w:r>
      <w:proofErr w:type="spellEnd"/>
      <w:r w:rsidRPr="00CD2D6E">
        <w:rPr>
          <w:rFonts w:ascii="Arial" w:hAnsi="Arial" w:cs="Arial"/>
          <w:szCs w:val="24"/>
          <w:lang w:val="en-US"/>
        </w:rPr>
        <w:t xml:space="preserve"> using protocol prospector LCMS) constituted by 15-mer peptides overlapping by 11 </w:t>
      </w:r>
      <w:r w:rsidR="005F486F">
        <w:rPr>
          <w:rFonts w:ascii="Arial" w:hAnsi="Arial" w:cs="Arial"/>
          <w:szCs w:val="24"/>
          <w:lang w:val="en-US"/>
        </w:rPr>
        <w:t>amino acids (</w:t>
      </w:r>
      <w:proofErr w:type="gramStart"/>
      <w:r w:rsidRPr="00CD2D6E">
        <w:rPr>
          <w:rFonts w:ascii="Arial" w:hAnsi="Arial" w:cs="Arial"/>
          <w:szCs w:val="24"/>
          <w:lang w:val="en-US"/>
        </w:rPr>
        <w:t>aa</w:t>
      </w:r>
      <w:proofErr w:type="gramEnd"/>
      <w:r w:rsidR="005F486F">
        <w:rPr>
          <w:rFonts w:ascii="Arial" w:hAnsi="Arial" w:cs="Arial"/>
          <w:szCs w:val="24"/>
          <w:lang w:val="en-US"/>
        </w:rPr>
        <w:t>)</w:t>
      </w:r>
      <w:r w:rsidRPr="00CD2D6E">
        <w:rPr>
          <w:rFonts w:ascii="Arial" w:hAnsi="Arial" w:cs="Arial"/>
          <w:szCs w:val="24"/>
          <w:lang w:val="en-US"/>
        </w:rPr>
        <w:t xml:space="preserve">. To cover all antigens, 679 peptides were synthesized. For each antigen, pools of peptides were constituted, each pool containing 25 peptides maximum. Therefore, 1 to 4 pools for each respective antigen were needed in order to cover the full length of the given antigens as described below: 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t>Rv1733 was covered by 2 pools of 18 and 17 peptides. Pool 1: 18 peptides covering Rv1733 residues 62 to 144; Pool 2: 17 peptides covering Rv1733 residues 134 to 210.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lastRenderedPageBreak/>
        <w:t xml:space="preserve">Rv2029 was covered by 4 pools of 19 peptides. Pool 1: 19 peptides covering Rv2029 residues 1 to 87; Pool 2: 19 peptides covering Rv2029 residues 77 to 163; Pool 3: 19 peptides covering Rv2029 residues 153 to 239; Pool 4: 19 peptides covering Rv2029 residues 229 to 314. 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t>Rv0569 was covered by 1 pool of 20 peptides. Pool 1: 20 covering Rv0569 residues 1 to 88.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t>Rv1807 was covered by 4 pools of 25 peptides for the first 3 pools and 22 peptides for the fourth pool. Pool 1: 25 peptides covering Rv1807 residues 1 to 111; Pool 2: 25 peptides covering Rv1807 residues 101 to 211; Pool 3: 25 peptides covering Rv1807 residues 201 to 311; Pool 4: 22 peptides covering Rv1807 re</w:t>
      </w:r>
      <w:bookmarkStart w:id="0" w:name="_GoBack"/>
      <w:bookmarkEnd w:id="0"/>
      <w:r w:rsidRPr="00CD2D6E">
        <w:rPr>
          <w:rFonts w:ascii="Arial" w:hAnsi="Arial" w:cs="Arial"/>
          <w:szCs w:val="24"/>
          <w:lang w:val="en-US"/>
        </w:rPr>
        <w:t>sidues 301 to 399.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t>Rv0111 was covered by 4 pools of 20 peptides for the first 3 pools and 19 peptides for the fourth pool. Pool 1: 20 peptides covering Rv0111 residues 361 to 451; Pool 2: 20 peptides covering Rv0111 residues 441 to 531; Pool 3: 20 peptides covering Rv0111 residues 521 to 611; Pool 4: 19 peptides covering Rv0111 residues 601 to 685.</w:t>
      </w:r>
    </w:p>
    <w:p w:rsidR="00802B2F" w:rsidRPr="00CD2D6E" w:rsidRDefault="00AE1092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RpfB-RpfD</w:t>
      </w:r>
      <w:proofErr w:type="spellEnd"/>
      <w:r w:rsidR="00802B2F" w:rsidRPr="00CD2D6E">
        <w:rPr>
          <w:rFonts w:ascii="Arial" w:hAnsi="Arial" w:cs="Arial"/>
          <w:szCs w:val="24"/>
          <w:lang w:val="en-US"/>
        </w:rPr>
        <w:t xml:space="preserve"> was covered by 4 pools of 22 peptides for the first 3 pools and 19 peptides for the fourth pool. Pool 1: 22 peptides covering </w:t>
      </w:r>
      <w:proofErr w:type="spellStart"/>
      <w:r w:rsidR="00802B2F" w:rsidRPr="00CD2D6E">
        <w:rPr>
          <w:rFonts w:ascii="Arial" w:hAnsi="Arial" w:cs="Arial"/>
          <w:szCs w:val="24"/>
          <w:lang w:val="en-US"/>
        </w:rPr>
        <w:t>RpfB</w:t>
      </w:r>
      <w:proofErr w:type="spellEnd"/>
      <w:r w:rsidR="00802B2F" w:rsidRPr="00CD2D6E">
        <w:rPr>
          <w:rFonts w:ascii="Arial" w:hAnsi="Arial" w:cs="Arial"/>
          <w:szCs w:val="24"/>
          <w:lang w:val="en-US"/>
        </w:rPr>
        <w:t xml:space="preserve"> residues 30 to 127; Pool 2: 22 peptides covering </w:t>
      </w:r>
      <w:proofErr w:type="spellStart"/>
      <w:r w:rsidR="00802B2F" w:rsidRPr="00CD2D6E">
        <w:rPr>
          <w:rFonts w:ascii="Arial" w:hAnsi="Arial" w:cs="Arial"/>
          <w:szCs w:val="24"/>
          <w:lang w:val="en-US"/>
        </w:rPr>
        <w:t>RpfB</w:t>
      </w:r>
      <w:proofErr w:type="spellEnd"/>
      <w:r w:rsidR="00802B2F" w:rsidRPr="00CD2D6E">
        <w:rPr>
          <w:rFonts w:ascii="Arial" w:hAnsi="Arial" w:cs="Arial"/>
          <w:szCs w:val="24"/>
          <w:lang w:val="en-US"/>
        </w:rPr>
        <w:t xml:space="preserve"> residues 117 to 215; Pool 3: 22 peptides covering </w:t>
      </w:r>
      <w:proofErr w:type="spellStart"/>
      <w:r w:rsidR="00802B2F" w:rsidRPr="00CD2D6E">
        <w:rPr>
          <w:rFonts w:ascii="Arial" w:hAnsi="Arial" w:cs="Arial"/>
          <w:szCs w:val="24"/>
          <w:lang w:val="en-US"/>
        </w:rPr>
        <w:t>RpfB</w:t>
      </w:r>
      <w:proofErr w:type="spellEnd"/>
      <w:r w:rsidR="00802B2F" w:rsidRPr="00CD2D6E">
        <w:rPr>
          <w:rFonts w:ascii="Arial" w:hAnsi="Arial" w:cs="Arial"/>
          <w:szCs w:val="24"/>
          <w:lang w:val="en-US"/>
        </w:rPr>
        <w:t xml:space="preserve"> residues 205 to 284 and </w:t>
      </w:r>
      <w:proofErr w:type="spellStart"/>
      <w:r w:rsidR="00802B2F" w:rsidRPr="00CD2D6E">
        <w:rPr>
          <w:rFonts w:ascii="Arial" w:hAnsi="Arial" w:cs="Arial"/>
          <w:szCs w:val="24"/>
          <w:lang w:val="en-US"/>
        </w:rPr>
        <w:t>RpfD</w:t>
      </w:r>
      <w:proofErr w:type="spellEnd"/>
      <w:r w:rsidR="00802B2F" w:rsidRPr="00CD2D6E">
        <w:rPr>
          <w:rFonts w:ascii="Arial" w:hAnsi="Arial" w:cs="Arial"/>
          <w:szCs w:val="24"/>
          <w:lang w:val="en-US"/>
        </w:rPr>
        <w:t xml:space="preserve"> residues 53 to 71; Pool 4: 19 peptides covering </w:t>
      </w:r>
      <w:proofErr w:type="spellStart"/>
      <w:r w:rsidR="00802B2F" w:rsidRPr="00CD2D6E">
        <w:rPr>
          <w:rFonts w:ascii="Arial" w:hAnsi="Arial" w:cs="Arial"/>
          <w:szCs w:val="24"/>
          <w:lang w:val="en-US"/>
        </w:rPr>
        <w:t>RpfD</w:t>
      </w:r>
      <w:proofErr w:type="spellEnd"/>
      <w:r w:rsidR="00802B2F" w:rsidRPr="00CD2D6E">
        <w:rPr>
          <w:rFonts w:ascii="Arial" w:hAnsi="Arial" w:cs="Arial"/>
          <w:szCs w:val="24"/>
          <w:lang w:val="en-US"/>
        </w:rPr>
        <w:t xml:space="preserve"> residues 61 to 146.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t>Rv1813 was covered by 1 pool of 25 peptides. Pool 1: 18 peptides covering Rv1813 residues 34 to 143.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t xml:space="preserve">Rv3407 was covered by 1 pool of 22 peptides. Pool 1: 18 peptides covering Rv3407 residues 1 to 99. 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t>Rv3478 was covered by 4 pools of 24 peptides. Pool 1: 24 peptides covering Rv3478 residues 1 to 107; Pool 2: 24 peptides covering Rv3478 residues 97 to 203; Pool 3: 24 peptides covering Rv3478 residues 193 to 299; Pool 4: 24 peptides covering Rv3478 residues 289 to 393.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t>Rv2626 was covered by 2 pools of 17 and 16 peptides. Pool 1: 17 peptides covering Rv2626 residues 1 to 79; Pool 2: 16 peptides covering Rv2626 residues 69 to 143.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lastRenderedPageBreak/>
        <w:t>Ag85B was covered by 3 pools of 23 peptides. Pool 1: 23 peptides covering Ag85B residues 39 to 141; Pool 2: 23 peptides covering Ag85B residues 131 to 233; Pool 3: 23 peptides covering Ag85B residues 223 to 325.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t xml:space="preserve">ESAT-6 was covered by 1 pool of 21 peptides. Pool 1: 21 peptides covering ESAT-6 residues 1 to 95. </w:t>
      </w:r>
    </w:p>
    <w:p w:rsidR="00802B2F" w:rsidRPr="00CD2D6E" w:rsidRDefault="00802B2F" w:rsidP="00802B2F">
      <w:pPr>
        <w:pStyle w:val="Paragraphedeliste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D2D6E">
        <w:rPr>
          <w:rFonts w:ascii="Arial" w:hAnsi="Arial" w:cs="Arial"/>
          <w:szCs w:val="24"/>
          <w:lang w:val="en-US"/>
        </w:rPr>
        <w:t>TB10.4 was covered by 1 pool of 21 peptides. Pool 1: 21 peptides covering TB10.4 residues 1 to 95.</w:t>
      </w:r>
    </w:p>
    <w:p w:rsidR="00D94D69" w:rsidRPr="00642053" w:rsidRDefault="00802B2F" w:rsidP="00642053">
      <w:pPr>
        <w:pStyle w:val="Corpsdetexte2"/>
        <w:spacing w:before="120" w:after="0"/>
        <w:rPr>
          <w:rFonts w:ascii="Arial" w:hAnsi="Arial" w:cs="Arial"/>
          <w:sz w:val="22"/>
          <w:lang w:val="en-GB"/>
        </w:rPr>
      </w:pPr>
      <w:r w:rsidRPr="00CD2D6E">
        <w:rPr>
          <w:rFonts w:ascii="Arial" w:hAnsi="Arial" w:cs="Arial"/>
          <w:sz w:val="22"/>
          <w:lang w:val="en-GB"/>
        </w:rPr>
        <w:t xml:space="preserve">Individual peptides were </w:t>
      </w:r>
      <w:proofErr w:type="spellStart"/>
      <w:r w:rsidRPr="00CD2D6E">
        <w:rPr>
          <w:rFonts w:ascii="Arial" w:hAnsi="Arial" w:cs="Arial"/>
          <w:sz w:val="22"/>
          <w:lang w:val="en-GB"/>
        </w:rPr>
        <w:t>resuspended</w:t>
      </w:r>
      <w:proofErr w:type="spellEnd"/>
      <w:r w:rsidRPr="00CD2D6E">
        <w:rPr>
          <w:rFonts w:ascii="Arial" w:hAnsi="Arial" w:cs="Arial"/>
          <w:sz w:val="22"/>
          <w:lang w:val="en-GB"/>
        </w:rPr>
        <w:t xml:space="preserve"> in DMSO at 10 </w:t>
      </w:r>
      <w:proofErr w:type="spellStart"/>
      <w:r w:rsidRPr="00CD2D6E">
        <w:rPr>
          <w:rFonts w:ascii="Arial" w:hAnsi="Arial" w:cs="Arial"/>
          <w:sz w:val="22"/>
          <w:lang w:val="en-GB"/>
        </w:rPr>
        <w:t>mM</w:t>
      </w:r>
      <w:proofErr w:type="spellEnd"/>
      <w:r w:rsidRPr="00CD2D6E">
        <w:rPr>
          <w:rFonts w:ascii="Arial" w:hAnsi="Arial" w:cs="Arial"/>
          <w:sz w:val="22"/>
          <w:lang w:val="en-GB"/>
        </w:rPr>
        <w:t xml:space="preserve"> in average. Peptides were pooled as described previously. Concentration of each peptide in each pool was 0.4 </w:t>
      </w:r>
      <w:proofErr w:type="spellStart"/>
      <w:r w:rsidRPr="00CD2D6E">
        <w:rPr>
          <w:rFonts w:ascii="Arial" w:hAnsi="Arial" w:cs="Arial"/>
          <w:sz w:val="22"/>
          <w:lang w:val="en-GB"/>
        </w:rPr>
        <w:t>mM.</w:t>
      </w:r>
      <w:proofErr w:type="spellEnd"/>
      <w:r w:rsidRPr="00CD2D6E">
        <w:rPr>
          <w:rFonts w:ascii="Arial" w:hAnsi="Arial" w:cs="Arial"/>
          <w:sz w:val="22"/>
          <w:lang w:val="en-GB"/>
        </w:rPr>
        <w:t xml:space="preserve"> For </w:t>
      </w:r>
      <w:r w:rsidRPr="00CD2D6E">
        <w:rPr>
          <w:rFonts w:ascii="Arial" w:hAnsi="Arial" w:cs="Arial"/>
          <w:i/>
          <w:iCs/>
          <w:sz w:val="22"/>
          <w:lang w:val="en-GB"/>
        </w:rPr>
        <w:t>ex vivo</w:t>
      </w:r>
      <w:r w:rsidRPr="00CD2D6E">
        <w:rPr>
          <w:rFonts w:ascii="Arial" w:hAnsi="Arial" w:cs="Arial"/>
          <w:sz w:val="22"/>
          <w:lang w:val="en-GB"/>
        </w:rPr>
        <w:t xml:space="preserve"> stimulation, peptide pools were used at 1 µM final concentration. </w:t>
      </w:r>
      <w:proofErr w:type="spellStart"/>
      <w:r w:rsidRPr="00CD2D6E">
        <w:rPr>
          <w:rFonts w:ascii="Arial" w:hAnsi="Arial" w:cs="Arial"/>
          <w:sz w:val="22"/>
          <w:lang w:val="en-GB"/>
        </w:rPr>
        <w:t>Resuspended</w:t>
      </w:r>
      <w:proofErr w:type="spellEnd"/>
      <w:r w:rsidRPr="00CD2D6E">
        <w:rPr>
          <w:rFonts w:ascii="Arial" w:hAnsi="Arial" w:cs="Arial"/>
          <w:sz w:val="22"/>
          <w:lang w:val="en-GB"/>
        </w:rPr>
        <w:t xml:space="preserve"> peptide stocks and pools of peptides were stored at -20 °C.</w:t>
      </w:r>
    </w:p>
    <w:sectPr w:rsidR="00D94D69" w:rsidRPr="006420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D5" w:rsidRDefault="002E68D5" w:rsidP="00F54851">
      <w:pPr>
        <w:spacing w:after="0" w:line="240" w:lineRule="auto"/>
      </w:pPr>
      <w:r>
        <w:separator/>
      </w:r>
    </w:p>
  </w:endnote>
  <w:endnote w:type="continuationSeparator" w:id="0">
    <w:p w:rsidR="002E68D5" w:rsidRDefault="002E68D5" w:rsidP="00F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51" w:rsidRPr="00F54851" w:rsidRDefault="00F54851">
    <w:pPr>
      <w:pStyle w:val="Pieddepage"/>
    </w:pPr>
    <w:r w:rsidRPr="00F54851">
      <w:t>Property of Transgene</w:t>
    </w:r>
    <w:r w:rsidRPr="00F54851">
      <w:tab/>
      <w:t>Confidential</w:t>
    </w:r>
    <w:r w:rsidRPr="00F54851">
      <w:tab/>
      <w:t xml:space="preserve">Page </w:t>
    </w:r>
    <w:r w:rsidRPr="00F54851">
      <w:rPr>
        <w:b/>
        <w:lang w:val="fr-FR"/>
      </w:rPr>
      <w:fldChar w:fldCharType="begin"/>
    </w:r>
    <w:r w:rsidRPr="00F54851">
      <w:rPr>
        <w:b/>
      </w:rPr>
      <w:instrText>PAGE  \* Arabic  \* MERGEFORMAT</w:instrText>
    </w:r>
    <w:r w:rsidRPr="00F54851">
      <w:rPr>
        <w:b/>
        <w:lang w:val="fr-FR"/>
      </w:rPr>
      <w:fldChar w:fldCharType="separate"/>
    </w:r>
    <w:r w:rsidR="009F5CDF">
      <w:rPr>
        <w:b/>
        <w:noProof/>
      </w:rPr>
      <w:t>3</w:t>
    </w:r>
    <w:r w:rsidRPr="00F54851">
      <w:rPr>
        <w:b/>
        <w:lang w:val="fr-FR"/>
      </w:rPr>
      <w:fldChar w:fldCharType="end"/>
    </w:r>
    <w:r w:rsidRPr="00F54851">
      <w:t xml:space="preserve"> </w:t>
    </w:r>
    <w:r>
      <w:t xml:space="preserve">of </w:t>
    </w:r>
    <w:r w:rsidRPr="00F54851">
      <w:rPr>
        <w:b/>
        <w:lang w:val="fr-FR"/>
      </w:rPr>
      <w:fldChar w:fldCharType="begin"/>
    </w:r>
    <w:r w:rsidRPr="00F54851">
      <w:rPr>
        <w:b/>
      </w:rPr>
      <w:instrText>NUMPAGES  \* Arabic  \* MERGEFORMAT</w:instrText>
    </w:r>
    <w:r w:rsidRPr="00F54851">
      <w:rPr>
        <w:b/>
        <w:lang w:val="fr-FR"/>
      </w:rPr>
      <w:fldChar w:fldCharType="separate"/>
    </w:r>
    <w:r w:rsidR="009F5CDF">
      <w:rPr>
        <w:b/>
        <w:noProof/>
      </w:rPr>
      <w:t>3</w:t>
    </w:r>
    <w:r w:rsidRPr="00F54851">
      <w:rPr>
        <w:b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D5" w:rsidRDefault="002E68D5" w:rsidP="00F54851">
      <w:pPr>
        <w:spacing w:after="0" w:line="240" w:lineRule="auto"/>
      </w:pPr>
      <w:r>
        <w:separator/>
      </w:r>
    </w:p>
  </w:footnote>
  <w:footnote w:type="continuationSeparator" w:id="0">
    <w:p w:rsidR="002E68D5" w:rsidRDefault="002E68D5" w:rsidP="00F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505"/>
    <w:multiLevelType w:val="hybridMultilevel"/>
    <w:tmpl w:val="8256C1D6"/>
    <w:lvl w:ilvl="0" w:tplc="CC1A7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F478E"/>
    <w:multiLevelType w:val="hybridMultilevel"/>
    <w:tmpl w:val="CC50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2995"/>
    <w:multiLevelType w:val="hybridMultilevel"/>
    <w:tmpl w:val="EB0E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c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F54851"/>
    <w:rsid w:val="000100B9"/>
    <w:rsid w:val="00066A98"/>
    <w:rsid w:val="00070A1F"/>
    <w:rsid w:val="000959C4"/>
    <w:rsid w:val="00097B5B"/>
    <w:rsid w:val="000C0A3B"/>
    <w:rsid w:val="000E7A49"/>
    <w:rsid w:val="00100AC7"/>
    <w:rsid w:val="00155BCB"/>
    <w:rsid w:val="001A3265"/>
    <w:rsid w:val="001D3424"/>
    <w:rsid w:val="001D71F7"/>
    <w:rsid w:val="0025529D"/>
    <w:rsid w:val="00271E3F"/>
    <w:rsid w:val="0028630A"/>
    <w:rsid w:val="00296BCA"/>
    <w:rsid w:val="002E68D5"/>
    <w:rsid w:val="002E70C1"/>
    <w:rsid w:val="00301BAD"/>
    <w:rsid w:val="003203B2"/>
    <w:rsid w:val="00341750"/>
    <w:rsid w:val="00371163"/>
    <w:rsid w:val="003755C1"/>
    <w:rsid w:val="003B0B9B"/>
    <w:rsid w:val="003B28B3"/>
    <w:rsid w:val="003D65D0"/>
    <w:rsid w:val="003F2B4E"/>
    <w:rsid w:val="00400BD8"/>
    <w:rsid w:val="004063B3"/>
    <w:rsid w:val="00455B04"/>
    <w:rsid w:val="004675DD"/>
    <w:rsid w:val="00471BFD"/>
    <w:rsid w:val="004B40ED"/>
    <w:rsid w:val="004E3B4E"/>
    <w:rsid w:val="005335E0"/>
    <w:rsid w:val="0053470E"/>
    <w:rsid w:val="005871A8"/>
    <w:rsid w:val="005F486F"/>
    <w:rsid w:val="005F7F78"/>
    <w:rsid w:val="00642053"/>
    <w:rsid w:val="00660F74"/>
    <w:rsid w:val="00662782"/>
    <w:rsid w:val="00671F85"/>
    <w:rsid w:val="0069733B"/>
    <w:rsid w:val="006A1F35"/>
    <w:rsid w:val="006A4C47"/>
    <w:rsid w:val="006C10BA"/>
    <w:rsid w:val="006D17F9"/>
    <w:rsid w:val="007243D4"/>
    <w:rsid w:val="00726F87"/>
    <w:rsid w:val="00741A68"/>
    <w:rsid w:val="007506DC"/>
    <w:rsid w:val="00757D1A"/>
    <w:rsid w:val="00766707"/>
    <w:rsid w:val="00791F22"/>
    <w:rsid w:val="00792A24"/>
    <w:rsid w:val="00802B2F"/>
    <w:rsid w:val="009168E6"/>
    <w:rsid w:val="00931B15"/>
    <w:rsid w:val="00960C3C"/>
    <w:rsid w:val="009F5CDF"/>
    <w:rsid w:val="00A12E97"/>
    <w:rsid w:val="00A25179"/>
    <w:rsid w:val="00AE1092"/>
    <w:rsid w:val="00AF51FD"/>
    <w:rsid w:val="00B1033A"/>
    <w:rsid w:val="00B63C99"/>
    <w:rsid w:val="00B7796E"/>
    <w:rsid w:val="00BA3E9B"/>
    <w:rsid w:val="00BA747E"/>
    <w:rsid w:val="00C157F6"/>
    <w:rsid w:val="00C32C4E"/>
    <w:rsid w:val="00C55591"/>
    <w:rsid w:val="00C633CC"/>
    <w:rsid w:val="00C82BD9"/>
    <w:rsid w:val="00CA1A22"/>
    <w:rsid w:val="00CB2DAD"/>
    <w:rsid w:val="00CD2D6E"/>
    <w:rsid w:val="00CE31A9"/>
    <w:rsid w:val="00CF626C"/>
    <w:rsid w:val="00D8039B"/>
    <w:rsid w:val="00D94D69"/>
    <w:rsid w:val="00DC2C44"/>
    <w:rsid w:val="00E07E6B"/>
    <w:rsid w:val="00E9090D"/>
    <w:rsid w:val="00E91100"/>
    <w:rsid w:val="00EA33F4"/>
    <w:rsid w:val="00F31025"/>
    <w:rsid w:val="00F37E5C"/>
    <w:rsid w:val="00F42CEB"/>
    <w:rsid w:val="00F47DAC"/>
    <w:rsid w:val="00F54851"/>
    <w:rsid w:val="00F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F5E70-E821-42B3-96DD-91B8663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5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85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F54851"/>
  </w:style>
  <w:style w:type="paragraph" w:styleId="Pieddepage">
    <w:name w:val="footer"/>
    <w:basedOn w:val="Normal"/>
    <w:link w:val="PieddepageCar"/>
    <w:uiPriority w:val="99"/>
    <w:unhideWhenUsed/>
    <w:rsid w:val="00F5485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F54851"/>
  </w:style>
  <w:style w:type="paragraph" w:styleId="Paragraphedeliste">
    <w:name w:val="List Paragraph"/>
    <w:basedOn w:val="Normal"/>
    <w:uiPriority w:val="34"/>
    <w:qFormat/>
    <w:rsid w:val="00C82BD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9090D"/>
  </w:style>
  <w:style w:type="character" w:styleId="Marquedecommentaire">
    <w:name w:val="annotation reference"/>
    <w:basedOn w:val="Policepardfaut"/>
    <w:uiPriority w:val="99"/>
    <w:semiHidden/>
    <w:unhideWhenUsed/>
    <w:rsid w:val="005335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5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5E0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5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5E0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5E0"/>
    <w:rPr>
      <w:rFonts w:ascii="Tahoma" w:hAnsi="Tahoma" w:cs="Tahoma"/>
      <w:sz w:val="16"/>
      <w:szCs w:val="16"/>
      <w:lang w:val="fr-FR"/>
    </w:rPr>
  </w:style>
  <w:style w:type="paragraph" w:styleId="Corpsdetexte2">
    <w:name w:val="Body Text 2"/>
    <w:basedOn w:val="Normal"/>
    <w:link w:val="Corpsdetexte2Car"/>
    <w:uiPriority w:val="99"/>
    <w:unhideWhenUsed/>
    <w:rsid w:val="00802B2F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802B2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4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TRANSGENE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LEUNG THEUNG LONG</dc:creator>
  <cp:lastModifiedBy>SeL</cp:lastModifiedBy>
  <cp:revision>3</cp:revision>
  <dcterms:created xsi:type="dcterms:W3CDTF">2015-10-12T13:22:00Z</dcterms:created>
  <dcterms:modified xsi:type="dcterms:W3CDTF">2015-10-12T13:22:00Z</dcterms:modified>
</cp:coreProperties>
</file>