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05" w:rsidRPr="00B05805" w:rsidRDefault="00B05805" w:rsidP="00B05805">
      <w:pPr>
        <w:jc w:val="both"/>
        <w:rPr>
          <w:rFonts w:ascii="Times New Roman" w:eastAsia="Calibri" w:hAnsi="Times New Roman" w:cs="Times New Roman"/>
          <w:b/>
          <w:sz w:val="36"/>
          <w:szCs w:val="24"/>
          <w:u w:val="single"/>
        </w:rPr>
      </w:pPr>
      <w:r w:rsidRPr="00B05805">
        <w:rPr>
          <w:rFonts w:ascii="Times New Roman" w:hAnsi="Times New Roman" w:cs="Times New Roman"/>
          <w:b/>
          <w:sz w:val="32"/>
          <w:szCs w:val="24"/>
        </w:rPr>
        <w:t>S1</w:t>
      </w:r>
      <w:r w:rsidR="0008345A">
        <w:rPr>
          <w:rFonts w:ascii="Times New Roman" w:hAnsi="Times New Roman" w:cs="Times New Roman"/>
          <w:b/>
          <w:sz w:val="32"/>
          <w:szCs w:val="24"/>
        </w:rPr>
        <w:t xml:space="preserve"> File.</w:t>
      </w:r>
      <w:r w:rsidRPr="00B05805">
        <w:rPr>
          <w:rFonts w:ascii="Times New Roman" w:hAnsi="Times New Roman" w:cs="Times New Roman"/>
          <w:b/>
          <w:sz w:val="32"/>
          <w:szCs w:val="24"/>
        </w:rPr>
        <w:t xml:space="preserve"> </w:t>
      </w:r>
      <w:bookmarkStart w:id="0" w:name="_GoBack"/>
      <w:bookmarkEnd w:id="0"/>
      <w:r w:rsidRPr="00B05805">
        <w:rPr>
          <w:rFonts w:ascii="Times New Roman" w:hAnsi="Times New Roman" w:cs="Times New Roman"/>
          <w:b/>
          <w:sz w:val="32"/>
          <w:szCs w:val="24"/>
        </w:rPr>
        <w:t xml:space="preserve">Description of biochar production, incubation system operation and </w:t>
      </w:r>
      <w:r w:rsidR="00C03E46">
        <w:rPr>
          <w:rFonts w:ascii="Times New Roman" w:hAnsi="Times New Roman" w:cs="Times New Roman"/>
          <w:b/>
          <w:sz w:val="32"/>
          <w:szCs w:val="24"/>
        </w:rPr>
        <w:t>gas chromatograph detectors</w:t>
      </w:r>
    </w:p>
    <w:p w:rsidR="00B05805" w:rsidRPr="00B05805" w:rsidRDefault="00B05805" w:rsidP="00B05805">
      <w:pPr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B05805">
        <w:rPr>
          <w:rFonts w:ascii="Times New Roman" w:eastAsia="Calibri" w:hAnsi="Times New Roman" w:cs="Times New Roman"/>
          <w:b/>
          <w:sz w:val="28"/>
          <w:szCs w:val="24"/>
          <w:u w:val="single"/>
        </w:rPr>
        <w:t>Description A. Biochar production</w:t>
      </w:r>
    </w:p>
    <w:p w:rsidR="00B05805" w:rsidRPr="00B05805" w:rsidRDefault="00B05805" w:rsidP="00B05805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B05805">
        <w:rPr>
          <w:rFonts w:ascii="Times New Roman" w:eastAsia="Calibri" w:hAnsi="Times New Roman" w:cs="Times New Roman"/>
          <w:szCs w:val="24"/>
        </w:rPr>
        <w:t xml:space="preserve">The </w:t>
      </w:r>
      <w:proofErr w:type="spellStart"/>
      <w:r w:rsidRPr="00B05805">
        <w:rPr>
          <w:rFonts w:ascii="Times New Roman" w:eastAsia="Calibri" w:hAnsi="Times New Roman" w:cs="Times New Roman"/>
          <w:szCs w:val="24"/>
        </w:rPr>
        <w:t>biochars</w:t>
      </w:r>
      <w:proofErr w:type="spellEnd"/>
      <w:r w:rsidRPr="00B05805">
        <w:rPr>
          <w:rFonts w:ascii="Times New Roman" w:eastAsia="Calibri" w:hAnsi="Times New Roman" w:cs="Times New Roman"/>
          <w:szCs w:val="24"/>
        </w:rPr>
        <w:t xml:space="preserve"> (BCs) </w:t>
      </w:r>
      <w:proofErr w:type="gramStart"/>
      <w:r w:rsidRPr="00B05805">
        <w:rPr>
          <w:rFonts w:ascii="Times New Roman" w:eastAsia="Calibri" w:hAnsi="Times New Roman" w:cs="Times New Roman"/>
          <w:szCs w:val="24"/>
        </w:rPr>
        <w:t>were produced</w:t>
      </w:r>
      <w:proofErr w:type="gramEnd"/>
      <w:r w:rsidRPr="00B05805">
        <w:rPr>
          <w:rFonts w:ascii="Times New Roman" w:eastAsia="Calibri" w:hAnsi="Times New Roman" w:cs="Times New Roman"/>
          <w:szCs w:val="24"/>
        </w:rPr>
        <w:t xml:space="preserve"> in a locally fabricated metal kiln with a volume of 30-40L at a temperature of 250-350ºC for 3.5hours. The BC yield was 22% and 30.4% per unit weight of biomass. The schematic drawing of the kiln and a photograph from Hale et al., Chemosphere 2013, 57(11), 1612-1619 is shown below.</w:t>
      </w:r>
    </w:p>
    <w:p w:rsidR="00B05805" w:rsidRPr="00B05805" w:rsidRDefault="00B05805" w:rsidP="00B05805">
      <w:pPr>
        <w:spacing w:line="360" w:lineRule="auto"/>
        <w:rPr>
          <w:rFonts w:ascii="Times New Roman" w:eastAsia="Calibri" w:hAnsi="Times New Roman" w:cs="Times New Roman"/>
          <w:szCs w:val="24"/>
        </w:rPr>
      </w:pPr>
      <w:r w:rsidRPr="00B05805">
        <w:rPr>
          <w:rFonts w:ascii="Times New Roman" w:eastAsia="Calibri" w:hAnsi="Times New Roman" w:cs="Times New Roman"/>
          <w:noProof/>
          <w:szCs w:val="24"/>
          <w:highlight w:val="yellow"/>
        </w:rPr>
        <w:drawing>
          <wp:inline distT="0" distB="0" distL="0" distR="0" wp14:anchorId="551DD06A" wp14:editId="73D14573">
            <wp:extent cx="4810125" cy="3774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7" t="1768" r="12253" b="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619" cy="381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805">
        <w:rPr>
          <w:rFonts w:ascii="Times New Roman" w:eastAsia="Calibri" w:hAnsi="Times New Roman" w:cs="Times New Roman"/>
          <w:noProof/>
          <w:szCs w:val="24"/>
          <w:highlight w:val="yellow"/>
        </w:rPr>
        <w:drawing>
          <wp:inline distT="0" distB="0" distL="0" distR="0" wp14:anchorId="3E624FE7" wp14:editId="5CA025F6">
            <wp:extent cx="2724150" cy="2038350"/>
            <wp:effectExtent l="0" t="0" r="0" b="0"/>
            <wp:docPr id="2" name="Picture 2" descr="DSC03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39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05" w:rsidRPr="00B05805" w:rsidRDefault="00B05805" w:rsidP="00B05805">
      <w:pPr>
        <w:spacing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B05805">
        <w:rPr>
          <w:rFonts w:ascii="Times New Roman" w:eastAsia="Calibri" w:hAnsi="Times New Roman" w:cs="Times New Roman"/>
          <w:b/>
          <w:szCs w:val="24"/>
        </w:rPr>
        <w:lastRenderedPageBreak/>
        <w:t xml:space="preserve">Estimation of charring temperature by use of </w:t>
      </w:r>
      <w:proofErr w:type="gramStart"/>
      <w:r w:rsidRPr="00B05805">
        <w:rPr>
          <w:rFonts w:ascii="Times New Roman" w:eastAsia="Calibri" w:hAnsi="Times New Roman" w:cs="Times New Roman"/>
          <w:b/>
          <w:szCs w:val="24"/>
        </w:rPr>
        <w:t>thermogravimetric  analysis</w:t>
      </w:r>
      <w:proofErr w:type="gramEnd"/>
      <w:r w:rsidRPr="00B05805">
        <w:rPr>
          <w:rFonts w:ascii="Times New Roman" w:eastAsia="Calibri" w:hAnsi="Times New Roman" w:cs="Times New Roman"/>
          <w:b/>
          <w:szCs w:val="24"/>
        </w:rPr>
        <w:t xml:space="preserve"> (TGA)  </w:t>
      </w:r>
    </w:p>
    <w:p w:rsidR="00B05805" w:rsidRPr="00B05805" w:rsidRDefault="00B05805" w:rsidP="00B05805">
      <w:pPr>
        <w:spacing w:after="12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B05805">
        <w:rPr>
          <w:rFonts w:ascii="Times New Roman" w:eastAsia="Calibri" w:hAnsi="Times New Roman" w:cs="Times New Roman"/>
          <w:b/>
          <w:szCs w:val="24"/>
        </w:rPr>
        <w:t>Stepwise TGA Analysis</w:t>
      </w:r>
      <w:r w:rsidRPr="00B05805">
        <w:rPr>
          <w:rFonts w:ascii="Times New Roman" w:eastAsia="Calibri" w:hAnsi="Times New Roman" w:cs="Times New Roman"/>
          <w:szCs w:val="24"/>
        </w:rPr>
        <w:t xml:space="preserve">:  The degree of charring </w:t>
      </w:r>
      <w:proofErr w:type="gramStart"/>
      <w:r w:rsidRPr="00B05805">
        <w:rPr>
          <w:rFonts w:ascii="Times New Roman" w:eastAsia="Calibri" w:hAnsi="Times New Roman" w:cs="Times New Roman"/>
          <w:szCs w:val="24"/>
        </w:rPr>
        <w:t>has been studied</w:t>
      </w:r>
      <w:proofErr w:type="gramEnd"/>
      <w:r w:rsidRPr="00B05805">
        <w:rPr>
          <w:rFonts w:ascii="Times New Roman" w:eastAsia="Calibri" w:hAnsi="Times New Roman" w:cs="Times New Roman"/>
          <w:szCs w:val="24"/>
        </w:rPr>
        <w:t xml:space="preserve"> by measuring the weight loss of a char sample as it undergoes additional pyrolysis under a nitrogen atmosphere in a thermogravimetric analyzer (TGA). Each sample was heated sequentially to </w:t>
      </w:r>
      <w:proofErr w:type="gramStart"/>
      <w:r w:rsidRPr="00B05805">
        <w:rPr>
          <w:rFonts w:ascii="Times New Roman" w:eastAsia="Calibri" w:hAnsi="Times New Roman" w:cs="Times New Roman"/>
          <w:szCs w:val="24"/>
        </w:rPr>
        <w:t>8</w:t>
      </w:r>
      <w:proofErr w:type="gramEnd"/>
      <w:r w:rsidRPr="00B05805">
        <w:rPr>
          <w:rFonts w:ascii="Times New Roman" w:eastAsia="Calibri" w:hAnsi="Times New Roman" w:cs="Times New Roman"/>
          <w:szCs w:val="24"/>
        </w:rPr>
        <w:t xml:space="preserve"> increasing temperatures, varying by 100-degree increments, between 200 and 900</w:t>
      </w:r>
      <w:r w:rsidRPr="00B05805">
        <w:rPr>
          <w:rFonts w:ascii="Times New Roman" w:eastAsia="Calibri" w:hAnsi="Times New Roman" w:cs="Times New Roman"/>
          <w:szCs w:val="24"/>
          <w:vertAlign w:val="superscript"/>
        </w:rPr>
        <w:t>o</w:t>
      </w:r>
      <w:r w:rsidRPr="00B05805">
        <w:rPr>
          <w:rFonts w:ascii="Times New Roman" w:eastAsia="Calibri" w:hAnsi="Times New Roman" w:cs="Times New Roman"/>
          <w:szCs w:val="24"/>
        </w:rPr>
        <w:t>C, with a hold time of one hour at each temperature.  The weight loss occurring at 200</w:t>
      </w:r>
      <w:r w:rsidRPr="00B05805">
        <w:rPr>
          <w:rFonts w:ascii="Times New Roman" w:eastAsia="Calibri" w:hAnsi="Times New Roman" w:cs="Times New Roman"/>
          <w:szCs w:val="24"/>
          <w:vertAlign w:val="superscript"/>
        </w:rPr>
        <w:t>o</w:t>
      </w:r>
      <w:r w:rsidRPr="00B05805">
        <w:rPr>
          <w:rFonts w:ascii="Times New Roman" w:eastAsia="Calibri" w:hAnsi="Times New Roman" w:cs="Times New Roman"/>
          <w:szCs w:val="24"/>
        </w:rPr>
        <w:t xml:space="preserve">C </w:t>
      </w:r>
      <w:proofErr w:type="gramStart"/>
      <w:r w:rsidRPr="00B05805">
        <w:rPr>
          <w:rFonts w:ascii="Times New Roman" w:eastAsia="Calibri" w:hAnsi="Times New Roman" w:cs="Times New Roman"/>
          <w:szCs w:val="24"/>
        </w:rPr>
        <w:t>was taken</w:t>
      </w:r>
      <w:proofErr w:type="gramEnd"/>
      <w:r w:rsidRPr="00B05805">
        <w:rPr>
          <w:rFonts w:ascii="Times New Roman" w:eastAsia="Calibri" w:hAnsi="Times New Roman" w:cs="Times New Roman"/>
          <w:szCs w:val="24"/>
        </w:rPr>
        <w:t xml:space="preserve"> as the moisture content of the sample. The weight loss at each temperature increment above 200</w:t>
      </w:r>
      <w:r w:rsidRPr="00B05805">
        <w:rPr>
          <w:rFonts w:ascii="Times New Roman" w:eastAsia="Calibri" w:hAnsi="Times New Roman" w:cs="Times New Roman"/>
          <w:szCs w:val="24"/>
          <w:vertAlign w:val="superscript"/>
        </w:rPr>
        <w:t>o</w:t>
      </w:r>
      <w:r w:rsidRPr="00B05805">
        <w:rPr>
          <w:rFonts w:ascii="Times New Roman" w:eastAsia="Calibri" w:hAnsi="Times New Roman" w:cs="Times New Roman"/>
          <w:szCs w:val="24"/>
        </w:rPr>
        <w:t>C, after correction for moisture and ash content, was used to determine the cumulative weight loss (total weight loss), as well as incremental loss profiles at each temperature step.</w:t>
      </w:r>
    </w:p>
    <w:p w:rsidR="00B05805" w:rsidRPr="00B05805" w:rsidRDefault="00B05805" w:rsidP="00B05805">
      <w:pPr>
        <w:spacing w:after="120" w:line="360" w:lineRule="auto"/>
        <w:jc w:val="both"/>
        <w:rPr>
          <w:rFonts w:ascii="Times New Roman" w:eastAsia="MS Mincho" w:hAnsi="Times New Roman" w:cs="Times New Roman"/>
          <w:szCs w:val="24"/>
        </w:rPr>
      </w:pPr>
      <w:r w:rsidRPr="00B05805">
        <w:rPr>
          <w:rFonts w:ascii="Times New Roman" w:eastAsia="Calibri" w:hAnsi="Times New Roman" w:cs="Times New Roman"/>
          <w:b/>
          <w:szCs w:val="24"/>
        </w:rPr>
        <w:t>Estimation of degree of charring:</w:t>
      </w:r>
      <w:r w:rsidRPr="00B05805">
        <w:rPr>
          <w:rFonts w:ascii="Times New Roman" w:eastAsia="Calibri" w:hAnsi="Times New Roman" w:cs="Times New Roman"/>
          <w:szCs w:val="24"/>
        </w:rPr>
        <w:t xml:space="preserve">  </w:t>
      </w:r>
      <w:r w:rsidRPr="00B05805">
        <w:rPr>
          <w:rFonts w:ascii="Times New Roman" w:eastAsia="MS Mincho" w:hAnsi="Times New Roman" w:cs="Times New Roman"/>
          <w:szCs w:val="24"/>
        </w:rPr>
        <w:t>The analysis of the data attempts to rank the chars by degree of charring using three measures taken from the stepwise analysis.</w:t>
      </w:r>
      <w:r w:rsidRPr="00B05805">
        <w:rPr>
          <w:rFonts w:ascii="Times New Roman" w:eastAsia="Calibri" w:hAnsi="Times New Roman" w:cs="Times New Roman"/>
          <w:szCs w:val="24"/>
        </w:rPr>
        <w:t xml:space="preserve"> </w:t>
      </w:r>
      <w:r w:rsidRPr="00B05805">
        <w:rPr>
          <w:rFonts w:ascii="Times New Roman" w:eastAsia="MS Mincho" w:hAnsi="Times New Roman" w:cs="Times New Roman"/>
          <w:szCs w:val="24"/>
        </w:rPr>
        <w:t>The first measure is the total weight loss (sum of weight loss at each step from 300 to 900</w:t>
      </w:r>
      <w:r w:rsidRPr="00B05805">
        <w:rPr>
          <w:rFonts w:ascii="Times New Roman" w:eastAsia="Calibri" w:hAnsi="Times New Roman" w:cs="Times New Roman"/>
          <w:szCs w:val="24"/>
          <w:vertAlign w:val="superscript"/>
        </w:rPr>
        <w:t>o</w:t>
      </w:r>
      <w:r w:rsidRPr="00B05805">
        <w:rPr>
          <w:rFonts w:ascii="Times New Roman" w:eastAsia="MS Mincho" w:hAnsi="Times New Roman" w:cs="Times New Roman"/>
          <w:szCs w:val="24"/>
        </w:rPr>
        <w:t>C) after correction for moisture and ash content.</w:t>
      </w:r>
      <w:r w:rsidRPr="00B05805">
        <w:rPr>
          <w:rFonts w:ascii="Times New Roman" w:eastAsia="Calibri" w:hAnsi="Times New Roman" w:cs="Times New Roman"/>
          <w:szCs w:val="24"/>
        </w:rPr>
        <w:t xml:space="preserve"> </w:t>
      </w:r>
      <w:r w:rsidRPr="00B05805">
        <w:rPr>
          <w:rFonts w:ascii="Times New Roman" w:eastAsia="MS Mincho" w:hAnsi="Times New Roman" w:cs="Times New Roman"/>
          <w:szCs w:val="24"/>
        </w:rPr>
        <w:t>The second measure is the ratio of high temperature weight loss (sum of weight loss from 600 to 900</w:t>
      </w:r>
      <w:r w:rsidRPr="00B05805">
        <w:rPr>
          <w:rFonts w:ascii="Times New Roman" w:eastAsia="Calibri" w:hAnsi="Times New Roman" w:cs="Times New Roman"/>
          <w:szCs w:val="24"/>
          <w:vertAlign w:val="superscript"/>
        </w:rPr>
        <w:t>o</w:t>
      </w:r>
      <w:r w:rsidRPr="00B05805">
        <w:rPr>
          <w:rFonts w:ascii="Times New Roman" w:eastAsia="MS Mincho" w:hAnsi="Times New Roman" w:cs="Times New Roman"/>
          <w:szCs w:val="24"/>
        </w:rPr>
        <w:t>C) to low temperature weight loss (sum of weight loss from 300 to 500</w:t>
      </w:r>
      <w:r w:rsidRPr="00B05805">
        <w:rPr>
          <w:rFonts w:ascii="Times New Roman" w:eastAsia="Calibri" w:hAnsi="Times New Roman" w:cs="Times New Roman"/>
          <w:szCs w:val="24"/>
          <w:vertAlign w:val="superscript"/>
        </w:rPr>
        <w:t>o</w:t>
      </w:r>
      <w:r w:rsidRPr="00B05805">
        <w:rPr>
          <w:rFonts w:ascii="Times New Roman" w:eastAsia="MS Mincho" w:hAnsi="Times New Roman" w:cs="Times New Roman"/>
          <w:szCs w:val="24"/>
        </w:rPr>
        <w:t>C).</w:t>
      </w:r>
      <w:r w:rsidRPr="00B05805">
        <w:rPr>
          <w:rFonts w:ascii="Times New Roman" w:eastAsia="Calibri" w:hAnsi="Times New Roman" w:cs="Times New Roman"/>
          <w:szCs w:val="24"/>
        </w:rPr>
        <w:t xml:space="preserve">  </w:t>
      </w:r>
      <w:r w:rsidRPr="00B05805">
        <w:rPr>
          <w:rFonts w:ascii="Times New Roman" w:eastAsia="MS Mincho" w:hAnsi="Times New Roman" w:cs="Times New Roman"/>
          <w:szCs w:val="24"/>
        </w:rPr>
        <w:t xml:space="preserve">The third measure is the temperature of maximum weight loss. This should indicate that much of the sample has effectively seen a maximum charring temperature lower than this temperature.  </w:t>
      </w:r>
    </w:p>
    <w:p w:rsidR="00B05805" w:rsidRPr="00B05805" w:rsidRDefault="00B05805" w:rsidP="00B05805">
      <w:pPr>
        <w:spacing w:after="120" w:line="360" w:lineRule="auto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B05805">
        <w:rPr>
          <w:rFonts w:ascii="Times New Roman" w:eastAsia="MS Mincho" w:hAnsi="Times New Roman" w:cs="Times New Roman"/>
          <w:szCs w:val="24"/>
        </w:rPr>
        <w:t xml:space="preserve">The "degree of charring" </w:t>
      </w:r>
      <w:proofErr w:type="gramStart"/>
      <w:r w:rsidRPr="00B05805">
        <w:rPr>
          <w:rFonts w:ascii="Times New Roman" w:eastAsia="MS Mincho" w:hAnsi="Times New Roman" w:cs="Times New Roman"/>
          <w:szCs w:val="24"/>
        </w:rPr>
        <w:t>is not meant</w:t>
      </w:r>
      <w:proofErr w:type="gramEnd"/>
      <w:r w:rsidRPr="00B05805">
        <w:rPr>
          <w:rFonts w:ascii="Times New Roman" w:eastAsia="MS Mincho" w:hAnsi="Times New Roman" w:cs="Times New Roman"/>
          <w:szCs w:val="24"/>
        </w:rPr>
        <w:t xml:space="preserve"> to be an estimate of the highest heat treatment temperature seen by the char, since the degree of charring is a factor of both highest heat treatment temperature and the duration of charring. The comparison with the reference chars is meant to provide a scale to compare the test </w:t>
      </w:r>
      <w:proofErr w:type="gramStart"/>
      <w:r w:rsidRPr="00B05805">
        <w:rPr>
          <w:rFonts w:ascii="Times New Roman" w:eastAsia="MS Mincho" w:hAnsi="Times New Roman" w:cs="Times New Roman"/>
          <w:szCs w:val="24"/>
        </w:rPr>
        <w:t>chars</w:t>
      </w:r>
      <w:proofErr w:type="gramEnd"/>
      <w:r w:rsidRPr="00B05805">
        <w:rPr>
          <w:rFonts w:ascii="Times New Roman" w:eastAsia="MS Mincho" w:hAnsi="Times New Roman" w:cs="Times New Roman"/>
          <w:szCs w:val="24"/>
        </w:rPr>
        <w:t xml:space="preserve"> to and give an estimate of the "effective charring temperature".</w:t>
      </w:r>
    </w:p>
    <w:p w:rsidR="00B05805" w:rsidRPr="00B05805" w:rsidRDefault="00B05805" w:rsidP="00B05805">
      <w:pPr>
        <w:spacing w:after="120" w:line="360" w:lineRule="auto"/>
        <w:jc w:val="both"/>
        <w:rPr>
          <w:rFonts w:ascii="Times New Roman" w:eastAsia="MS Mincho" w:hAnsi="Times New Roman" w:cs="Times New Roman"/>
          <w:szCs w:val="24"/>
        </w:rPr>
      </w:pPr>
      <w:r w:rsidRPr="00B05805">
        <w:rPr>
          <w:rFonts w:ascii="Times New Roman" w:eastAsia="Calibri" w:hAnsi="Times New Roman" w:cs="Times New Roman"/>
          <w:b/>
          <w:szCs w:val="24"/>
        </w:rPr>
        <w:t xml:space="preserve">Reference chars: </w:t>
      </w:r>
      <w:r w:rsidRPr="00B05805">
        <w:rPr>
          <w:rFonts w:ascii="Times New Roman" w:eastAsia="Calibri" w:hAnsi="Times New Roman" w:cs="Times New Roman"/>
          <w:szCs w:val="24"/>
        </w:rPr>
        <w:t xml:space="preserve">The reference series of chars </w:t>
      </w:r>
      <w:proofErr w:type="gramStart"/>
      <w:r w:rsidRPr="00B05805">
        <w:rPr>
          <w:rFonts w:ascii="Times New Roman" w:eastAsia="Calibri" w:hAnsi="Times New Roman" w:cs="Times New Roman"/>
          <w:szCs w:val="24"/>
        </w:rPr>
        <w:t>was produced</w:t>
      </w:r>
      <w:proofErr w:type="gramEnd"/>
      <w:r w:rsidRPr="00B05805">
        <w:rPr>
          <w:rFonts w:ascii="Times New Roman" w:eastAsia="Calibri" w:hAnsi="Times New Roman" w:cs="Times New Roman"/>
          <w:szCs w:val="24"/>
        </w:rPr>
        <w:t xml:space="preserve"> by pyrolysis in a muffle furnace under inert (nitrogen) atmosphere for eight hours at the designated charring temperature. Temperatures </w:t>
      </w:r>
      <w:proofErr w:type="gramStart"/>
      <w:r w:rsidRPr="00B05805">
        <w:rPr>
          <w:rFonts w:ascii="Times New Roman" w:eastAsia="Calibri" w:hAnsi="Times New Roman" w:cs="Times New Roman"/>
          <w:szCs w:val="24"/>
        </w:rPr>
        <w:t>were carefully controlled and varied by 50 or 100°C increments from 250°C to 900°C.</w:t>
      </w:r>
      <w:proofErr w:type="gramEnd"/>
      <w:r w:rsidRPr="00B05805">
        <w:rPr>
          <w:rFonts w:ascii="Times New Roman" w:eastAsia="Calibri" w:hAnsi="Times New Roman" w:cs="Times New Roman"/>
          <w:szCs w:val="24"/>
        </w:rPr>
        <w:t xml:space="preserve"> The reference materials </w:t>
      </w:r>
      <w:r w:rsidRPr="00B05805">
        <w:rPr>
          <w:rFonts w:ascii="Times New Roman" w:eastAsia="MS Mincho" w:hAnsi="Times New Roman" w:cs="Times New Roman"/>
          <w:szCs w:val="24"/>
        </w:rPr>
        <w:t xml:space="preserve">consisted of </w:t>
      </w:r>
      <w:proofErr w:type="gramStart"/>
      <w:r w:rsidRPr="00B05805">
        <w:rPr>
          <w:rFonts w:ascii="Times New Roman" w:eastAsia="MS Mincho" w:hAnsi="Times New Roman" w:cs="Times New Roman"/>
          <w:szCs w:val="24"/>
        </w:rPr>
        <w:t>pine wood</w:t>
      </w:r>
      <w:proofErr w:type="gramEnd"/>
      <w:r w:rsidRPr="00B05805">
        <w:rPr>
          <w:rFonts w:ascii="Times New Roman" w:eastAsia="MS Mincho" w:hAnsi="Times New Roman" w:cs="Times New Roman"/>
          <w:szCs w:val="24"/>
        </w:rPr>
        <w:t xml:space="preserve"> (</w:t>
      </w:r>
      <w:proofErr w:type="spellStart"/>
      <w:r w:rsidRPr="00B05805">
        <w:rPr>
          <w:rFonts w:ascii="Times New Roman" w:eastAsia="MS Mincho" w:hAnsi="Times New Roman" w:cs="Times New Roman"/>
          <w:i/>
          <w:szCs w:val="24"/>
        </w:rPr>
        <w:t>Pinus</w:t>
      </w:r>
      <w:proofErr w:type="spellEnd"/>
      <w:r w:rsidRPr="00B05805">
        <w:rPr>
          <w:rFonts w:ascii="Times New Roman" w:eastAsia="MS Mincho" w:hAnsi="Times New Roman" w:cs="Times New Roman"/>
          <w:i/>
          <w:szCs w:val="24"/>
        </w:rPr>
        <w:t xml:space="preserve"> ponderosa</w:t>
      </w:r>
      <w:r w:rsidRPr="00B05805">
        <w:rPr>
          <w:rFonts w:ascii="Times New Roman" w:eastAsia="MS Mincho" w:hAnsi="Times New Roman" w:cs="Times New Roman"/>
          <w:szCs w:val="24"/>
        </w:rPr>
        <w:t>), switch grass (</w:t>
      </w:r>
      <w:proofErr w:type="spellStart"/>
      <w:r w:rsidRPr="00B05805">
        <w:rPr>
          <w:rFonts w:ascii="Times New Roman" w:eastAsia="MS Mincho" w:hAnsi="Times New Roman" w:cs="Times New Roman"/>
          <w:i/>
          <w:szCs w:val="24"/>
        </w:rPr>
        <w:t>Panicum</w:t>
      </w:r>
      <w:proofErr w:type="spellEnd"/>
      <w:r w:rsidRPr="00B05805">
        <w:rPr>
          <w:rFonts w:ascii="Times New Roman" w:eastAsia="MS Mincho" w:hAnsi="Times New Roman" w:cs="Times New Roman"/>
          <w:i/>
          <w:szCs w:val="24"/>
        </w:rPr>
        <w:t xml:space="preserve"> </w:t>
      </w:r>
      <w:proofErr w:type="spellStart"/>
      <w:r w:rsidRPr="00B05805">
        <w:rPr>
          <w:rFonts w:ascii="Times New Roman" w:eastAsia="MS Mincho" w:hAnsi="Times New Roman" w:cs="Times New Roman"/>
          <w:i/>
          <w:szCs w:val="24"/>
        </w:rPr>
        <w:t>virgatum</w:t>
      </w:r>
      <w:proofErr w:type="spellEnd"/>
      <w:r w:rsidRPr="00B05805">
        <w:rPr>
          <w:rFonts w:ascii="Times New Roman" w:eastAsia="MS Mincho" w:hAnsi="Times New Roman" w:cs="Times New Roman"/>
          <w:szCs w:val="24"/>
        </w:rPr>
        <w:t>), and purified cellulose.</w:t>
      </w:r>
    </w:p>
    <w:p w:rsidR="00B05805" w:rsidRPr="00B05805" w:rsidRDefault="00B05805" w:rsidP="00B05805">
      <w:pPr>
        <w:spacing w:after="120" w:line="360" w:lineRule="auto"/>
        <w:jc w:val="both"/>
        <w:rPr>
          <w:rFonts w:ascii="Times New Roman" w:eastAsia="MS Mincho" w:hAnsi="Times New Roman" w:cs="Times New Roman"/>
          <w:szCs w:val="24"/>
        </w:rPr>
      </w:pPr>
      <w:r w:rsidRPr="00B05805">
        <w:rPr>
          <w:rFonts w:ascii="Times New Roman" w:eastAsia="Calibri" w:hAnsi="Times New Roman" w:cs="Times New Roman"/>
          <w:b/>
          <w:szCs w:val="24"/>
        </w:rPr>
        <w:t>Cacao and rice hull chars</w:t>
      </w:r>
      <w:r w:rsidRPr="00B05805">
        <w:rPr>
          <w:rFonts w:ascii="Times New Roman" w:eastAsia="MS Mincho" w:hAnsi="Times New Roman" w:cs="Times New Roman"/>
          <w:szCs w:val="24"/>
        </w:rPr>
        <w:t xml:space="preserve">: </w:t>
      </w:r>
      <w:proofErr w:type="gramStart"/>
      <w:r w:rsidRPr="00B05805">
        <w:rPr>
          <w:rFonts w:ascii="Times New Roman" w:eastAsia="MS Mincho" w:hAnsi="Times New Roman" w:cs="Times New Roman"/>
          <w:szCs w:val="24"/>
        </w:rPr>
        <w:t xml:space="preserve">The cacao shell and rice hull char samples from Indonesia were provided by Gerard Cornelissen, </w:t>
      </w:r>
      <w:proofErr w:type="spellStart"/>
      <w:r w:rsidRPr="00B05805">
        <w:rPr>
          <w:rFonts w:ascii="Times New Roman" w:eastAsia="MS Mincho" w:hAnsi="Times New Roman" w:cs="Times New Roman"/>
          <w:szCs w:val="24"/>
        </w:rPr>
        <w:t>Norges</w:t>
      </w:r>
      <w:proofErr w:type="spellEnd"/>
      <w:r w:rsidRPr="00B05805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B05805">
        <w:rPr>
          <w:rFonts w:ascii="Times New Roman" w:eastAsia="MS Mincho" w:hAnsi="Times New Roman" w:cs="Times New Roman"/>
          <w:szCs w:val="24"/>
        </w:rPr>
        <w:t>Geotekniske</w:t>
      </w:r>
      <w:proofErr w:type="spellEnd"/>
      <w:r w:rsidRPr="00B05805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B05805">
        <w:rPr>
          <w:rFonts w:ascii="Times New Roman" w:eastAsia="MS Mincho" w:hAnsi="Times New Roman" w:cs="Times New Roman"/>
          <w:szCs w:val="24"/>
        </w:rPr>
        <w:t>Institutt</w:t>
      </w:r>
      <w:proofErr w:type="spellEnd"/>
      <w:proofErr w:type="gramEnd"/>
      <w:r w:rsidRPr="00B05805">
        <w:rPr>
          <w:rFonts w:ascii="Times New Roman" w:eastAsia="MS Mincho" w:hAnsi="Times New Roman" w:cs="Times New Roman"/>
          <w:szCs w:val="24"/>
        </w:rPr>
        <w:t>.</w:t>
      </w:r>
    </w:p>
    <w:p w:rsidR="00B05805" w:rsidRPr="00B05805" w:rsidRDefault="00B05805" w:rsidP="00B05805">
      <w:pPr>
        <w:spacing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B05805">
        <w:rPr>
          <w:rFonts w:ascii="Times New Roman" w:eastAsia="Calibri" w:hAnsi="Times New Roman" w:cs="Times New Roman"/>
          <w:b/>
          <w:szCs w:val="24"/>
        </w:rPr>
        <w:br w:type="page"/>
      </w:r>
    </w:p>
    <w:p w:rsidR="00B05805" w:rsidRPr="00B05805" w:rsidRDefault="00B05805" w:rsidP="00B05805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lastRenderedPageBreak/>
        <w:t>Total weight loss</w:t>
      </w:r>
      <w:r w:rsidRPr="00B05805">
        <w:rPr>
          <w:rFonts w:ascii="Times New Roman" w:eastAsia="Calibri" w:hAnsi="Times New Roman" w:cs="Times New Roman"/>
          <w:b/>
          <w:szCs w:val="24"/>
        </w:rPr>
        <w:t xml:space="preserve">  </w:t>
      </w:r>
    </w:p>
    <w:p w:rsidR="00B05805" w:rsidRPr="00B05805" w:rsidRDefault="00B05805" w:rsidP="00B05805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B05805">
        <w:rPr>
          <w:rFonts w:ascii="Times New Roman" w:eastAsia="Calibri" w:hAnsi="Times New Roman" w:cs="Times New Roman"/>
          <w:szCs w:val="24"/>
        </w:rPr>
        <w:t xml:space="preserve">The total weight loss of reference chars (in percentage) after correction for moisture and ash content </w:t>
      </w:r>
      <w:proofErr w:type="gramStart"/>
      <w:r w:rsidRPr="00B05805">
        <w:rPr>
          <w:rFonts w:ascii="Times New Roman" w:eastAsia="Calibri" w:hAnsi="Times New Roman" w:cs="Times New Roman"/>
          <w:szCs w:val="24"/>
        </w:rPr>
        <w:t>are shown</w:t>
      </w:r>
      <w:proofErr w:type="gramEnd"/>
      <w:r w:rsidRPr="00B05805">
        <w:rPr>
          <w:rFonts w:ascii="Times New Roman" w:eastAsia="Calibri" w:hAnsi="Times New Roman" w:cs="Times New Roman"/>
          <w:szCs w:val="24"/>
        </w:rPr>
        <w:t xml:space="preserve"> below. The numbers in parenthesis are standard deviations. (n=3 for pine wood char and n=2 for switchgrass chars)</w:t>
      </w:r>
    </w:p>
    <w:tbl>
      <w:tblPr>
        <w:tblStyle w:val="ListTable6Colorful1"/>
        <w:tblW w:w="5920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559"/>
        <w:gridCol w:w="1134"/>
      </w:tblGrid>
      <w:tr w:rsidR="00B05805" w:rsidRPr="00B05805" w:rsidTr="00EB0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B05805" w:rsidRPr="00B05805" w:rsidRDefault="00B05805" w:rsidP="00B05805">
            <w:pPr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Charring</w:t>
            </w:r>
          </w:p>
          <w:p w:rsidR="00B05805" w:rsidRPr="00B05805" w:rsidRDefault="00B05805" w:rsidP="00B05805">
            <w:pPr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Temperature (ºC)</w:t>
            </w:r>
          </w:p>
        </w:tc>
        <w:tc>
          <w:tcPr>
            <w:tcW w:w="1276" w:type="dxa"/>
            <w:noWrap/>
            <w:hideMark/>
          </w:tcPr>
          <w:p w:rsidR="00B05805" w:rsidRPr="00B05805" w:rsidRDefault="00B05805" w:rsidP="00B058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Pine wood</w:t>
            </w:r>
          </w:p>
          <w:p w:rsidR="00B05805" w:rsidRPr="00B05805" w:rsidRDefault="00B05805" w:rsidP="00B058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1559" w:type="dxa"/>
          </w:tcPr>
          <w:p w:rsidR="00B05805" w:rsidRPr="00B05805" w:rsidRDefault="00B05805" w:rsidP="00B058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Switch grass</w:t>
            </w:r>
          </w:p>
          <w:p w:rsidR="00B05805" w:rsidRPr="00B05805" w:rsidRDefault="00B05805" w:rsidP="00B058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1134" w:type="dxa"/>
          </w:tcPr>
          <w:p w:rsidR="00B05805" w:rsidRPr="00B05805" w:rsidRDefault="00B05805" w:rsidP="00B058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Cellulose</w:t>
            </w:r>
          </w:p>
          <w:p w:rsidR="00B05805" w:rsidRPr="00B05805" w:rsidRDefault="00B05805" w:rsidP="00B058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char</w:t>
            </w:r>
          </w:p>
        </w:tc>
      </w:tr>
      <w:tr w:rsidR="00B05805" w:rsidRPr="00B05805" w:rsidTr="00B0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64.3 (0.7)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61.2 (2.90)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48.9</w:t>
            </w:r>
          </w:p>
        </w:tc>
      </w:tr>
      <w:tr w:rsidR="00B05805" w:rsidRPr="00B05805" w:rsidTr="00EB0A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center"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 xml:space="preserve">48.7 (2.2)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45.5 (2.03)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44.8</w:t>
            </w:r>
          </w:p>
        </w:tc>
      </w:tr>
      <w:tr w:rsidR="00B05805" w:rsidRPr="00B05805" w:rsidTr="00EB0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37.0 (1.8)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38.0 (2.04)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43.1</w:t>
            </w:r>
          </w:p>
        </w:tc>
      </w:tr>
      <w:tr w:rsidR="00B05805" w:rsidRPr="00B05805" w:rsidTr="00EB0A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center"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34.0 (2.3)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32.9 2.04)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37.4</w:t>
            </w:r>
          </w:p>
        </w:tc>
      </w:tr>
      <w:tr w:rsidR="00B05805" w:rsidRPr="00B05805" w:rsidTr="00EB0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28.4 (2.6)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25.5 (0.37)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21.6</w:t>
            </w:r>
          </w:p>
        </w:tc>
      </w:tr>
      <w:tr w:rsidR="00B05805" w:rsidRPr="00B05805" w:rsidTr="00EB0A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center"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18.0 (0.6)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22.0 (0.06)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15.8</w:t>
            </w:r>
          </w:p>
        </w:tc>
      </w:tr>
      <w:tr w:rsidR="00B05805" w:rsidRPr="00B05805" w:rsidTr="00EB0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17.0 (2.0)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18.2 (0.80)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10.7</w:t>
            </w:r>
          </w:p>
        </w:tc>
      </w:tr>
      <w:tr w:rsidR="00B05805" w:rsidRPr="00B05805" w:rsidTr="00EB0A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noWrap/>
            <w:vAlign w:val="center"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center"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14.0 (1.9)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14.7 (0.96)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05805" w:rsidRPr="00B05805" w:rsidTr="00EB0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14.5 (3.0)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14.5 (2.23)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05805" w:rsidRPr="00B05805" w:rsidTr="00EB0A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</w:tcBorders>
            <w:noWrap/>
            <w:vAlign w:val="center"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tcBorders>
              <w:top w:val="nil"/>
            </w:tcBorders>
            <w:noWrap/>
            <w:vAlign w:val="center"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12.1 (1.8)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13.1 (2.93)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05805" w:rsidRPr="00B05805" w:rsidRDefault="00B05805" w:rsidP="00B05805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B05805">
        <w:rPr>
          <w:rFonts w:ascii="Times New Roman" w:eastAsia="Calibri" w:hAnsi="Times New Roman" w:cs="Times New Roman"/>
          <w:szCs w:val="24"/>
        </w:rPr>
        <w:t xml:space="preserve">The total weight loss of the cacao shell char was 32.9% (Standard Deviation 3.6, n=3), which would indicate a charring temperature of </w:t>
      </w:r>
      <w:r w:rsidRPr="00B05805">
        <w:rPr>
          <w:rFonts w:ascii="Times New Roman" w:eastAsia="Calibri" w:hAnsi="Times New Roman" w:cs="Times New Roman"/>
          <w:sz w:val="22"/>
        </w:rPr>
        <w:t>about 400</w:t>
      </w:r>
      <w:r w:rsidRPr="00B05805">
        <w:rPr>
          <w:rFonts w:ascii="Times New Roman" w:eastAsia="Calibri" w:hAnsi="Times New Roman" w:cs="Times New Roman"/>
          <w:szCs w:val="24"/>
          <w:vertAlign w:val="superscript"/>
        </w:rPr>
        <w:t>o</w:t>
      </w:r>
      <w:r w:rsidRPr="00B05805">
        <w:rPr>
          <w:rFonts w:ascii="Times New Roman" w:eastAsia="Calibri" w:hAnsi="Times New Roman" w:cs="Times New Roman"/>
          <w:szCs w:val="24"/>
        </w:rPr>
        <w:t>C.</w:t>
      </w:r>
    </w:p>
    <w:p w:rsidR="00B05805" w:rsidRPr="00B05805" w:rsidRDefault="00B05805" w:rsidP="00B05805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B05805">
        <w:rPr>
          <w:rFonts w:ascii="Times New Roman" w:eastAsia="Calibri" w:hAnsi="Times New Roman" w:cs="Times New Roman"/>
          <w:szCs w:val="24"/>
        </w:rPr>
        <w:t>The total weight loss of the rice hull char was 33.1% (Standard Deviation 0.66, n=3), which would be the equivalent of an 8 hour charring temperature of about 400</w:t>
      </w:r>
      <w:r w:rsidRPr="00B05805">
        <w:rPr>
          <w:rFonts w:ascii="Times New Roman" w:eastAsia="Calibri" w:hAnsi="Times New Roman" w:cs="Times New Roman"/>
          <w:szCs w:val="24"/>
          <w:vertAlign w:val="superscript"/>
        </w:rPr>
        <w:t>o</w:t>
      </w:r>
      <w:r w:rsidRPr="00B05805">
        <w:rPr>
          <w:rFonts w:ascii="Times New Roman" w:eastAsia="Calibri" w:hAnsi="Times New Roman" w:cs="Times New Roman"/>
          <w:szCs w:val="24"/>
        </w:rPr>
        <w:t>C.</w:t>
      </w:r>
    </w:p>
    <w:p w:rsidR="00B05805" w:rsidRPr="00B05805" w:rsidRDefault="00B05805" w:rsidP="00B05805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B05805" w:rsidRPr="00B05805" w:rsidRDefault="00B05805" w:rsidP="00B05805">
      <w:pPr>
        <w:spacing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:rsidR="00B05805" w:rsidRPr="00B05805" w:rsidRDefault="00B05805" w:rsidP="00B05805">
      <w:pPr>
        <w:spacing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B05805">
        <w:rPr>
          <w:rFonts w:ascii="Times New Roman" w:eastAsia="Calibri" w:hAnsi="Times New Roman" w:cs="Times New Roman"/>
          <w:b/>
          <w:szCs w:val="24"/>
        </w:rPr>
        <w:br w:type="page"/>
      </w:r>
    </w:p>
    <w:p w:rsidR="00B05805" w:rsidRPr="00B05805" w:rsidRDefault="00B05805" w:rsidP="00B05805">
      <w:pPr>
        <w:spacing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B05805">
        <w:rPr>
          <w:rFonts w:ascii="Times New Roman" w:eastAsia="Calibri" w:hAnsi="Times New Roman" w:cs="Times New Roman"/>
          <w:b/>
          <w:szCs w:val="24"/>
        </w:rPr>
        <w:lastRenderedPageBreak/>
        <w:t>High to L</w:t>
      </w:r>
      <w:r>
        <w:rPr>
          <w:rFonts w:ascii="Times New Roman" w:eastAsia="Calibri" w:hAnsi="Times New Roman" w:cs="Times New Roman"/>
          <w:b/>
          <w:szCs w:val="24"/>
        </w:rPr>
        <w:t>ow temperature weigh loss ratio</w:t>
      </w:r>
      <w:r w:rsidRPr="00B05805">
        <w:rPr>
          <w:rFonts w:ascii="Times New Roman" w:eastAsia="Calibri" w:hAnsi="Times New Roman" w:cs="Times New Roman"/>
          <w:b/>
          <w:szCs w:val="24"/>
        </w:rPr>
        <w:t xml:space="preserve">  </w:t>
      </w:r>
    </w:p>
    <w:p w:rsidR="00B05805" w:rsidRPr="00B05805" w:rsidRDefault="00B05805" w:rsidP="00B05805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B05805">
        <w:rPr>
          <w:rFonts w:ascii="Times New Roman" w:eastAsia="Calibri" w:hAnsi="Times New Roman" w:cs="Times New Roman"/>
          <w:szCs w:val="24"/>
        </w:rPr>
        <w:t xml:space="preserve">The </w:t>
      </w:r>
      <w:r w:rsidRPr="00B05805">
        <w:rPr>
          <w:rFonts w:ascii="Times New Roman" w:eastAsia="MS Mincho" w:hAnsi="Times New Roman" w:cs="Times New Roman"/>
          <w:szCs w:val="24"/>
        </w:rPr>
        <w:t>ratio of high temperature weight loss (sum of weight loss from 600 to 900</w:t>
      </w:r>
      <w:r w:rsidRPr="00B05805">
        <w:rPr>
          <w:rFonts w:ascii="Times New Roman" w:eastAsia="Calibri" w:hAnsi="Times New Roman" w:cs="Times New Roman"/>
          <w:szCs w:val="24"/>
          <w:vertAlign w:val="superscript"/>
        </w:rPr>
        <w:t>o</w:t>
      </w:r>
      <w:r w:rsidRPr="00B05805">
        <w:rPr>
          <w:rFonts w:ascii="Times New Roman" w:eastAsia="MS Mincho" w:hAnsi="Times New Roman" w:cs="Times New Roman"/>
          <w:szCs w:val="24"/>
        </w:rPr>
        <w:t>C) to low temperature weight loss (sum of weight loss from 300 to 500</w:t>
      </w:r>
      <w:r w:rsidRPr="00B05805">
        <w:rPr>
          <w:rFonts w:ascii="Times New Roman" w:eastAsia="Calibri" w:hAnsi="Times New Roman" w:cs="Times New Roman"/>
          <w:szCs w:val="24"/>
          <w:vertAlign w:val="superscript"/>
        </w:rPr>
        <w:t>o</w:t>
      </w:r>
      <w:r w:rsidRPr="00B05805">
        <w:rPr>
          <w:rFonts w:ascii="Times New Roman" w:eastAsia="MS Mincho" w:hAnsi="Times New Roman" w:cs="Times New Roman"/>
          <w:szCs w:val="24"/>
        </w:rPr>
        <w:t xml:space="preserve">C) for the reference chars </w:t>
      </w:r>
      <w:proofErr w:type="gramStart"/>
      <w:r w:rsidRPr="00B05805">
        <w:rPr>
          <w:rFonts w:ascii="Times New Roman" w:eastAsia="MS Mincho" w:hAnsi="Times New Roman" w:cs="Times New Roman"/>
          <w:szCs w:val="24"/>
        </w:rPr>
        <w:t>are shown</w:t>
      </w:r>
      <w:proofErr w:type="gramEnd"/>
      <w:r w:rsidRPr="00B05805">
        <w:rPr>
          <w:rFonts w:ascii="Times New Roman" w:eastAsia="MS Mincho" w:hAnsi="Times New Roman" w:cs="Times New Roman"/>
          <w:szCs w:val="24"/>
        </w:rPr>
        <w:t xml:space="preserve"> below</w:t>
      </w:r>
      <w:r w:rsidRPr="00B05805">
        <w:rPr>
          <w:rFonts w:ascii="Times New Roman" w:eastAsia="Calibri" w:hAnsi="Times New Roman" w:cs="Times New Roman"/>
          <w:szCs w:val="24"/>
        </w:rPr>
        <w:t>. The numbers in parenthesis are standard deviations. (n=3 for pine wood char and n=2 for switchgrass chars)</w:t>
      </w:r>
    </w:p>
    <w:tbl>
      <w:tblPr>
        <w:tblStyle w:val="ListTable6Colorful1"/>
        <w:tblW w:w="9375" w:type="dxa"/>
        <w:tblLayout w:type="fixed"/>
        <w:tblLook w:val="04A0" w:firstRow="1" w:lastRow="0" w:firstColumn="1" w:lastColumn="0" w:noHBand="0" w:noVBand="1"/>
      </w:tblPr>
      <w:tblGrid>
        <w:gridCol w:w="1905"/>
        <w:gridCol w:w="1464"/>
        <w:gridCol w:w="1559"/>
        <w:gridCol w:w="4447"/>
      </w:tblGrid>
      <w:tr w:rsidR="00B05805" w:rsidRPr="00B05805" w:rsidTr="00EB0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hideMark/>
          </w:tcPr>
          <w:p w:rsidR="00B05805" w:rsidRPr="00B05805" w:rsidRDefault="00B05805" w:rsidP="00B05805">
            <w:pPr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Charring</w:t>
            </w:r>
          </w:p>
          <w:p w:rsidR="00B05805" w:rsidRPr="00B05805" w:rsidRDefault="00B05805" w:rsidP="00B05805">
            <w:pPr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Temperature (ºC)</w:t>
            </w:r>
          </w:p>
        </w:tc>
        <w:tc>
          <w:tcPr>
            <w:tcW w:w="1464" w:type="dxa"/>
            <w:noWrap/>
            <w:hideMark/>
          </w:tcPr>
          <w:p w:rsidR="00B05805" w:rsidRPr="00B05805" w:rsidRDefault="00B05805" w:rsidP="00B058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Pine wood</w:t>
            </w:r>
          </w:p>
          <w:p w:rsidR="00B05805" w:rsidRPr="00B05805" w:rsidRDefault="00B05805" w:rsidP="00B058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1559" w:type="dxa"/>
          </w:tcPr>
          <w:p w:rsidR="00B05805" w:rsidRPr="00B05805" w:rsidRDefault="00B05805" w:rsidP="00B058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Switch grass</w:t>
            </w:r>
          </w:p>
          <w:p w:rsidR="00B05805" w:rsidRPr="00B05805" w:rsidRDefault="00B05805" w:rsidP="00B058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4447" w:type="dxa"/>
          </w:tcPr>
          <w:p w:rsidR="00B05805" w:rsidRPr="00B05805" w:rsidRDefault="00B05805" w:rsidP="00B058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Cellulose</w:t>
            </w:r>
          </w:p>
          <w:p w:rsidR="00B05805" w:rsidRPr="00B05805" w:rsidRDefault="00B05805" w:rsidP="00B058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char</w:t>
            </w:r>
          </w:p>
        </w:tc>
      </w:tr>
      <w:tr w:rsidR="00B05805" w:rsidRPr="00B05805" w:rsidTr="00B0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64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0.25 (0.02)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0.23 (0.03)</w:t>
            </w:r>
          </w:p>
        </w:tc>
        <w:tc>
          <w:tcPr>
            <w:tcW w:w="4447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0.03</w:t>
            </w:r>
          </w:p>
        </w:tc>
      </w:tr>
      <w:tr w:rsidR="00B05805" w:rsidRPr="00B05805" w:rsidTr="00EB0A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0.64 (0.11)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0.46 (0.02)</w:t>
            </w:r>
          </w:p>
        </w:tc>
        <w:tc>
          <w:tcPr>
            <w:tcW w:w="4447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0.11</w:t>
            </w:r>
          </w:p>
        </w:tc>
      </w:tr>
      <w:tr w:rsidR="00B05805" w:rsidRPr="00B05805" w:rsidTr="00EB0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0.78 (0.11)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0.64 (0.00)</w:t>
            </w:r>
          </w:p>
        </w:tc>
        <w:tc>
          <w:tcPr>
            <w:tcW w:w="4447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0.32</w:t>
            </w:r>
          </w:p>
        </w:tc>
      </w:tr>
      <w:tr w:rsidR="00B05805" w:rsidRPr="00B05805" w:rsidTr="00EB0A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1.06 (0.23)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0.96 (0.06)</w:t>
            </w:r>
          </w:p>
        </w:tc>
        <w:tc>
          <w:tcPr>
            <w:tcW w:w="4447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0.65</w:t>
            </w:r>
          </w:p>
        </w:tc>
      </w:tr>
      <w:tr w:rsidR="00B05805" w:rsidRPr="00B05805" w:rsidTr="00EB0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1.57 (0.24)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1.42 (0.17)</w:t>
            </w:r>
          </w:p>
        </w:tc>
        <w:tc>
          <w:tcPr>
            <w:tcW w:w="4447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0.97</w:t>
            </w:r>
          </w:p>
        </w:tc>
      </w:tr>
      <w:tr w:rsidR="00B05805" w:rsidRPr="00B05805" w:rsidTr="00EB0A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2.51 (0.10)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2.20 (0.04)</w:t>
            </w:r>
          </w:p>
        </w:tc>
        <w:tc>
          <w:tcPr>
            <w:tcW w:w="4447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2.87</w:t>
            </w:r>
          </w:p>
        </w:tc>
      </w:tr>
      <w:tr w:rsidR="00B05805" w:rsidRPr="00B05805" w:rsidTr="00EB0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2.85 (0.18)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2.65 (0.07)</w:t>
            </w:r>
          </w:p>
        </w:tc>
        <w:tc>
          <w:tcPr>
            <w:tcW w:w="4447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6.70</w:t>
            </w:r>
          </w:p>
        </w:tc>
      </w:tr>
      <w:tr w:rsidR="00B05805" w:rsidRPr="00B05805" w:rsidTr="00EB0A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2.84 (0.05)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2.48 (0.02)</w:t>
            </w:r>
          </w:p>
        </w:tc>
        <w:tc>
          <w:tcPr>
            <w:tcW w:w="4447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05805" w:rsidRPr="00B05805" w:rsidTr="00EB0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3.05 (0.15)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2.23 (0.01)</w:t>
            </w:r>
          </w:p>
        </w:tc>
        <w:tc>
          <w:tcPr>
            <w:tcW w:w="4447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05805" w:rsidRPr="00B05805" w:rsidTr="00B058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64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2.90 (0.08)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2.04 (0.15)</w:t>
            </w:r>
          </w:p>
        </w:tc>
        <w:tc>
          <w:tcPr>
            <w:tcW w:w="444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05805" w:rsidRPr="00B05805" w:rsidRDefault="00B05805" w:rsidP="00B05805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B05805">
        <w:rPr>
          <w:rFonts w:ascii="Times New Roman" w:eastAsia="Calibri" w:hAnsi="Times New Roman" w:cs="Times New Roman"/>
          <w:szCs w:val="24"/>
        </w:rPr>
        <w:t xml:space="preserve">The </w:t>
      </w:r>
      <w:r w:rsidRPr="00B05805">
        <w:rPr>
          <w:rFonts w:ascii="Times New Roman" w:eastAsia="MS Mincho" w:hAnsi="Times New Roman" w:cs="Times New Roman"/>
          <w:szCs w:val="24"/>
        </w:rPr>
        <w:t xml:space="preserve">ratio of high temperature weight loss to low temperature weight loss </w:t>
      </w:r>
      <w:r w:rsidRPr="00B05805">
        <w:rPr>
          <w:rFonts w:ascii="Times New Roman" w:eastAsia="Calibri" w:hAnsi="Times New Roman" w:cs="Times New Roman"/>
          <w:szCs w:val="24"/>
        </w:rPr>
        <w:t>of the cacao shell char was 1.8 (Standard Deviation 0.08, n=3), which would indicate a charring temperature of between 450 and 500</w:t>
      </w:r>
      <w:r w:rsidRPr="00B05805">
        <w:rPr>
          <w:rFonts w:ascii="Times New Roman" w:eastAsia="Calibri" w:hAnsi="Times New Roman" w:cs="Times New Roman"/>
          <w:szCs w:val="24"/>
          <w:vertAlign w:val="superscript"/>
        </w:rPr>
        <w:t>o</w:t>
      </w:r>
      <w:r w:rsidRPr="00B05805">
        <w:rPr>
          <w:rFonts w:ascii="Times New Roman" w:eastAsia="Calibri" w:hAnsi="Times New Roman" w:cs="Times New Roman"/>
          <w:szCs w:val="24"/>
        </w:rPr>
        <w:t>C.</w:t>
      </w:r>
    </w:p>
    <w:p w:rsidR="00B05805" w:rsidRPr="00B05805" w:rsidRDefault="00B05805" w:rsidP="00B05805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B05805">
        <w:rPr>
          <w:rFonts w:ascii="Times New Roman" w:eastAsia="Calibri" w:hAnsi="Times New Roman" w:cs="Times New Roman"/>
          <w:szCs w:val="24"/>
        </w:rPr>
        <w:t xml:space="preserve">The </w:t>
      </w:r>
      <w:r w:rsidRPr="00B05805">
        <w:rPr>
          <w:rFonts w:ascii="Times New Roman" w:eastAsia="MS Mincho" w:hAnsi="Times New Roman" w:cs="Times New Roman"/>
          <w:szCs w:val="24"/>
        </w:rPr>
        <w:t xml:space="preserve">ratio of high temperature weight loss to low temperature weight loss </w:t>
      </w:r>
      <w:r w:rsidRPr="00B05805">
        <w:rPr>
          <w:rFonts w:ascii="Times New Roman" w:eastAsia="Calibri" w:hAnsi="Times New Roman" w:cs="Times New Roman"/>
          <w:szCs w:val="24"/>
        </w:rPr>
        <w:t>of the rice hull char was 1.4 (Standard Deviation 0.04, n=3), which would be the equivalent of an 8 hour charring temperature of between 450 and 500</w:t>
      </w:r>
      <w:r w:rsidRPr="00B05805">
        <w:rPr>
          <w:rFonts w:ascii="Times New Roman" w:eastAsia="Calibri" w:hAnsi="Times New Roman" w:cs="Times New Roman"/>
          <w:szCs w:val="24"/>
          <w:vertAlign w:val="superscript"/>
        </w:rPr>
        <w:t>o</w:t>
      </w:r>
      <w:r w:rsidRPr="00B05805">
        <w:rPr>
          <w:rFonts w:ascii="Times New Roman" w:eastAsia="Calibri" w:hAnsi="Times New Roman" w:cs="Times New Roman"/>
          <w:szCs w:val="24"/>
        </w:rPr>
        <w:t>C.</w:t>
      </w:r>
    </w:p>
    <w:p w:rsidR="00B05805" w:rsidRPr="00B05805" w:rsidRDefault="00B05805" w:rsidP="00B05805">
      <w:pPr>
        <w:spacing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:rsidR="00B05805" w:rsidRPr="00B05805" w:rsidRDefault="00B05805" w:rsidP="00B05805">
      <w:pPr>
        <w:spacing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B05805">
        <w:rPr>
          <w:rFonts w:ascii="Times New Roman" w:eastAsia="Calibri" w:hAnsi="Times New Roman" w:cs="Times New Roman"/>
          <w:b/>
          <w:szCs w:val="24"/>
        </w:rPr>
        <w:br w:type="page"/>
      </w:r>
    </w:p>
    <w:p w:rsidR="00B05805" w:rsidRPr="00B05805" w:rsidRDefault="00B05805" w:rsidP="00B05805">
      <w:pPr>
        <w:spacing w:after="0"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lastRenderedPageBreak/>
        <w:t>Incremental loss profiles</w:t>
      </w:r>
      <w:r w:rsidRPr="00B05805">
        <w:rPr>
          <w:rFonts w:ascii="Times New Roman" w:eastAsia="Calibri" w:hAnsi="Times New Roman" w:cs="Times New Roman"/>
          <w:b/>
          <w:szCs w:val="24"/>
        </w:rPr>
        <w:t xml:space="preserve">  </w:t>
      </w:r>
    </w:p>
    <w:p w:rsidR="00B05805" w:rsidRPr="00B05805" w:rsidRDefault="00B05805" w:rsidP="00B05805">
      <w:pPr>
        <w:spacing w:after="0" w:line="360" w:lineRule="auto"/>
        <w:jc w:val="both"/>
        <w:rPr>
          <w:rFonts w:ascii="Times New Roman" w:eastAsia="MS Mincho" w:hAnsi="Times New Roman" w:cs="Times New Roman"/>
          <w:szCs w:val="24"/>
        </w:rPr>
      </w:pPr>
      <w:r w:rsidRPr="00B05805">
        <w:rPr>
          <w:rFonts w:ascii="Times New Roman" w:eastAsia="MS Mincho" w:hAnsi="Times New Roman" w:cs="Times New Roman"/>
          <w:szCs w:val="24"/>
        </w:rPr>
        <w:t xml:space="preserve">The incremental loss profile of the cacao shell char </w:t>
      </w:r>
      <w:proofErr w:type="gramStart"/>
      <w:r w:rsidRPr="00B05805">
        <w:rPr>
          <w:rFonts w:ascii="Times New Roman" w:eastAsia="MS Mincho" w:hAnsi="Times New Roman" w:cs="Times New Roman"/>
          <w:szCs w:val="24"/>
        </w:rPr>
        <w:t>is shown</w:t>
      </w:r>
      <w:proofErr w:type="gramEnd"/>
      <w:r w:rsidRPr="00B05805">
        <w:rPr>
          <w:rFonts w:ascii="Times New Roman" w:eastAsia="MS Mincho" w:hAnsi="Times New Roman" w:cs="Times New Roman"/>
          <w:szCs w:val="24"/>
        </w:rPr>
        <w:t xml:space="preserve"> below. The temperature of maximum weight loss of the cacao shell occurs at 700</w:t>
      </w:r>
      <w:r w:rsidRPr="00B05805">
        <w:rPr>
          <w:rFonts w:ascii="Times New Roman" w:eastAsia="Calibri" w:hAnsi="Times New Roman" w:cs="Times New Roman"/>
          <w:szCs w:val="24"/>
          <w:vertAlign w:val="superscript"/>
        </w:rPr>
        <w:t>o</w:t>
      </w:r>
      <w:r w:rsidRPr="00B05805">
        <w:rPr>
          <w:rFonts w:ascii="Times New Roman" w:eastAsia="MS Mincho" w:hAnsi="Times New Roman" w:cs="Times New Roman"/>
          <w:szCs w:val="24"/>
        </w:rPr>
        <w:t>C, indicating that the char has seen a maximum charring temperature lower than this temperature. The temperature of maximum weight loss of the rice hull char occurs at 600</w:t>
      </w:r>
      <w:r w:rsidRPr="00B05805">
        <w:rPr>
          <w:rFonts w:ascii="Times New Roman" w:eastAsia="Calibri" w:hAnsi="Times New Roman" w:cs="Times New Roman"/>
          <w:szCs w:val="24"/>
          <w:vertAlign w:val="superscript"/>
        </w:rPr>
        <w:t>o</w:t>
      </w:r>
      <w:r w:rsidRPr="00B05805">
        <w:rPr>
          <w:rFonts w:ascii="Times New Roman" w:eastAsia="MS Mincho" w:hAnsi="Times New Roman" w:cs="Times New Roman"/>
          <w:szCs w:val="24"/>
        </w:rPr>
        <w:t>C, indicating that the char has seen a maximum charring temperature lower than this temperature.</w:t>
      </w:r>
    </w:p>
    <w:p w:rsidR="00B05805" w:rsidRPr="00B05805" w:rsidRDefault="00B05805" w:rsidP="00B05805">
      <w:pPr>
        <w:spacing w:after="12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B05805">
        <w:rPr>
          <w:rFonts w:ascii="Times New Roman" w:eastAsia="Calibri" w:hAnsi="Times New Roman" w:cs="Times New Roman"/>
          <w:noProof/>
          <w:szCs w:val="24"/>
        </w:rPr>
        <w:drawing>
          <wp:inline distT="0" distB="0" distL="0" distR="0" wp14:anchorId="06DD2E6E" wp14:editId="6E4AE030">
            <wp:extent cx="4134679" cy="27900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263" cy="282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05" w:rsidRPr="00B05805" w:rsidRDefault="00B05805" w:rsidP="00B05805">
      <w:p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B05805">
        <w:rPr>
          <w:rFonts w:ascii="Times New Roman" w:eastAsia="Calibri" w:hAnsi="Times New Roman" w:cs="Times New Roman"/>
          <w:szCs w:val="24"/>
        </w:rPr>
        <w:t xml:space="preserve">The TGA step with the maximum weight loss (degrees Celsius) of reference chars </w:t>
      </w:r>
      <w:proofErr w:type="gramStart"/>
      <w:r w:rsidRPr="00B05805">
        <w:rPr>
          <w:rFonts w:ascii="Times New Roman" w:eastAsia="Calibri" w:hAnsi="Times New Roman" w:cs="Times New Roman"/>
          <w:szCs w:val="24"/>
        </w:rPr>
        <w:t>are shown</w:t>
      </w:r>
      <w:proofErr w:type="gramEnd"/>
      <w:r w:rsidRPr="00B05805">
        <w:rPr>
          <w:rFonts w:ascii="Times New Roman" w:eastAsia="Calibri" w:hAnsi="Times New Roman" w:cs="Times New Roman"/>
          <w:szCs w:val="24"/>
        </w:rPr>
        <w:t xml:space="preserve"> below: </w:t>
      </w:r>
    </w:p>
    <w:tbl>
      <w:tblPr>
        <w:tblStyle w:val="ListTable6Colorful1"/>
        <w:tblW w:w="6062" w:type="dxa"/>
        <w:tblLook w:val="04A0" w:firstRow="1" w:lastRow="0" w:firstColumn="1" w:lastColumn="0" w:noHBand="0" w:noVBand="1"/>
      </w:tblPr>
      <w:tblGrid>
        <w:gridCol w:w="1951"/>
        <w:gridCol w:w="1276"/>
        <w:gridCol w:w="1559"/>
        <w:gridCol w:w="1276"/>
      </w:tblGrid>
      <w:tr w:rsidR="00B05805" w:rsidRPr="00B05805" w:rsidTr="00EB0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B05805" w:rsidRPr="00B05805" w:rsidRDefault="00B05805" w:rsidP="00B05805">
            <w:pPr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Charring</w:t>
            </w:r>
          </w:p>
          <w:p w:rsidR="00B05805" w:rsidRPr="00B05805" w:rsidRDefault="00B05805" w:rsidP="00B05805">
            <w:pPr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Temperature (ºC)</w:t>
            </w:r>
          </w:p>
        </w:tc>
        <w:tc>
          <w:tcPr>
            <w:tcW w:w="1276" w:type="dxa"/>
            <w:noWrap/>
            <w:hideMark/>
          </w:tcPr>
          <w:p w:rsidR="00B05805" w:rsidRPr="00B05805" w:rsidRDefault="00B05805" w:rsidP="00B058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Pine wood</w:t>
            </w:r>
          </w:p>
          <w:p w:rsidR="00B05805" w:rsidRPr="00B05805" w:rsidRDefault="00B05805" w:rsidP="00B058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1559" w:type="dxa"/>
          </w:tcPr>
          <w:p w:rsidR="00B05805" w:rsidRPr="00B05805" w:rsidRDefault="00B05805" w:rsidP="00B058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Switch grass</w:t>
            </w:r>
          </w:p>
          <w:p w:rsidR="00B05805" w:rsidRPr="00B05805" w:rsidRDefault="00B05805" w:rsidP="00B058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1276" w:type="dxa"/>
          </w:tcPr>
          <w:p w:rsidR="00B05805" w:rsidRPr="00B05805" w:rsidRDefault="00B05805" w:rsidP="00B058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Cellulose</w:t>
            </w:r>
          </w:p>
          <w:p w:rsidR="00B05805" w:rsidRPr="00B05805" w:rsidRDefault="00B05805" w:rsidP="00B058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char</w:t>
            </w:r>
          </w:p>
        </w:tc>
      </w:tr>
      <w:tr w:rsidR="00B05805" w:rsidRPr="00B05805" w:rsidTr="00B05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400</w:t>
            </w:r>
          </w:p>
        </w:tc>
      </w:tr>
      <w:tr w:rsidR="00B05805" w:rsidRPr="00B05805" w:rsidTr="00EB0A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500</w:t>
            </w:r>
          </w:p>
        </w:tc>
      </w:tr>
      <w:tr w:rsidR="00B05805" w:rsidRPr="00B05805" w:rsidTr="00EB0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600</w:t>
            </w:r>
          </w:p>
        </w:tc>
      </w:tr>
      <w:tr w:rsidR="00B05805" w:rsidRPr="00B05805" w:rsidTr="00EB0A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600</w:t>
            </w:r>
          </w:p>
        </w:tc>
      </w:tr>
      <w:tr w:rsidR="00B05805" w:rsidRPr="00B05805" w:rsidTr="00EB0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600</w:t>
            </w:r>
          </w:p>
        </w:tc>
      </w:tr>
      <w:tr w:rsidR="00B05805" w:rsidRPr="00B05805" w:rsidTr="00EB0A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600</w:t>
            </w:r>
          </w:p>
        </w:tc>
      </w:tr>
      <w:tr w:rsidR="00B05805" w:rsidRPr="00B05805" w:rsidTr="00EB0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700</w:t>
            </w:r>
          </w:p>
        </w:tc>
      </w:tr>
      <w:tr w:rsidR="00B05805" w:rsidRPr="00B05805" w:rsidTr="00EB0A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05805" w:rsidRPr="00B05805" w:rsidTr="00EB0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B05805" w:rsidRPr="00B05805" w:rsidRDefault="00B05805" w:rsidP="00B0580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05805" w:rsidRPr="00B05805" w:rsidTr="00EB0A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</w:tcBorders>
            <w:noWrap/>
            <w:hideMark/>
          </w:tcPr>
          <w:p w:rsidR="00B05805" w:rsidRPr="00B05805" w:rsidRDefault="00B05805" w:rsidP="00B05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tcBorders>
              <w:top w:val="nil"/>
            </w:tcBorders>
            <w:noWrap/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59" w:type="dxa"/>
            <w:tcBorders>
              <w:top w:val="nil"/>
            </w:tcBorders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58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tcBorders>
              <w:top w:val="nil"/>
            </w:tcBorders>
          </w:tcPr>
          <w:p w:rsidR="00B05805" w:rsidRPr="00B05805" w:rsidRDefault="00B05805" w:rsidP="00B0580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05805" w:rsidRPr="00B05805" w:rsidRDefault="00B05805" w:rsidP="00B05805">
      <w:pPr>
        <w:spacing w:after="0" w:line="276" w:lineRule="auto"/>
        <w:rPr>
          <w:rFonts w:ascii="Times New Roman" w:eastAsia="Calibri" w:hAnsi="Times New Roman" w:cs="Times New Roman"/>
          <w:szCs w:val="24"/>
        </w:rPr>
        <w:sectPr w:rsidR="00B05805" w:rsidRPr="00B05805" w:rsidSect="000C5F79">
          <w:footerReference w:type="default" r:id="rId10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B05805" w:rsidRPr="00B05805" w:rsidRDefault="00B05805" w:rsidP="00B05805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B05805">
        <w:rPr>
          <w:rFonts w:ascii="Times New Roman" w:eastAsia="Calibri" w:hAnsi="Times New Roman" w:cs="Times New Roman"/>
          <w:b/>
          <w:sz w:val="28"/>
          <w:szCs w:val="24"/>
          <w:u w:val="single"/>
        </w:rPr>
        <w:lastRenderedPageBreak/>
        <w:t>Description B. Incubation system operation and gas chromatograph detectors</w:t>
      </w:r>
    </w:p>
    <w:p w:rsidR="00D1360A" w:rsidRDefault="00B05805" w:rsidP="00B05805">
      <w:pPr>
        <w:spacing w:after="0" w:line="360" w:lineRule="auto"/>
        <w:jc w:val="both"/>
      </w:pPr>
      <w:r w:rsidRPr="00B05805">
        <w:rPr>
          <w:rFonts w:ascii="Times New Roman" w:eastAsia="Calibri" w:hAnsi="Times New Roman" w:cs="Times New Roman"/>
          <w:szCs w:val="24"/>
        </w:rPr>
        <w:t xml:space="preserve">The incubation system consists of a water bath connected to a cryostat, placed under the robotic arm of an </w:t>
      </w:r>
      <w:proofErr w:type="spellStart"/>
      <w:r w:rsidRPr="00B05805">
        <w:rPr>
          <w:rFonts w:ascii="Times New Roman" w:eastAsia="Calibri" w:hAnsi="Times New Roman" w:cs="Times New Roman"/>
          <w:szCs w:val="24"/>
        </w:rPr>
        <w:t>autosampler</w:t>
      </w:r>
      <w:proofErr w:type="spellEnd"/>
      <w:r w:rsidRPr="00B05805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B05805">
        <w:rPr>
          <w:rFonts w:ascii="Times New Roman" w:eastAsia="Calibri" w:hAnsi="Times New Roman" w:cs="Times New Roman"/>
          <w:szCs w:val="24"/>
        </w:rPr>
        <w:t>Combi</w:t>
      </w:r>
      <w:proofErr w:type="spellEnd"/>
      <w:r w:rsidRPr="00B05805">
        <w:rPr>
          <w:rFonts w:ascii="Times New Roman" w:eastAsia="Calibri" w:hAnsi="Times New Roman" w:cs="Times New Roman"/>
          <w:szCs w:val="24"/>
        </w:rPr>
        <w:t xml:space="preserve"> Pal, CTC, </w:t>
      </w:r>
      <w:proofErr w:type="gramStart"/>
      <w:r w:rsidRPr="00B05805">
        <w:rPr>
          <w:rFonts w:ascii="Times New Roman" w:eastAsia="Calibri" w:hAnsi="Times New Roman" w:cs="Times New Roman"/>
          <w:szCs w:val="24"/>
        </w:rPr>
        <w:t>Switzerland</w:t>
      </w:r>
      <w:proofErr w:type="gramEnd"/>
      <w:r w:rsidRPr="00B05805">
        <w:rPr>
          <w:rFonts w:ascii="Times New Roman" w:eastAsia="Calibri" w:hAnsi="Times New Roman" w:cs="Times New Roman"/>
          <w:szCs w:val="24"/>
        </w:rPr>
        <w:t>). Submersible magnetic stirrers (</w:t>
      </w:r>
      <w:proofErr w:type="spellStart"/>
      <w:r w:rsidRPr="00B05805">
        <w:rPr>
          <w:rFonts w:ascii="Times New Roman" w:eastAsia="Calibri" w:hAnsi="Times New Roman" w:cs="Times New Roman"/>
          <w:szCs w:val="24"/>
        </w:rPr>
        <w:t>Variomag</w:t>
      </w:r>
      <w:proofErr w:type="spellEnd"/>
      <w:r w:rsidRPr="00B05805">
        <w:rPr>
          <w:rFonts w:ascii="Times New Roman" w:eastAsia="Calibri" w:hAnsi="Times New Roman" w:cs="Times New Roman"/>
          <w:szCs w:val="24"/>
        </w:rPr>
        <w:t xml:space="preserve"> HP 15; H+P </w:t>
      </w:r>
      <w:proofErr w:type="spellStart"/>
      <w:r w:rsidRPr="00B05805">
        <w:rPr>
          <w:rFonts w:ascii="Times New Roman" w:eastAsia="Calibri" w:hAnsi="Times New Roman" w:cs="Times New Roman"/>
          <w:szCs w:val="24"/>
        </w:rPr>
        <w:t>Labortechnik</w:t>
      </w:r>
      <w:proofErr w:type="spellEnd"/>
      <w:r w:rsidRPr="00B05805">
        <w:rPr>
          <w:rFonts w:ascii="Times New Roman" w:eastAsia="Calibri" w:hAnsi="Times New Roman" w:cs="Times New Roman"/>
          <w:szCs w:val="24"/>
        </w:rPr>
        <w:t xml:space="preserve"> GmbH, Germany)</w:t>
      </w:r>
      <w:r w:rsidRPr="00B05805" w:rsidDel="00C84B0E">
        <w:rPr>
          <w:rFonts w:ascii="Times New Roman" w:eastAsia="Calibri" w:hAnsi="Times New Roman" w:cs="Times New Roman"/>
          <w:szCs w:val="24"/>
        </w:rPr>
        <w:t xml:space="preserve"> </w:t>
      </w:r>
      <w:r w:rsidRPr="00B05805">
        <w:rPr>
          <w:rFonts w:ascii="Times New Roman" w:eastAsia="Calibri" w:hAnsi="Times New Roman" w:cs="Times New Roman"/>
          <w:szCs w:val="24"/>
        </w:rPr>
        <w:t xml:space="preserve">accommodate up to 30 continuously stirred bottles and additional bottles with calibration gasses, which </w:t>
      </w:r>
      <w:proofErr w:type="gramStart"/>
      <w:r w:rsidRPr="00B05805">
        <w:rPr>
          <w:rFonts w:ascii="Times New Roman" w:eastAsia="Calibri" w:hAnsi="Times New Roman" w:cs="Times New Roman"/>
          <w:szCs w:val="24"/>
        </w:rPr>
        <w:t>are pierced</w:t>
      </w:r>
      <w:proofErr w:type="gramEnd"/>
      <w:r w:rsidRPr="00B05805">
        <w:rPr>
          <w:rFonts w:ascii="Times New Roman" w:eastAsia="Calibri" w:hAnsi="Times New Roman" w:cs="Times New Roman"/>
          <w:szCs w:val="24"/>
        </w:rPr>
        <w:t xml:space="preserve"> at selected intervals by the hypodermic needle of the programmable </w:t>
      </w:r>
      <w:proofErr w:type="spellStart"/>
      <w:r w:rsidRPr="00B05805">
        <w:rPr>
          <w:rFonts w:ascii="Times New Roman" w:eastAsia="Calibri" w:hAnsi="Times New Roman" w:cs="Times New Roman"/>
          <w:szCs w:val="24"/>
        </w:rPr>
        <w:t>autosampler</w:t>
      </w:r>
      <w:proofErr w:type="spellEnd"/>
      <w:r w:rsidRPr="00B05805">
        <w:rPr>
          <w:rFonts w:ascii="Times New Roman" w:eastAsia="Calibri" w:hAnsi="Times New Roman" w:cs="Times New Roman"/>
          <w:szCs w:val="24"/>
        </w:rPr>
        <w:t xml:space="preserve">. For each sampling, an aliquot of the headspace gas (ca. 1.2 ml) </w:t>
      </w:r>
      <w:proofErr w:type="gramStart"/>
      <w:r w:rsidRPr="00B05805">
        <w:rPr>
          <w:rFonts w:ascii="Times New Roman" w:eastAsia="Calibri" w:hAnsi="Times New Roman" w:cs="Times New Roman"/>
          <w:szCs w:val="24"/>
        </w:rPr>
        <w:t xml:space="preserve">is removed by a peristaltic pump (Gilson </w:t>
      </w:r>
      <w:proofErr w:type="spellStart"/>
      <w:r w:rsidRPr="00B05805">
        <w:rPr>
          <w:rFonts w:ascii="Times New Roman" w:eastAsia="Calibri" w:hAnsi="Times New Roman" w:cs="Times New Roman"/>
          <w:szCs w:val="24"/>
        </w:rPr>
        <w:t>Minipuls</w:t>
      </w:r>
      <w:proofErr w:type="spellEnd"/>
      <w:r w:rsidRPr="00B05805">
        <w:rPr>
          <w:rFonts w:ascii="Times New Roman" w:eastAsia="Calibri" w:hAnsi="Times New Roman" w:cs="Times New Roman"/>
          <w:szCs w:val="24"/>
        </w:rPr>
        <w:t xml:space="preserve"> 3) and transferred to a gas chromatograph (Model 7890A, Agilent, Santa Clara, CA, US) and an NO </w:t>
      </w:r>
      <w:proofErr w:type="spellStart"/>
      <w:r w:rsidRPr="00B05805">
        <w:rPr>
          <w:rFonts w:ascii="Times New Roman" w:eastAsia="Calibri" w:hAnsi="Times New Roman" w:cs="Times New Roman"/>
          <w:szCs w:val="24"/>
        </w:rPr>
        <w:t>chemiluminescence</w:t>
      </w:r>
      <w:proofErr w:type="spellEnd"/>
      <w:r w:rsidRPr="00B05805">
        <w:rPr>
          <w:rFonts w:ascii="Times New Roman" w:eastAsia="Calibri" w:hAnsi="Times New Roman" w:cs="Times New Roman"/>
          <w:szCs w:val="24"/>
        </w:rPr>
        <w:t xml:space="preserve"> analyzer (model 200A; Advanced Pollution Instrumentation) via dedicated sampling loops</w:t>
      </w:r>
      <w:proofErr w:type="gramEnd"/>
      <w:r w:rsidRPr="00B05805">
        <w:rPr>
          <w:rFonts w:ascii="Times New Roman" w:eastAsia="Calibri" w:hAnsi="Times New Roman" w:cs="Times New Roman"/>
          <w:szCs w:val="24"/>
        </w:rPr>
        <w:t xml:space="preserve">. He 5.0 </w:t>
      </w:r>
      <w:proofErr w:type="gramStart"/>
      <w:r w:rsidRPr="00B05805">
        <w:rPr>
          <w:rFonts w:ascii="Times New Roman" w:eastAsia="Calibri" w:hAnsi="Times New Roman" w:cs="Times New Roman"/>
          <w:szCs w:val="24"/>
        </w:rPr>
        <w:t>was used</w:t>
      </w:r>
      <w:proofErr w:type="gramEnd"/>
      <w:r w:rsidRPr="00B05805">
        <w:rPr>
          <w:rFonts w:ascii="Times New Roman" w:eastAsia="Calibri" w:hAnsi="Times New Roman" w:cs="Times New Roman"/>
          <w:szCs w:val="24"/>
        </w:rPr>
        <w:t xml:space="preserve"> as carrier gas. CO</w:t>
      </w:r>
      <w:r w:rsidRPr="00B05805">
        <w:rPr>
          <w:rFonts w:ascii="Times New Roman" w:eastAsia="Calibri" w:hAnsi="Times New Roman" w:cs="Times New Roman"/>
          <w:szCs w:val="24"/>
          <w:vertAlign w:val="subscript"/>
        </w:rPr>
        <w:t>2</w:t>
      </w:r>
      <w:r w:rsidRPr="00B05805">
        <w:rPr>
          <w:rFonts w:ascii="Times New Roman" w:eastAsia="Calibri" w:hAnsi="Times New Roman" w:cs="Times New Roman"/>
          <w:szCs w:val="24"/>
        </w:rPr>
        <w:t xml:space="preserve"> and N</w:t>
      </w:r>
      <w:r w:rsidRPr="00B05805">
        <w:rPr>
          <w:rFonts w:ascii="Times New Roman" w:eastAsia="Calibri" w:hAnsi="Times New Roman" w:cs="Times New Roman"/>
          <w:szCs w:val="24"/>
          <w:vertAlign w:val="subscript"/>
        </w:rPr>
        <w:t>2</w:t>
      </w:r>
      <w:r w:rsidRPr="00B05805">
        <w:rPr>
          <w:rFonts w:ascii="Times New Roman" w:eastAsia="Calibri" w:hAnsi="Times New Roman" w:cs="Times New Roman"/>
          <w:szCs w:val="24"/>
        </w:rPr>
        <w:t xml:space="preserve">O were separated by a 20 m wide-bore (0.53 mm diameter) </w:t>
      </w:r>
      <w:proofErr w:type="spellStart"/>
      <w:r w:rsidRPr="00B05805">
        <w:rPr>
          <w:rFonts w:ascii="Times New Roman" w:eastAsia="Calibri" w:hAnsi="Times New Roman" w:cs="Times New Roman"/>
          <w:szCs w:val="24"/>
        </w:rPr>
        <w:t>Poraplot</w:t>
      </w:r>
      <w:proofErr w:type="spellEnd"/>
      <w:r w:rsidRPr="00B05805">
        <w:rPr>
          <w:rFonts w:ascii="Times New Roman" w:eastAsia="Calibri" w:hAnsi="Times New Roman" w:cs="Times New Roman"/>
          <w:szCs w:val="24"/>
        </w:rPr>
        <w:t xml:space="preserve"> Q capillary column run at 38ºC and the bulk gases (N</w:t>
      </w:r>
      <w:r w:rsidRPr="00B05805">
        <w:rPr>
          <w:rFonts w:ascii="Times New Roman" w:eastAsia="Calibri" w:hAnsi="Times New Roman" w:cs="Times New Roman"/>
          <w:szCs w:val="24"/>
          <w:vertAlign w:val="subscript"/>
        </w:rPr>
        <w:t>2</w:t>
      </w:r>
      <w:r w:rsidRPr="00B05805">
        <w:rPr>
          <w:rFonts w:ascii="Times New Roman" w:eastAsia="Calibri" w:hAnsi="Times New Roman" w:cs="Times New Roman"/>
          <w:szCs w:val="24"/>
        </w:rPr>
        <w:t>, O</w:t>
      </w:r>
      <w:r w:rsidRPr="00B05805">
        <w:rPr>
          <w:rFonts w:ascii="Times New Roman" w:eastAsia="Calibri" w:hAnsi="Times New Roman" w:cs="Times New Roman"/>
          <w:szCs w:val="24"/>
          <w:vertAlign w:val="subscript"/>
        </w:rPr>
        <w:t>2</w:t>
      </w:r>
      <w:r w:rsidRPr="00B05805">
        <w:rPr>
          <w:rFonts w:ascii="Times New Roman" w:eastAsia="Calibri" w:hAnsi="Times New Roman" w:cs="Times New Roman"/>
          <w:szCs w:val="24"/>
        </w:rPr>
        <w:t xml:space="preserve"> </w:t>
      </w:r>
      <w:r w:rsidRPr="00B05805">
        <w:rPr>
          <w:rFonts w:eastAsia="Times New Roman" w:cs="Times New Roman"/>
          <w:sz w:val="28"/>
          <w:szCs w:val="28"/>
        </w:rPr>
        <w:t xml:space="preserve">and </w:t>
      </w:r>
      <w:r w:rsidRPr="00B0580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B05805">
        <w:rPr>
          <w:rFonts w:ascii="Times New Roman" w:eastAsia="Calibri" w:hAnsi="Times New Roman" w:cs="Times New Roman"/>
          <w:szCs w:val="24"/>
        </w:rPr>
        <w:t>Ar</w:t>
      </w:r>
      <w:proofErr w:type="spellEnd"/>
      <w:r w:rsidRPr="00B05805">
        <w:rPr>
          <w:rFonts w:ascii="Times New Roman" w:eastAsia="Calibri" w:hAnsi="Times New Roman" w:cs="Times New Roman"/>
          <w:szCs w:val="24"/>
        </w:rPr>
        <w:t xml:space="preserve">) on a 30 m 5Å </w:t>
      </w:r>
      <w:proofErr w:type="spellStart"/>
      <w:r w:rsidRPr="00B05805">
        <w:rPr>
          <w:rFonts w:ascii="Times New Roman" w:eastAsia="Calibri" w:hAnsi="Times New Roman" w:cs="Times New Roman"/>
          <w:szCs w:val="24"/>
        </w:rPr>
        <w:t>molsieve</w:t>
      </w:r>
      <w:proofErr w:type="spellEnd"/>
      <w:r w:rsidRPr="00B05805">
        <w:rPr>
          <w:rFonts w:ascii="Times New Roman" w:eastAsia="Calibri" w:hAnsi="Times New Roman" w:cs="Times New Roman"/>
          <w:szCs w:val="24"/>
        </w:rPr>
        <w:t xml:space="preserve"> capillary column run at 25ºC. A packed </w:t>
      </w:r>
      <w:proofErr w:type="spellStart"/>
      <w:r w:rsidRPr="00B05805">
        <w:rPr>
          <w:rFonts w:ascii="Times New Roman" w:eastAsia="Calibri" w:hAnsi="Times New Roman" w:cs="Times New Roman"/>
          <w:szCs w:val="24"/>
        </w:rPr>
        <w:t>Heysept</w:t>
      </w:r>
      <w:proofErr w:type="spellEnd"/>
      <w:r w:rsidRPr="00B05805">
        <w:rPr>
          <w:rFonts w:ascii="Times New Roman" w:eastAsia="Calibri" w:hAnsi="Times New Roman" w:cs="Times New Roman"/>
          <w:szCs w:val="24"/>
        </w:rPr>
        <w:t xml:space="preserve"> column </w:t>
      </w:r>
      <w:proofErr w:type="gramStart"/>
      <w:r w:rsidRPr="00B05805">
        <w:rPr>
          <w:rFonts w:ascii="Times New Roman" w:eastAsia="Calibri" w:hAnsi="Times New Roman" w:cs="Times New Roman"/>
          <w:szCs w:val="24"/>
        </w:rPr>
        <w:t>was used</w:t>
      </w:r>
      <w:proofErr w:type="gramEnd"/>
      <w:r w:rsidRPr="00B05805">
        <w:rPr>
          <w:rFonts w:ascii="Times New Roman" w:eastAsia="Calibri" w:hAnsi="Times New Roman" w:cs="Times New Roman"/>
          <w:szCs w:val="24"/>
        </w:rPr>
        <w:t xml:space="preserve"> for back-flushing water. The analytical columns </w:t>
      </w:r>
      <w:proofErr w:type="gramStart"/>
      <w:r w:rsidRPr="00B05805">
        <w:rPr>
          <w:rFonts w:ascii="Times New Roman" w:eastAsia="Calibri" w:hAnsi="Times New Roman" w:cs="Times New Roman"/>
          <w:szCs w:val="24"/>
        </w:rPr>
        <w:t>were connected</w:t>
      </w:r>
      <w:proofErr w:type="gramEnd"/>
      <w:r w:rsidRPr="00B05805">
        <w:rPr>
          <w:rFonts w:ascii="Times New Roman" w:eastAsia="Calibri" w:hAnsi="Times New Roman" w:cs="Times New Roman"/>
          <w:szCs w:val="24"/>
        </w:rPr>
        <w:t xml:space="preserve"> to a thermal conductivity detector (TCD) and an electron capture detector (ECD) for quantification of N</w:t>
      </w:r>
      <w:r w:rsidRPr="00B05805">
        <w:rPr>
          <w:rFonts w:ascii="Times New Roman" w:eastAsia="Calibri" w:hAnsi="Times New Roman" w:cs="Times New Roman"/>
          <w:szCs w:val="24"/>
          <w:vertAlign w:val="subscript"/>
        </w:rPr>
        <w:t>2</w:t>
      </w:r>
      <w:r w:rsidRPr="00B05805">
        <w:rPr>
          <w:rFonts w:ascii="Times New Roman" w:eastAsia="Calibri" w:hAnsi="Times New Roman" w:cs="Times New Roman"/>
          <w:szCs w:val="24"/>
        </w:rPr>
        <w:t>O. The ECD was run at 375ºC with 17 ml min</w:t>
      </w:r>
      <w:r w:rsidRPr="00B05805">
        <w:rPr>
          <w:rFonts w:ascii="Times New Roman" w:eastAsia="Calibri" w:hAnsi="Times New Roman" w:cs="Times New Roman"/>
          <w:szCs w:val="24"/>
          <w:vertAlign w:val="superscript"/>
        </w:rPr>
        <w:t>-1</w:t>
      </w:r>
      <w:r w:rsidRPr="00B0580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B05805">
        <w:rPr>
          <w:rFonts w:ascii="Times New Roman" w:eastAsia="Calibri" w:hAnsi="Times New Roman" w:cs="Times New Roman"/>
          <w:szCs w:val="24"/>
        </w:rPr>
        <w:t>Ar</w:t>
      </w:r>
      <w:proofErr w:type="spellEnd"/>
      <w:r w:rsidRPr="00B05805">
        <w:rPr>
          <w:rFonts w:ascii="Times New Roman" w:eastAsia="Calibri" w:hAnsi="Times New Roman" w:cs="Times New Roman"/>
          <w:szCs w:val="24"/>
        </w:rPr>
        <w:t>/methane (CH</w:t>
      </w:r>
      <w:r w:rsidRPr="00B05805">
        <w:rPr>
          <w:rFonts w:ascii="Times New Roman" w:eastAsia="Calibri" w:hAnsi="Times New Roman" w:cs="Times New Roman"/>
          <w:szCs w:val="24"/>
          <w:vertAlign w:val="subscript"/>
        </w:rPr>
        <w:t>4</w:t>
      </w:r>
      <w:r w:rsidRPr="00B05805">
        <w:rPr>
          <w:rFonts w:ascii="Times New Roman" w:eastAsia="Calibri" w:hAnsi="Times New Roman" w:cs="Times New Roman"/>
          <w:szCs w:val="24"/>
        </w:rPr>
        <w:t xml:space="preserve">) (90/10 </w:t>
      </w:r>
      <w:proofErr w:type="spellStart"/>
      <w:proofErr w:type="gramStart"/>
      <w:r w:rsidRPr="00B05805">
        <w:rPr>
          <w:rFonts w:ascii="Times New Roman" w:eastAsia="Calibri" w:hAnsi="Times New Roman" w:cs="Times New Roman"/>
          <w:szCs w:val="24"/>
        </w:rPr>
        <w:t>vol</w:t>
      </w:r>
      <w:proofErr w:type="spellEnd"/>
      <w:r w:rsidRPr="00B05805">
        <w:rPr>
          <w:rFonts w:ascii="Times New Roman" w:eastAsia="Calibri" w:hAnsi="Times New Roman" w:cs="Times New Roman"/>
          <w:szCs w:val="24"/>
        </w:rPr>
        <w:t>%</w:t>
      </w:r>
      <w:proofErr w:type="gramEnd"/>
      <w:r w:rsidRPr="00B05805">
        <w:rPr>
          <w:rFonts w:ascii="Times New Roman" w:eastAsia="Calibri" w:hAnsi="Times New Roman" w:cs="Times New Roman"/>
          <w:szCs w:val="24"/>
        </w:rPr>
        <w:t xml:space="preserve">) as a make-up gas. The </w:t>
      </w:r>
      <w:proofErr w:type="spellStart"/>
      <w:r w:rsidRPr="00B05805">
        <w:rPr>
          <w:rFonts w:ascii="Times New Roman" w:eastAsia="Calibri" w:hAnsi="Times New Roman" w:cs="Times New Roman"/>
          <w:szCs w:val="24"/>
        </w:rPr>
        <w:t>chemiluminescence</w:t>
      </w:r>
      <w:proofErr w:type="spellEnd"/>
      <w:r w:rsidRPr="00B05805">
        <w:rPr>
          <w:rFonts w:ascii="Times New Roman" w:eastAsia="Calibri" w:hAnsi="Times New Roman" w:cs="Times New Roman"/>
          <w:szCs w:val="24"/>
        </w:rPr>
        <w:t xml:space="preserve"> NOx analyzer </w:t>
      </w:r>
      <w:proofErr w:type="gramStart"/>
      <w:r w:rsidRPr="00B05805">
        <w:rPr>
          <w:rFonts w:ascii="Times New Roman" w:eastAsia="Calibri" w:hAnsi="Times New Roman" w:cs="Times New Roman"/>
          <w:szCs w:val="24"/>
        </w:rPr>
        <w:t>was programmed to analyze NO only and coupled to a dedicated sampling loop via an open split</w:t>
      </w:r>
      <w:proofErr w:type="gramEnd"/>
      <w:r w:rsidRPr="00B05805">
        <w:rPr>
          <w:rFonts w:ascii="Times New Roman" w:eastAsia="Calibri" w:hAnsi="Times New Roman" w:cs="Times New Roman"/>
          <w:szCs w:val="24"/>
        </w:rPr>
        <w:t xml:space="preserve">. After each sampling, the pump </w:t>
      </w:r>
      <w:proofErr w:type="gramStart"/>
      <w:r w:rsidRPr="00B05805">
        <w:rPr>
          <w:rFonts w:ascii="Times New Roman" w:eastAsia="Calibri" w:hAnsi="Times New Roman" w:cs="Times New Roman"/>
          <w:szCs w:val="24"/>
        </w:rPr>
        <w:t>was automatically reversed</w:t>
      </w:r>
      <w:proofErr w:type="gramEnd"/>
      <w:r w:rsidRPr="00B05805">
        <w:rPr>
          <w:rFonts w:ascii="Times New Roman" w:eastAsia="Calibri" w:hAnsi="Times New Roman" w:cs="Times New Roman"/>
          <w:szCs w:val="24"/>
        </w:rPr>
        <w:t>, pumping back an equal amount of He into the incubation bottles to maintain atmospheric pressure. The resulting dilution (approx. 1.0% per injection) and the leakage of O</w:t>
      </w:r>
      <w:r w:rsidRPr="00B05805">
        <w:rPr>
          <w:rFonts w:ascii="Times New Roman" w:eastAsia="Calibri" w:hAnsi="Times New Roman" w:cs="Times New Roman"/>
          <w:szCs w:val="24"/>
          <w:vertAlign w:val="subscript"/>
        </w:rPr>
        <w:t>2</w:t>
      </w:r>
      <w:r w:rsidRPr="00B05805">
        <w:rPr>
          <w:rFonts w:ascii="Times New Roman" w:eastAsia="Calibri" w:hAnsi="Times New Roman" w:cs="Times New Roman"/>
          <w:szCs w:val="24"/>
        </w:rPr>
        <w:t xml:space="preserve"> and N</w:t>
      </w:r>
      <w:r w:rsidRPr="00B05805">
        <w:rPr>
          <w:rFonts w:ascii="Times New Roman" w:eastAsia="Calibri" w:hAnsi="Times New Roman" w:cs="Times New Roman"/>
          <w:szCs w:val="24"/>
          <w:vertAlign w:val="subscript"/>
        </w:rPr>
        <w:t>2</w:t>
      </w:r>
      <w:r w:rsidRPr="00B05805">
        <w:rPr>
          <w:rFonts w:ascii="Times New Roman" w:eastAsia="Calibri" w:hAnsi="Times New Roman" w:cs="Times New Roman"/>
          <w:szCs w:val="24"/>
        </w:rPr>
        <w:t xml:space="preserve"> into the bottles </w:t>
      </w:r>
      <w:proofErr w:type="gramStart"/>
      <w:r w:rsidRPr="00B05805">
        <w:rPr>
          <w:rFonts w:ascii="Times New Roman" w:eastAsia="Calibri" w:hAnsi="Times New Roman" w:cs="Times New Roman"/>
          <w:szCs w:val="24"/>
        </w:rPr>
        <w:t>were estimated</w:t>
      </w:r>
      <w:proofErr w:type="gramEnd"/>
      <w:r w:rsidRPr="00B05805">
        <w:rPr>
          <w:rFonts w:ascii="Times New Roman" w:eastAsia="Calibri" w:hAnsi="Times New Roman" w:cs="Times New Roman"/>
          <w:szCs w:val="24"/>
        </w:rPr>
        <w:t xml:space="preserve"> based on empty flasks with air and He, respectively. Bottles filled with certified standards were included into the sampling sequence for calibrating the incubation system.</w:t>
      </w:r>
    </w:p>
    <w:sectPr w:rsidR="00D136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13" w:rsidRDefault="002B7213" w:rsidP="00B05805">
      <w:pPr>
        <w:spacing w:after="0"/>
      </w:pPr>
      <w:r>
        <w:separator/>
      </w:r>
    </w:p>
  </w:endnote>
  <w:endnote w:type="continuationSeparator" w:id="0">
    <w:p w:rsidR="002B7213" w:rsidRDefault="002B7213" w:rsidP="00B058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219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805" w:rsidRDefault="00B058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4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14A2" w:rsidRDefault="002B7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13" w:rsidRDefault="002B7213" w:rsidP="00B05805">
      <w:pPr>
        <w:spacing w:after="0"/>
      </w:pPr>
      <w:r>
        <w:separator/>
      </w:r>
    </w:p>
  </w:footnote>
  <w:footnote w:type="continuationSeparator" w:id="0">
    <w:p w:rsidR="002B7213" w:rsidRDefault="002B7213" w:rsidP="00B058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05"/>
    <w:rsid w:val="0008345A"/>
    <w:rsid w:val="002B7213"/>
    <w:rsid w:val="00451422"/>
    <w:rsid w:val="00B05805"/>
    <w:rsid w:val="00C03E46"/>
    <w:rsid w:val="00D1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4C1C54-E99B-4F90-9381-AFD729CF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5805"/>
    <w:pPr>
      <w:tabs>
        <w:tab w:val="center" w:pos="4680"/>
        <w:tab w:val="right" w:pos="9360"/>
      </w:tabs>
      <w:spacing w:after="0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05805"/>
    <w:rPr>
      <w:rFonts w:ascii="Calibri" w:hAnsi="Calibri"/>
      <w:sz w:val="22"/>
    </w:rPr>
  </w:style>
  <w:style w:type="table" w:customStyle="1" w:styleId="ListTable6Colorful1">
    <w:name w:val="List Table 6 Colorful1"/>
    <w:basedOn w:val="TableNormal"/>
    <w:uiPriority w:val="51"/>
    <w:rsid w:val="00B05805"/>
    <w:pPr>
      <w:spacing w:after="0"/>
    </w:pPr>
    <w:rPr>
      <w:rFonts w:ascii="Calibri" w:eastAsia="Times New Roman" w:hAnsi="Calibri"/>
      <w:color w:val="000000"/>
      <w:szCs w:val="24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unhideWhenUsed/>
    <w:rsid w:val="00B058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3690-9E8B-402F-80E1-3653B469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Obia</dc:creator>
  <cp:keywords/>
  <dc:description/>
  <cp:lastModifiedBy>Alfred Obia</cp:lastModifiedBy>
  <cp:revision>3</cp:revision>
  <dcterms:created xsi:type="dcterms:W3CDTF">2015-09-10T17:38:00Z</dcterms:created>
  <dcterms:modified xsi:type="dcterms:W3CDTF">2015-09-10T18:42:00Z</dcterms:modified>
</cp:coreProperties>
</file>