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44" w:rsidRPr="009F5244" w:rsidRDefault="009F5244" w:rsidP="009F5244">
      <w:pPr>
        <w:spacing w:line="24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S1 Table. </w:t>
      </w:r>
      <w:r w:rsidRPr="009F5244">
        <w:rPr>
          <w:rFonts w:ascii="Times New Roman" w:eastAsia="Times New Roman" w:hAnsi="Times New Roman" w:cs="Times New Roman"/>
          <w:b/>
          <w:lang w:val="en-GB"/>
        </w:rPr>
        <w:t>Differences in policy acceptance and experiences of general practitioners during the influenza A(H1N1) pandemic by GP characteristics</w:t>
      </w:r>
    </w:p>
    <w:tbl>
      <w:tblPr>
        <w:tblStyle w:val="Tabel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8"/>
        <w:gridCol w:w="7582"/>
      </w:tblGrid>
      <w:tr w:rsidR="009F5244" w:rsidRPr="00B00476" w:rsidTr="00B00476"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Aspects during the influenza A(H1N1) pandemic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4" w:space="0" w:color="auto"/>
            </w:tcBorders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Statistically significant differences by GP characteristics  (gender, age, function, practice type and urbanisation)</w:t>
            </w:r>
          </w:p>
        </w:tc>
      </w:tr>
      <w:tr w:rsidR="009F5244" w:rsidRPr="002602CB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Information provision (April-December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Information provided by the government for patients was explicit</w:t>
            </w:r>
            <w:bookmarkStart w:id="0" w:name="_GoBack"/>
            <w:bookmarkEnd w:id="0"/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GPs in group practices less often agreed (single-handed: 49%; duo 51%, group or health care centre 38%); p=0.046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Information provided by the government for patients was well timed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Older GPs more often agreed (&lt;40:47%; 40-49: 42%, 50-59: 60%, 60+: 65%); p=0.015</w:t>
            </w:r>
          </w:p>
        </w:tc>
      </w:tr>
      <w:tr w:rsidR="009F5244" w:rsidRPr="002602CB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Protective measures (April-10 June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Clear on when to take protection measure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GPs employed by another GP more often agreed (employed: 94%; free entrepreneur: 67%); p=0.026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Younger GPs more often agreed (&lt;40: 83%; 40-49:63%; 50-59: 67%; 60+: 65%); p=0.041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Sufficient personal protection materials were in practice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GPs in duo practices less often agreed (single-handed:75%; duo: 65%, group or health care centre:78%);p=0.05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Mandatory notification of influenza A(H1N1) virus infections (April-15 August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The notification was useful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GPs aged 50-59 years less often agreed (&lt;40:53%; 40-49:51%; 50-59:35%; 60+:60%);p=0.004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Provision of antiviral drugs by the regional public health service (April-22 July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Correct choice that the regional public health service prescribed antiviral drugs instead of the general practitioner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Single-handed GP less often agreed (single-handed:45%, duo:64%,  group or health care centre:58%); p=0.046</w:t>
            </w:r>
          </w:p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Male GPs less often agreed (female:68%; male:50%); p=0.001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Changes in policy infection prevention and assessment and management of patients (June-July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Good that general practitioners became responsible for the sampling of patients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Male GPs more often agreed (female:63%; male:73%); p=0.036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Changes in  notification of influenza A(H1N1) virus infections (15 August-December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Changes in notification or reporting were well communicated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Male GPs less often agreed (female:87%; male:76%);p=0.008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Good decision to limit notification to hospitalised and deceased patients 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Male GPs less often agreed (female:98%; male 92%);p=0.024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Policy on antiviral drugs for high-risk patients only (15 August-December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Advice regarding the prescription of antiviral medicines was complete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GPs in duo practices less often agreed (single-handed:65%; duo:46%; group or </w:t>
            </w:r>
            <w:proofErr w:type="spellStart"/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healt</w:t>
            </w:r>
            <w:proofErr w:type="spellEnd"/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care centre: 64%);p=0.007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Vaccination programme for influenza A(H1N1) in general practice (November 2009)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During the vaccination rounds, not a lot of time for normal daily work 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Male GPs less often agreed (female:79%; male: 66%);p=0.005</w:t>
            </w:r>
          </w:p>
        </w:tc>
      </w:tr>
      <w:tr w:rsidR="009F5244" w:rsidRPr="00B00476" w:rsidTr="00B00476">
        <w:tc>
          <w:tcPr>
            <w:tcW w:w="7268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During the epidemic, tasks were different compared with a regular influenza season</w:t>
            </w:r>
          </w:p>
        </w:tc>
        <w:tc>
          <w:tcPr>
            <w:tcW w:w="7582" w:type="dxa"/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GPs in extremely urbanised areas more often agreed, and GPs in moderately urbanised areas less often agreed (extremely urbanised: 84%; strongly urbanised:75%; moderately urbanised: 61%; hardly urbanised:72%; not urbanised:75%);p=0.020</w:t>
            </w:r>
          </w:p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Male GPs less often agreed (female:84%; male: 67%); p&lt;0.001</w:t>
            </w:r>
          </w:p>
        </w:tc>
      </w:tr>
      <w:tr w:rsidR="009F5244" w:rsidRPr="00B00476" w:rsidTr="00B00476">
        <w:tc>
          <w:tcPr>
            <w:tcW w:w="7268" w:type="dxa"/>
            <w:tcBorders>
              <w:bottom w:val="single" w:sz="4" w:space="0" w:color="auto"/>
            </w:tcBorders>
          </w:tcPr>
          <w:p w:rsidR="009F5244" w:rsidRPr="002602CB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Additional tasks due to vaccination were sufficiently compensated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9F5244" w:rsidRPr="00F129B2" w:rsidRDefault="009F5244" w:rsidP="00B00476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602CB">
              <w:rPr>
                <w:rFonts w:ascii="Times New Roman" w:hAnsi="Times New Roman"/>
                <w:sz w:val="20"/>
                <w:szCs w:val="20"/>
                <w:lang w:val="en-GB"/>
              </w:rPr>
              <w:t>Male GPs more often agreed (female:43%; male:55%); p=0.038</w:t>
            </w:r>
          </w:p>
        </w:tc>
      </w:tr>
    </w:tbl>
    <w:p w:rsidR="009F5244" w:rsidRPr="00F129B2" w:rsidRDefault="009F5244" w:rsidP="009F5244">
      <w:pPr>
        <w:rPr>
          <w:rFonts w:eastAsia="Times New Roman" w:cs="Times New Roman"/>
          <w:lang w:val="en-GB"/>
        </w:rPr>
      </w:pPr>
    </w:p>
    <w:p w:rsidR="009F5244" w:rsidRPr="0033449E" w:rsidRDefault="009F5244" w:rsidP="009F5244">
      <w:pPr>
        <w:rPr>
          <w:lang w:val="en-US"/>
        </w:rPr>
      </w:pPr>
    </w:p>
    <w:p w:rsidR="007347DC" w:rsidRPr="009F5244" w:rsidRDefault="007347DC" w:rsidP="009F73CA">
      <w:pPr>
        <w:pStyle w:val="Geenafstand"/>
        <w:rPr>
          <w:lang w:val="en-US"/>
        </w:rPr>
      </w:pPr>
    </w:p>
    <w:sectPr w:rsidR="007347DC" w:rsidRPr="009F5244" w:rsidSect="00125571"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44"/>
    <w:rsid w:val="007347DC"/>
    <w:rsid w:val="007D070D"/>
    <w:rsid w:val="009F5244"/>
    <w:rsid w:val="009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244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070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5244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9F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244"/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070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5244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9F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Dijk</dc:creator>
  <cp:lastModifiedBy>Christel van Dijk</cp:lastModifiedBy>
  <cp:revision>1</cp:revision>
  <dcterms:created xsi:type="dcterms:W3CDTF">2015-08-17T07:46:00Z</dcterms:created>
  <dcterms:modified xsi:type="dcterms:W3CDTF">2015-08-17T07:48:00Z</dcterms:modified>
</cp:coreProperties>
</file>