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C2" w:rsidRPr="00D244F6" w:rsidRDefault="00C17FC2" w:rsidP="00C17FC2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bookmarkStart w:id="0" w:name="_GoBack"/>
      <w:r w:rsidRPr="00D244F6">
        <w:rPr>
          <w:rFonts w:ascii="Times New Roman" w:hAnsi="Times New Roman" w:cs="Times New Roman"/>
          <w:b/>
          <w:sz w:val="24"/>
          <w:szCs w:val="24"/>
          <w:lang w:val="en-CA"/>
        </w:rPr>
        <w:t>S1</w:t>
      </w:r>
      <w:r w:rsidR="00D244F6" w:rsidRPr="00D244F6">
        <w:rPr>
          <w:rFonts w:ascii="Times New Roman" w:hAnsi="Times New Roman" w:cs="Times New Roman"/>
          <w:b/>
          <w:sz w:val="24"/>
          <w:szCs w:val="24"/>
          <w:lang w:val="en-CA"/>
        </w:rPr>
        <w:t xml:space="preserve"> Table.</w:t>
      </w:r>
      <w:r w:rsidRPr="00D244F6">
        <w:rPr>
          <w:rFonts w:ascii="Times New Roman" w:hAnsi="Times New Roman" w:cs="Times New Roman"/>
          <w:b/>
          <w:sz w:val="24"/>
          <w:szCs w:val="24"/>
          <w:lang w:val="en-CA"/>
        </w:rPr>
        <w:t xml:space="preserve"> Measurement units for all selected criteria</w:t>
      </w:r>
    </w:p>
    <w:bookmarkEnd w:id="0"/>
    <w:p w:rsidR="00C17FC2" w:rsidRDefault="00C17FC2" w:rsidP="00C17FC2">
      <w:pPr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W w:w="14165" w:type="dxa"/>
        <w:jc w:val="center"/>
        <w:tblInd w:w="-1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A0" w:firstRow="1" w:lastRow="0" w:firstColumn="1" w:lastColumn="0" w:noHBand="0" w:noVBand="0"/>
      </w:tblPr>
      <w:tblGrid>
        <w:gridCol w:w="4365"/>
        <w:gridCol w:w="9800"/>
      </w:tblGrid>
      <w:tr w:rsidR="00C17FC2" w:rsidRPr="00D244F6" w:rsidTr="00C17FC2">
        <w:trPr>
          <w:trHeight w:val="373"/>
          <w:jc w:val="center"/>
        </w:trPr>
        <w:tc>
          <w:tcPr>
            <w:tcW w:w="4365" w:type="dxa"/>
            <w:vMerge w:val="restart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7FC2" w:rsidRPr="00C17FC2" w:rsidRDefault="00C17FC2" w:rsidP="005E1BFD">
            <w:pPr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C17FC2">
              <w:rPr>
                <w:rFonts w:ascii="Times New Roman" w:hAnsi="Times New Roman" w:cs="Times New Roman"/>
                <w:b/>
                <w:bCs/>
                <w:lang w:val="en-CA"/>
              </w:rPr>
              <w:t>Criteria</w:t>
            </w:r>
          </w:p>
        </w:tc>
        <w:tc>
          <w:tcPr>
            <w:tcW w:w="9800" w:type="dxa"/>
            <w:vMerge w:val="restart"/>
            <w:vAlign w:val="center"/>
          </w:tcPr>
          <w:p w:rsidR="00C17FC2" w:rsidRPr="00C17FC2" w:rsidRDefault="00C17FC2" w:rsidP="005E1BFD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C17FC2">
              <w:rPr>
                <w:rFonts w:ascii="Times New Roman" w:hAnsi="Times New Roman" w:cs="Times New Roman"/>
                <w:b/>
                <w:lang w:val="en-CA"/>
              </w:rPr>
              <w:t>Measurement units</w:t>
            </w:r>
          </w:p>
        </w:tc>
      </w:tr>
      <w:tr w:rsidR="00C17FC2" w:rsidRPr="00D244F6" w:rsidTr="00C17FC2">
        <w:trPr>
          <w:trHeight w:val="253"/>
          <w:jc w:val="center"/>
        </w:trPr>
        <w:tc>
          <w:tcPr>
            <w:tcW w:w="4365" w:type="dxa"/>
            <w:vMerge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9800" w:type="dxa"/>
            <w:vMerge/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C17FC2" w:rsidRPr="00D244F6" w:rsidTr="00C17FC2">
        <w:trPr>
          <w:trHeight w:val="113"/>
          <w:jc w:val="center"/>
        </w:trPr>
        <w:tc>
          <w:tcPr>
            <w:tcW w:w="4365" w:type="dxa"/>
            <w:tcMar>
              <w:top w:w="18" w:type="dxa"/>
              <w:left w:w="209" w:type="dxa"/>
              <w:bottom w:w="0" w:type="dxa"/>
              <w:right w:w="70" w:type="dxa"/>
            </w:tcMar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bCs/>
                <w:lang w:val="en-CA"/>
              </w:rPr>
              <w:t xml:space="preserve">PHC1 </w:t>
            </w:r>
            <w:r w:rsidRPr="00C17FC2">
              <w:rPr>
                <w:rFonts w:ascii="Times New Roman" w:hAnsi="Times New Roman" w:cs="Times New Roman"/>
                <w:lang w:val="en-CA"/>
              </w:rPr>
              <w:t>Reduction in incidence of human cases</w:t>
            </w:r>
            <w:r w:rsidRPr="00C17FC2">
              <w:rPr>
                <w:rFonts w:ascii="Times New Roman" w:hAnsi="Times New Roman" w:cs="Times New Roman"/>
                <w:bCs/>
                <w:lang w:val="en-CA"/>
              </w:rPr>
              <w:t xml:space="preserve"> </w:t>
            </w:r>
          </w:p>
        </w:tc>
        <w:tc>
          <w:tcPr>
            <w:tcW w:w="9800" w:type="dxa"/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lang w:val="en-CA"/>
              </w:rPr>
              <w:t>0: Nil; 1: Low; 2: Moderate; 3: High</w:t>
            </w:r>
          </w:p>
        </w:tc>
      </w:tr>
      <w:tr w:rsidR="00C17FC2" w:rsidRPr="00C17FC2" w:rsidTr="00C17FC2">
        <w:trPr>
          <w:trHeight w:val="113"/>
          <w:jc w:val="center"/>
        </w:trPr>
        <w:tc>
          <w:tcPr>
            <w:tcW w:w="4365" w:type="dxa"/>
            <w:tcMar>
              <w:top w:w="18" w:type="dxa"/>
              <w:left w:w="209" w:type="dxa"/>
              <w:bottom w:w="0" w:type="dxa"/>
              <w:right w:w="70" w:type="dxa"/>
            </w:tcMar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bCs/>
                <w:lang w:val="en-CA"/>
              </w:rPr>
              <w:t xml:space="preserve">PHC2 </w:t>
            </w:r>
            <w:r w:rsidRPr="00C17FC2">
              <w:rPr>
                <w:rFonts w:ascii="Times New Roman" w:hAnsi="Times New Roman" w:cs="Times New Roman"/>
                <w:lang w:val="en-CA"/>
              </w:rPr>
              <w:t>Reduction in entomological risk</w:t>
            </w:r>
            <w:r w:rsidRPr="00C17FC2">
              <w:rPr>
                <w:rFonts w:ascii="Times New Roman" w:hAnsi="Times New Roman" w:cs="Times New Roman"/>
                <w:bCs/>
                <w:lang w:val="en-CA"/>
              </w:rPr>
              <w:t xml:space="preserve"> </w:t>
            </w:r>
          </w:p>
        </w:tc>
        <w:tc>
          <w:tcPr>
            <w:tcW w:w="9800" w:type="dxa"/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lang w:val="en-CA"/>
              </w:rPr>
              <w:t>0: Nil; 1: Low; 2: Moderate; 3: High</w:t>
            </w:r>
          </w:p>
        </w:tc>
      </w:tr>
      <w:tr w:rsidR="00C17FC2" w:rsidRPr="00D244F6" w:rsidTr="00C17FC2">
        <w:trPr>
          <w:trHeight w:val="113"/>
          <w:jc w:val="center"/>
        </w:trPr>
        <w:tc>
          <w:tcPr>
            <w:tcW w:w="4365" w:type="dxa"/>
            <w:tcMar>
              <w:top w:w="18" w:type="dxa"/>
              <w:left w:w="209" w:type="dxa"/>
              <w:bottom w:w="0" w:type="dxa"/>
              <w:right w:w="70" w:type="dxa"/>
            </w:tcMar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bCs/>
                <w:lang w:val="en-CA"/>
              </w:rPr>
              <w:t xml:space="preserve">PHC3 </w:t>
            </w:r>
            <w:r w:rsidRPr="00C17FC2">
              <w:rPr>
                <w:rFonts w:ascii="Times New Roman" w:hAnsi="Times New Roman" w:cs="Times New Roman"/>
                <w:lang w:val="en-CA"/>
              </w:rPr>
              <w:t>Impacts of adverse health effects</w:t>
            </w:r>
            <w:r w:rsidRPr="00C17FC2">
              <w:rPr>
                <w:rFonts w:ascii="Times New Roman" w:hAnsi="Times New Roman" w:cs="Times New Roman"/>
                <w:bCs/>
                <w:lang w:val="en-CA"/>
              </w:rPr>
              <w:t xml:space="preserve"> </w:t>
            </w:r>
          </w:p>
        </w:tc>
        <w:tc>
          <w:tcPr>
            <w:tcW w:w="9800" w:type="dxa"/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lang w:val="en-CA"/>
              </w:rPr>
              <w:t>0: Nil; 1: Indirect effects on mental or social health; 2: Direct effects on physical health</w:t>
            </w:r>
          </w:p>
        </w:tc>
      </w:tr>
      <w:tr w:rsidR="00C17FC2" w:rsidRPr="00D244F6" w:rsidTr="00C17FC2">
        <w:trPr>
          <w:trHeight w:val="113"/>
          <w:jc w:val="center"/>
        </w:trPr>
        <w:tc>
          <w:tcPr>
            <w:tcW w:w="4365" w:type="dxa"/>
            <w:tcMar>
              <w:top w:w="18" w:type="dxa"/>
              <w:left w:w="209" w:type="dxa"/>
              <w:bottom w:w="0" w:type="dxa"/>
              <w:right w:w="70" w:type="dxa"/>
            </w:tcMar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bCs/>
                <w:lang w:val="en-CA"/>
              </w:rPr>
            </w:pPr>
            <w:r w:rsidRPr="00C17FC2">
              <w:rPr>
                <w:rFonts w:ascii="Times New Roman" w:hAnsi="Times New Roman" w:cs="Times New Roman"/>
                <w:bCs/>
                <w:lang w:val="en-CA"/>
              </w:rPr>
              <w:t xml:space="preserve">PHC4 </w:t>
            </w:r>
            <w:r w:rsidRPr="00C17FC2">
              <w:rPr>
                <w:rFonts w:ascii="Times New Roman" w:eastAsia="Calibri" w:hAnsi="Times New Roman" w:cs="Times New Roman"/>
                <w:lang w:val="en-CA"/>
              </w:rPr>
              <w:t xml:space="preserve">Reduction in incidence of disseminated LD human cases </w:t>
            </w:r>
          </w:p>
        </w:tc>
        <w:tc>
          <w:tcPr>
            <w:tcW w:w="9800" w:type="dxa"/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lang w:val="en-CA"/>
              </w:rPr>
              <w:t>0: Nil; 1: Reduction of LD cases in general; 2: Reduction of disseminated cases specifically</w:t>
            </w:r>
          </w:p>
        </w:tc>
      </w:tr>
      <w:tr w:rsidR="00C17FC2" w:rsidRPr="00D244F6" w:rsidTr="00C17FC2">
        <w:trPr>
          <w:trHeight w:val="113"/>
          <w:jc w:val="center"/>
        </w:trPr>
        <w:tc>
          <w:tcPr>
            <w:tcW w:w="4365" w:type="dxa"/>
            <w:tcMar>
              <w:top w:w="18" w:type="dxa"/>
              <w:left w:w="209" w:type="dxa"/>
              <w:bottom w:w="0" w:type="dxa"/>
              <w:right w:w="70" w:type="dxa"/>
            </w:tcMar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bCs/>
                <w:lang w:val="en-CA"/>
              </w:rPr>
              <w:t xml:space="preserve">AEC 1 </w:t>
            </w:r>
            <w:r w:rsidRPr="00C17FC2">
              <w:rPr>
                <w:rFonts w:ascii="Times New Roman" w:hAnsi="Times New Roman" w:cs="Times New Roman"/>
                <w:lang w:val="en-CA"/>
              </w:rPr>
              <w:t>Impact on habitat</w:t>
            </w:r>
            <w:r w:rsidRPr="00C17FC2">
              <w:rPr>
                <w:rFonts w:ascii="Times New Roman" w:hAnsi="Times New Roman" w:cs="Times New Roman"/>
                <w:bCs/>
                <w:lang w:val="en-CA"/>
              </w:rPr>
              <w:t xml:space="preserve"> </w:t>
            </w:r>
          </w:p>
        </w:tc>
        <w:tc>
          <w:tcPr>
            <w:tcW w:w="9800" w:type="dxa"/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C17FC2">
              <w:rPr>
                <w:rFonts w:ascii="Times New Roman" w:hAnsi="Times New Roman" w:cs="Times New Roman"/>
                <w:lang w:val="en-CA"/>
              </w:rPr>
              <w:t>Surface*Sensitivity*Intensity</w:t>
            </w:r>
            <w:r w:rsidRPr="00C17FC2">
              <w:rPr>
                <w:rFonts w:ascii="Times New Roman" w:hAnsi="Times New Roman" w:cs="Times New Roman"/>
                <w:vertAlign w:val="superscript"/>
                <w:lang w:val="en-CA"/>
              </w:rPr>
              <w:t>1</w:t>
            </w:r>
          </w:p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lang w:val="en-CA"/>
              </w:rPr>
              <w:t>Surface : 1: Nil; 2: Small scale; 3: Large scale</w:t>
            </w:r>
          </w:p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lang w:val="en-CA"/>
              </w:rPr>
              <w:t>Sensitivity: 1: Nil; 2: Land ; 3: Water ; 4: Land and water</w:t>
            </w:r>
          </w:p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lang w:val="en-CA"/>
              </w:rPr>
              <w:t xml:space="preserve">Intensity: 1: Nil; 2: Fences; 3: Mowing; 4: </w:t>
            </w:r>
            <w:proofErr w:type="spellStart"/>
            <w:r w:rsidRPr="00C17FC2">
              <w:rPr>
                <w:rFonts w:ascii="Times New Roman" w:hAnsi="Times New Roman" w:cs="Times New Roman"/>
                <w:lang w:val="en-CA"/>
              </w:rPr>
              <w:t>Acaricides</w:t>
            </w:r>
            <w:proofErr w:type="spellEnd"/>
            <w:r w:rsidRPr="00C17FC2">
              <w:rPr>
                <w:rFonts w:ascii="Times New Roman" w:hAnsi="Times New Roman" w:cs="Times New Roman"/>
                <w:lang w:val="en-CA"/>
              </w:rPr>
              <w:t>; 5: Removal of vegetation or burning</w:t>
            </w:r>
          </w:p>
        </w:tc>
      </w:tr>
      <w:tr w:rsidR="00C17FC2" w:rsidRPr="00D244F6" w:rsidTr="00C17FC2">
        <w:trPr>
          <w:trHeight w:val="113"/>
          <w:jc w:val="center"/>
        </w:trPr>
        <w:tc>
          <w:tcPr>
            <w:tcW w:w="4365" w:type="dxa"/>
            <w:tcMar>
              <w:top w:w="18" w:type="dxa"/>
              <w:left w:w="209" w:type="dxa"/>
              <w:bottom w:w="0" w:type="dxa"/>
              <w:right w:w="70" w:type="dxa"/>
            </w:tcMar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bCs/>
                <w:lang w:val="en-CA"/>
              </w:rPr>
              <w:t>AEC 2</w:t>
            </w:r>
            <w:r w:rsidRPr="00C17FC2">
              <w:rPr>
                <w:rFonts w:ascii="Times New Roman" w:hAnsi="Times New Roman" w:cs="Times New Roman"/>
                <w:lang w:val="en-CA"/>
              </w:rPr>
              <w:t xml:space="preserve"> Impact on wildlife</w:t>
            </w:r>
            <w:r w:rsidRPr="00C17FC2">
              <w:rPr>
                <w:rFonts w:ascii="Times New Roman" w:hAnsi="Times New Roman" w:cs="Times New Roman"/>
                <w:bCs/>
                <w:lang w:val="en-CA"/>
              </w:rPr>
              <w:t xml:space="preserve"> </w:t>
            </w:r>
          </w:p>
        </w:tc>
        <w:tc>
          <w:tcPr>
            <w:tcW w:w="9800" w:type="dxa"/>
            <w:vAlign w:val="center"/>
          </w:tcPr>
          <w:p w:rsidR="00C17FC2" w:rsidRPr="00C17FC2" w:rsidRDefault="00C17FC2" w:rsidP="005E1BFD">
            <w:pPr>
              <w:tabs>
                <w:tab w:val="left" w:pos="728"/>
              </w:tabs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C17FC2">
              <w:rPr>
                <w:rFonts w:ascii="Times New Roman" w:hAnsi="Times New Roman" w:cs="Times New Roman"/>
                <w:lang w:val="en-CA"/>
              </w:rPr>
              <w:t>Number*Species*Intensity</w:t>
            </w:r>
            <w:r w:rsidRPr="00C17FC2">
              <w:rPr>
                <w:rFonts w:ascii="Times New Roman" w:hAnsi="Times New Roman" w:cs="Times New Roman"/>
                <w:vertAlign w:val="superscript"/>
                <w:lang w:val="en-CA"/>
              </w:rPr>
              <w:t>2</w:t>
            </w:r>
          </w:p>
          <w:p w:rsidR="00C17FC2" w:rsidRPr="00C17FC2" w:rsidRDefault="00C17FC2" w:rsidP="005E1BFD">
            <w:pPr>
              <w:tabs>
                <w:tab w:val="left" w:pos="728"/>
              </w:tabs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lang w:val="en-CA"/>
              </w:rPr>
              <w:t>Number : 1 : Nil; 2 : effect on specific species; 3 : Effect on several species</w:t>
            </w:r>
          </w:p>
          <w:p w:rsidR="00C17FC2" w:rsidRPr="00C17FC2" w:rsidRDefault="00C17FC2" w:rsidP="005E1BFD">
            <w:pPr>
              <w:tabs>
                <w:tab w:val="left" w:pos="728"/>
              </w:tabs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lang w:val="en-CA"/>
              </w:rPr>
              <w:t>Species: 1: Nil. 2: low valued species; 3: Highly valued species</w:t>
            </w:r>
          </w:p>
          <w:p w:rsidR="00C17FC2" w:rsidRPr="00C17FC2" w:rsidRDefault="00C17FC2" w:rsidP="005E1BFD">
            <w:pPr>
              <w:tabs>
                <w:tab w:val="left" w:pos="728"/>
              </w:tabs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lang w:val="en-CA"/>
              </w:rPr>
              <w:t>Intensity: 1: No effect; 2: Morbidity; 3: Mortality</w:t>
            </w:r>
          </w:p>
        </w:tc>
      </w:tr>
      <w:tr w:rsidR="00C17FC2" w:rsidRPr="00C17FC2" w:rsidTr="00C17FC2">
        <w:trPr>
          <w:trHeight w:val="113"/>
          <w:jc w:val="center"/>
        </w:trPr>
        <w:tc>
          <w:tcPr>
            <w:tcW w:w="4365" w:type="dxa"/>
            <w:tcMar>
              <w:top w:w="18" w:type="dxa"/>
              <w:left w:w="209" w:type="dxa"/>
              <w:bottom w:w="0" w:type="dxa"/>
              <w:right w:w="70" w:type="dxa"/>
            </w:tcMar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bCs/>
                <w:lang w:val="en-CA"/>
              </w:rPr>
              <w:t xml:space="preserve">SIC 1 </w:t>
            </w:r>
            <w:r w:rsidRPr="00C17FC2">
              <w:rPr>
                <w:rFonts w:ascii="Times New Roman" w:hAnsi="Times New Roman" w:cs="Times New Roman"/>
                <w:lang w:val="en-CA"/>
              </w:rPr>
              <w:t>Level of public acceptance</w:t>
            </w:r>
            <w:r w:rsidRPr="00C17FC2">
              <w:rPr>
                <w:rFonts w:ascii="Times New Roman" w:hAnsi="Times New Roman" w:cs="Times New Roman"/>
                <w:bCs/>
                <w:lang w:val="en-CA"/>
              </w:rPr>
              <w:t xml:space="preserve"> </w:t>
            </w:r>
          </w:p>
        </w:tc>
        <w:tc>
          <w:tcPr>
            <w:tcW w:w="9800" w:type="dxa"/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lang w:val="en-CA"/>
              </w:rPr>
              <w:t>1: Nil; 2: Low; 3: Moderate; 4: High</w:t>
            </w:r>
          </w:p>
        </w:tc>
      </w:tr>
      <w:tr w:rsidR="00C17FC2" w:rsidRPr="00C17FC2" w:rsidTr="00C17FC2">
        <w:trPr>
          <w:trHeight w:val="113"/>
          <w:jc w:val="center"/>
        </w:trPr>
        <w:tc>
          <w:tcPr>
            <w:tcW w:w="4365" w:type="dxa"/>
            <w:tcMar>
              <w:top w:w="18" w:type="dxa"/>
              <w:left w:w="209" w:type="dxa"/>
              <w:bottom w:w="0" w:type="dxa"/>
              <w:right w:w="70" w:type="dxa"/>
            </w:tcMar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bCs/>
                <w:lang w:val="en-CA"/>
              </w:rPr>
              <w:t xml:space="preserve">SIC 2 </w:t>
            </w:r>
            <w:r w:rsidRPr="00C17FC2">
              <w:rPr>
                <w:rFonts w:ascii="Times New Roman" w:hAnsi="Times New Roman" w:cs="Times New Roman"/>
                <w:lang w:val="en-CA"/>
              </w:rPr>
              <w:t>Proportion of population benefitting from intervention</w:t>
            </w:r>
            <w:r w:rsidRPr="00C17FC2">
              <w:rPr>
                <w:rFonts w:ascii="Times New Roman" w:hAnsi="Times New Roman" w:cs="Times New Roman"/>
                <w:bCs/>
                <w:lang w:val="en-CA"/>
              </w:rPr>
              <w:t xml:space="preserve"> </w:t>
            </w:r>
          </w:p>
        </w:tc>
        <w:tc>
          <w:tcPr>
            <w:tcW w:w="9800" w:type="dxa"/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lang w:val="en-CA"/>
              </w:rPr>
              <w:t>1 : &lt;25%; 2 : 25-50%; 3 : 50-75%; 4 : &gt;75%</w:t>
            </w:r>
          </w:p>
        </w:tc>
      </w:tr>
      <w:tr w:rsidR="00C17FC2" w:rsidRPr="00D244F6" w:rsidTr="00C17FC2">
        <w:trPr>
          <w:trHeight w:val="113"/>
          <w:jc w:val="center"/>
        </w:trPr>
        <w:tc>
          <w:tcPr>
            <w:tcW w:w="4365" w:type="dxa"/>
            <w:tcMar>
              <w:top w:w="18" w:type="dxa"/>
              <w:left w:w="209" w:type="dxa"/>
              <w:bottom w:w="0" w:type="dxa"/>
              <w:right w:w="70" w:type="dxa"/>
            </w:tcMar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bCs/>
                <w:lang w:val="en-CA"/>
              </w:rPr>
            </w:pPr>
            <w:r w:rsidRPr="00C17FC2">
              <w:rPr>
                <w:rFonts w:ascii="Times New Roman" w:eastAsia="Calibri" w:hAnsi="Times New Roman" w:cs="Times New Roman"/>
                <w:lang w:val="en-CA"/>
              </w:rPr>
              <w:t>SIC3 Level of public awareness</w:t>
            </w:r>
          </w:p>
        </w:tc>
        <w:tc>
          <w:tcPr>
            <w:tcW w:w="9800" w:type="dxa"/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lang w:val="en-CA"/>
              </w:rPr>
              <w:t xml:space="preserve">0: Nil. The intervention targets the reduction in tick density; 1: Low. The intervention targets human populations but does not have the objective to raise the awareness; 2: Moderate. The intervention has the objective to raise awareness in a passive way; 3: High. The intervention has the objective to raise awareness in an active way. </w:t>
            </w:r>
          </w:p>
        </w:tc>
      </w:tr>
      <w:tr w:rsidR="00C17FC2" w:rsidRPr="00C17FC2" w:rsidTr="00C17FC2">
        <w:trPr>
          <w:trHeight w:val="113"/>
          <w:jc w:val="center"/>
        </w:trPr>
        <w:tc>
          <w:tcPr>
            <w:tcW w:w="4365" w:type="dxa"/>
            <w:tcMar>
              <w:top w:w="18" w:type="dxa"/>
              <w:left w:w="209" w:type="dxa"/>
              <w:bottom w:w="0" w:type="dxa"/>
              <w:right w:w="70" w:type="dxa"/>
            </w:tcMar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bCs/>
                <w:lang w:val="en-CA"/>
              </w:rPr>
              <w:t xml:space="preserve">SEC1 </w:t>
            </w:r>
            <w:r w:rsidRPr="00C17FC2">
              <w:rPr>
                <w:rFonts w:ascii="Times New Roman" w:hAnsi="Times New Roman" w:cs="Times New Roman"/>
                <w:lang w:val="en-CA"/>
              </w:rPr>
              <w:t>Cost to the public sector</w:t>
            </w:r>
            <w:r w:rsidRPr="00C17FC2">
              <w:rPr>
                <w:rFonts w:ascii="Times New Roman" w:hAnsi="Times New Roman" w:cs="Times New Roman"/>
                <w:bCs/>
                <w:lang w:val="en-CA"/>
              </w:rPr>
              <w:t xml:space="preserve"> </w:t>
            </w:r>
          </w:p>
        </w:tc>
        <w:tc>
          <w:tcPr>
            <w:tcW w:w="9800" w:type="dxa"/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lang w:val="en-CA"/>
              </w:rPr>
              <w:t>0: Nil; 1: Low; 2: Moderate; 3: High</w:t>
            </w:r>
          </w:p>
        </w:tc>
      </w:tr>
      <w:tr w:rsidR="00C17FC2" w:rsidRPr="00C17FC2" w:rsidTr="00C17FC2">
        <w:trPr>
          <w:trHeight w:val="113"/>
          <w:jc w:val="center"/>
        </w:trPr>
        <w:tc>
          <w:tcPr>
            <w:tcW w:w="4365" w:type="dxa"/>
            <w:tcMar>
              <w:top w:w="18" w:type="dxa"/>
              <w:left w:w="209" w:type="dxa"/>
              <w:bottom w:w="0" w:type="dxa"/>
              <w:right w:w="70" w:type="dxa"/>
            </w:tcMar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bCs/>
                <w:lang w:val="en-CA"/>
              </w:rPr>
              <w:t>SEC2</w:t>
            </w:r>
            <w:r w:rsidRPr="00C17FC2">
              <w:rPr>
                <w:rFonts w:ascii="Times New Roman" w:hAnsi="Times New Roman" w:cs="Times New Roman"/>
                <w:lang w:val="en-CA"/>
              </w:rPr>
              <w:t xml:space="preserve"> Cost to the private sector</w:t>
            </w:r>
          </w:p>
        </w:tc>
        <w:tc>
          <w:tcPr>
            <w:tcW w:w="9800" w:type="dxa"/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lang w:val="en-CA"/>
              </w:rPr>
              <w:t>0: Nil; 1: Low; 2: Moderate; 3: High</w:t>
            </w:r>
          </w:p>
        </w:tc>
      </w:tr>
      <w:tr w:rsidR="00C17FC2" w:rsidRPr="00C17FC2" w:rsidTr="00C17FC2">
        <w:trPr>
          <w:trHeight w:val="113"/>
          <w:jc w:val="center"/>
        </w:trPr>
        <w:tc>
          <w:tcPr>
            <w:tcW w:w="4365" w:type="dxa"/>
            <w:tcMar>
              <w:top w:w="18" w:type="dxa"/>
              <w:left w:w="209" w:type="dxa"/>
              <w:bottom w:w="0" w:type="dxa"/>
              <w:right w:w="70" w:type="dxa"/>
            </w:tcMar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bCs/>
                <w:lang w:val="en-CA"/>
              </w:rPr>
              <w:t>SEC3</w:t>
            </w:r>
            <w:r w:rsidRPr="00C17FC2">
              <w:rPr>
                <w:rFonts w:ascii="Times New Roman" w:hAnsi="Times New Roman" w:cs="Times New Roman"/>
                <w:lang w:val="en-CA"/>
              </w:rPr>
              <w:t xml:space="preserve"> Delay before results</w:t>
            </w:r>
            <w:r w:rsidRPr="00C17FC2">
              <w:rPr>
                <w:rFonts w:ascii="Times New Roman" w:hAnsi="Times New Roman" w:cs="Times New Roman"/>
                <w:bCs/>
                <w:lang w:val="en-CA"/>
              </w:rPr>
              <w:t xml:space="preserve"> </w:t>
            </w:r>
          </w:p>
        </w:tc>
        <w:tc>
          <w:tcPr>
            <w:tcW w:w="9800" w:type="dxa"/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lang w:val="en-CA"/>
              </w:rPr>
              <w:t>1: Days; 2: Weeks; 3: Months; 4 : Years</w:t>
            </w:r>
          </w:p>
        </w:tc>
      </w:tr>
      <w:tr w:rsidR="00C17FC2" w:rsidRPr="00D244F6" w:rsidTr="00C17FC2">
        <w:trPr>
          <w:trHeight w:val="113"/>
          <w:jc w:val="center"/>
        </w:trPr>
        <w:tc>
          <w:tcPr>
            <w:tcW w:w="4365" w:type="dxa"/>
            <w:tcMar>
              <w:top w:w="18" w:type="dxa"/>
              <w:left w:w="209" w:type="dxa"/>
              <w:bottom w:w="0" w:type="dxa"/>
              <w:right w:w="70" w:type="dxa"/>
            </w:tcMar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bCs/>
                <w:lang w:val="en-CA"/>
              </w:rPr>
              <w:t>SEC4</w:t>
            </w:r>
            <w:r w:rsidRPr="00C17FC2">
              <w:rPr>
                <w:rFonts w:ascii="Times New Roman" w:hAnsi="Times New Roman" w:cs="Times New Roman"/>
                <w:lang w:val="en-CA"/>
              </w:rPr>
              <w:t xml:space="preserve"> Complexity</w:t>
            </w:r>
          </w:p>
        </w:tc>
        <w:tc>
          <w:tcPr>
            <w:tcW w:w="9800" w:type="dxa"/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lang w:val="en-CA"/>
              </w:rPr>
              <w:t>1: Simple (Minor institutional changes); 2:Intermediate (necessitates new hires); 3: Moderate Necessitates new work teams in one sector of intervention; 4: Complex (requires inter-sectoral/inter-institutional changes); 5: Very complex (necessitates creation of new structures or organisations)</w:t>
            </w:r>
          </w:p>
        </w:tc>
      </w:tr>
      <w:tr w:rsidR="00C17FC2" w:rsidRPr="00C17FC2" w:rsidTr="00C17FC2">
        <w:trPr>
          <w:trHeight w:val="113"/>
          <w:jc w:val="center"/>
        </w:trPr>
        <w:tc>
          <w:tcPr>
            <w:tcW w:w="4365" w:type="dxa"/>
            <w:tcMar>
              <w:top w:w="18" w:type="dxa"/>
              <w:left w:w="209" w:type="dxa"/>
              <w:bottom w:w="0" w:type="dxa"/>
              <w:right w:w="70" w:type="dxa"/>
            </w:tcMar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bCs/>
                <w:lang w:val="en-CA"/>
              </w:rPr>
              <w:t>SEC5</w:t>
            </w:r>
            <w:r w:rsidRPr="00C17FC2">
              <w:rPr>
                <w:rFonts w:ascii="Times New Roman" w:hAnsi="Times New Roman" w:cs="Times New Roman"/>
                <w:lang w:val="en-CA"/>
              </w:rPr>
              <w:t xml:space="preserve"> Impact on organisation’s credibility</w:t>
            </w:r>
            <w:r w:rsidRPr="00C17FC2">
              <w:rPr>
                <w:rFonts w:ascii="Times New Roman" w:hAnsi="Times New Roman" w:cs="Times New Roman"/>
                <w:bCs/>
                <w:lang w:val="en-CA"/>
              </w:rPr>
              <w:t xml:space="preserve"> </w:t>
            </w:r>
          </w:p>
        </w:tc>
        <w:tc>
          <w:tcPr>
            <w:tcW w:w="9800" w:type="dxa"/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lang w:val="en-CA"/>
              </w:rPr>
              <w:t>0: Nil; 1: Low; 2: Moderate; 3: High</w:t>
            </w:r>
          </w:p>
        </w:tc>
      </w:tr>
      <w:tr w:rsidR="00C17FC2" w:rsidRPr="00D244F6" w:rsidTr="00C17FC2">
        <w:trPr>
          <w:trHeight w:val="347"/>
          <w:jc w:val="center"/>
        </w:trPr>
        <w:tc>
          <w:tcPr>
            <w:tcW w:w="4365" w:type="dxa"/>
            <w:tcMar>
              <w:top w:w="18" w:type="dxa"/>
              <w:left w:w="209" w:type="dxa"/>
              <w:bottom w:w="0" w:type="dxa"/>
              <w:right w:w="70" w:type="dxa"/>
            </w:tcMar>
          </w:tcPr>
          <w:p w:rsidR="00C17FC2" w:rsidRPr="00C17FC2" w:rsidRDefault="00C17FC2" w:rsidP="005E1BFD">
            <w:pPr>
              <w:rPr>
                <w:rFonts w:ascii="Times New Roman" w:eastAsia="Calibri" w:hAnsi="Times New Roman" w:cs="Times New Roman"/>
                <w:lang w:val="en-CA"/>
              </w:rPr>
            </w:pPr>
            <w:r w:rsidRPr="00C17FC2">
              <w:rPr>
                <w:rFonts w:ascii="Times New Roman" w:eastAsia="Calibri" w:hAnsi="Times New Roman" w:cs="Times New Roman"/>
                <w:lang w:val="en-CA"/>
              </w:rPr>
              <w:t>SEC6 Sustainability of effect</w:t>
            </w:r>
          </w:p>
        </w:tc>
        <w:tc>
          <w:tcPr>
            <w:tcW w:w="9800" w:type="dxa"/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lang w:val="en-CA"/>
              </w:rPr>
              <w:t>1: Low. The intervention must be re-applied for a long-term effect; 2: Moderate. The intervention must be maintained for a time before the appearance of an effect, but the effect lasts for a long time; 3: High. The effect lasts for a long time without the need to re-apply the intervention.</w:t>
            </w:r>
          </w:p>
        </w:tc>
      </w:tr>
      <w:tr w:rsidR="00C17FC2" w:rsidRPr="00D244F6" w:rsidTr="00C17FC2">
        <w:trPr>
          <w:trHeight w:val="113"/>
          <w:jc w:val="center"/>
        </w:trPr>
        <w:tc>
          <w:tcPr>
            <w:tcW w:w="4365" w:type="dxa"/>
            <w:tcMar>
              <w:top w:w="18" w:type="dxa"/>
              <w:left w:w="209" w:type="dxa"/>
              <w:bottom w:w="0" w:type="dxa"/>
              <w:right w:w="70" w:type="dxa"/>
            </w:tcMar>
          </w:tcPr>
          <w:p w:rsidR="00C17FC2" w:rsidRPr="00C17FC2" w:rsidRDefault="00C17FC2" w:rsidP="005E1BFD">
            <w:pPr>
              <w:rPr>
                <w:rFonts w:ascii="Times New Roman" w:eastAsia="Calibri" w:hAnsi="Times New Roman" w:cs="Times New Roman"/>
                <w:lang w:val="en-CA"/>
              </w:rPr>
            </w:pPr>
            <w:r w:rsidRPr="00C17FC2">
              <w:rPr>
                <w:rFonts w:ascii="Times New Roman" w:eastAsia="Calibri" w:hAnsi="Times New Roman" w:cs="Times New Roman"/>
                <w:lang w:val="en-CA"/>
              </w:rPr>
              <w:t>SEC7 Level of coherence with the European strategies</w:t>
            </w:r>
          </w:p>
        </w:tc>
        <w:tc>
          <w:tcPr>
            <w:tcW w:w="9800" w:type="dxa"/>
            <w:vAlign w:val="center"/>
          </w:tcPr>
          <w:p w:rsidR="00C17FC2" w:rsidRPr="00C17FC2" w:rsidRDefault="00C17FC2" w:rsidP="005E1BFD">
            <w:pPr>
              <w:rPr>
                <w:rFonts w:ascii="Times New Roman" w:hAnsi="Times New Roman" w:cs="Times New Roman"/>
                <w:lang w:val="en-CA"/>
              </w:rPr>
            </w:pPr>
            <w:r w:rsidRPr="00C17FC2">
              <w:rPr>
                <w:rFonts w:ascii="Times New Roman" w:hAnsi="Times New Roman" w:cs="Times New Roman"/>
                <w:lang w:val="en-CA"/>
              </w:rPr>
              <w:t>0: Nil. The intervention is not recommended by European authorities; 1: the intervention is recommended by the European authorities.</w:t>
            </w:r>
          </w:p>
        </w:tc>
      </w:tr>
    </w:tbl>
    <w:p w:rsidR="00077F7C" w:rsidRPr="00C17FC2" w:rsidRDefault="00077F7C">
      <w:pPr>
        <w:rPr>
          <w:lang w:val="en-CA"/>
        </w:rPr>
      </w:pPr>
    </w:p>
    <w:sectPr w:rsidR="00077F7C" w:rsidRPr="00C17FC2" w:rsidSect="00C17FC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C2"/>
    <w:rsid w:val="00077F7C"/>
    <w:rsid w:val="00C17FC2"/>
    <w:rsid w:val="00D2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C2"/>
    <w:pPr>
      <w:spacing w:after="0" w:line="240" w:lineRule="auto"/>
    </w:pPr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C2"/>
    <w:pPr>
      <w:spacing w:after="0" w:line="240" w:lineRule="auto"/>
    </w:pPr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2</cp:revision>
  <dcterms:created xsi:type="dcterms:W3CDTF">2015-07-16T15:11:00Z</dcterms:created>
  <dcterms:modified xsi:type="dcterms:W3CDTF">2015-07-16T15:11:00Z</dcterms:modified>
</cp:coreProperties>
</file>